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1DD4" w14:textId="77777777" w:rsidR="006A68F5" w:rsidRPr="00C761EB" w:rsidRDefault="00000000">
      <w:pPr>
        <w:spacing w:after="20"/>
        <w:jc w:val="center"/>
        <w:rPr>
          <w:sz w:val="36"/>
          <w:szCs w:val="36"/>
        </w:rPr>
      </w:pPr>
      <w:r w:rsidRPr="00C761EB">
        <w:rPr>
          <w:rFonts w:ascii="Aptos Display" w:hAnsi="Aptos Display"/>
          <w:b/>
          <w:color w:val="14375A"/>
          <w:sz w:val="36"/>
          <w:szCs w:val="36"/>
        </w:rPr>
        <w:t>EARTHQUAKE INTELLIGENCE DASHBOARD</w:t>
      </w:r>
    </w:p>
    <w:p w14:paraId="458A1F17" w14:textId="77777777" w:rsidR="006A68F5" w:rsidRDefault="00000000">
      <w:pPr>
        <w:spacing w:after="100"/>
        <w:jc w:val="center"/>
      </w:pPr>
      <w:r>
        <w:rPr>
          <w:color w:val="5C6977"/>
          <w:sz w:val="17"/>
        </w:rPr>
        <w:t xml:space="preserve">Technical </w:t>
      </w:r>
      <w:proofErr w:type="gramStart"/>
      <w:r>
        <w:rPr>
          <w:color w:val="5C6977"/>
          <w:sz w:val="17"/>
        </w:rPr>
        <w:t>Note  |</w:t>
      </w:r>
      <w:proofErr w:type="gramEnd"/>
      <w:r>
        <w:rPr>
          <w:color w:val="5C6977"/>
          <w:sz w:val="17"/>
        </w:rPr>
        <w:t xml:space="preserve">  Intern Assignment 2  |  USGS FDSN Event Web Service</w:t>
      </w:r>
    </w:p>
    <w:p w14:paraId="5ED77D5C" w14:textId="77777777" w:rsidR="006A68F5" w:rsidRPr="00C761EB" w:rsidRDefault="00000000">
      <w:pPr>
        <w:pStyle w:val="Heading1"/>
        <w:rPr>
          <w:sz w:val="28"/>
        </w:rPr>
      </w:pPr>
      <w:r w:rsidRPr="00C761EB">
        <w:rPr>
          <w:sz w:val="28"/>
        </w:rPr>
        <w:t>Purpose and user workflow</w:t>
      </w:r>
    </w:p>
    <w:p w14:paraId="0BF1219E" w14:textId="77777777" w:rsidR="006A68F5" w:rsidRPr="00C761EB" w:rsidRDefault="00000000">
      <w:pPr>
        <w:keepLines/>
        <w:rPr>
          <w:sz w:val="24"/>
          <w:szCs w:val="24"/>
        </w:rPr>
      </w:pPr>
      <w:r w:rsidRPr="00C761EB">
        <w:rPr>
          <w:sz w:val="24"/>
          <w:szCs w:val="24"/>
        </w:rPr>
        <w:t>This browser-based dashboard turns earthquake feed data into a quick review screen. A user chooses a start date, end date and minimum magnitude, selects “Load earthquakes”, then reviews the returned-event count, largest and average magnitude, magnitude distribution, and a table of recent events. Each row links to the corresponding USGS event page.</w:t>
      </w:r>
    </w:p>
    <w:p w14:paraId="3CA37328" w14:textId="77777777" w:rsidR="006A68F5" w:rsidRPr="00C761EB" w:rsidRDefault="00000000">
      <w:pPr>
        <w:pStyle w:val="Heading1"/>
        <w:rPr>
          <w:sz w:val="28"/>
        </w:rPr>
      </w:pPr>
      <w:r w:rsidRPr="00C761EB">
        <w:rPr>
          <w:sz w:val="28"/>
        </w:rPr>
        <w:t>Implementation at a glance</w:t>
      </w:r>
    </w:p>
    <w:tbl>
      <w:tblPr>
        <w:tblW w:w="0" w:type="auto"/>
        <w:jc w:val="center"/>
        <w:tblLook w:val="04A0" w:firstRow="1" w:lastRow="0" w:firstColumn="1" w:lastColumn="0" w:noHBand="0" w:noVBand="1"/>
      </w:tblPr>
      <w:tblGrid>
        <w:gridCol w:w="5328"/>
        <w:gridCol w:w="5328"/>
      </w:tblGrid>
      <w:tr w:rsidR="006A68F5" w14:paraId="2EFE0A90" w14:textId="77777777">
        <w:trPr>
          <w:jc w:val="center"/>
        </w:trPr>
        <w:tc>
          <w:tcPr>
            <w:tcW w:w="5328" w:type="dxa"/>
            <w:shd w:val="clear" w:color="auto" w:fill="EAF1F7"/>
            <w:vAlign w:val="center"/>
          </w:tcPr>
          <w:p w14:paraId="65858751" w14:textId="77777777" w:rsidR="006A68F5" w:rsidRPr="00C761EB" w:rsidRDefault="00000000">
            <w:pPr>
              <w:spacing w:before="20" w:after="20"/>
              <w:rPr>
                <w:sz w:val="24"/>
                <w:szCs w:val="24"/>
              </w:rPr>
            </w:pPr>
            <w:r w:rsidRPr="00C761EB">
              <w:rPr>
                <w:b/>
                <w:color w:val="1A4973"/>
                <w:sz w:val="24"/>
                <w:szCs w:val="24"/>
              </w:rPr>
              <w:t>Browser layer</w:t>
            </w:r>
          </w:p>
        </w:tc>
        <w:tc>
          <w:tcPr>
            <w:tcW w:w="5328" w:type="dxa"/>
            <w:shd w:val="clear" w:color="auto" w:fill="F7F9FB"/>
            <w:vAlign w:val="center"/>
          </w:tcPr>
          <w:p w14:paraId="4EA51AB2" w14:textId="77777777" w:rsidR="006A68F5" w:rsidRPr="00C761EB" w:rsidRDefault="00000000">
            <w:pPr>
              <w:spacing w:before="20" w:after="20"/>
              <w:rPr>
                <w:sz w:val="24"/>
                <w:szCs w:val="24"/>
              </w:rPr>
            </w:pPr>
            <w:r w:rsidRPr="00C761EB">
              <w:rPr>
                <w:sz w:val="24"/>
                <w:szCs w:val="24"/>
              </w:rPr>
              <w:t>HTML structures the controls and event table; CSS provides layout; JavaScript handles filtering, requests and rendering.</w:t>
            </w:r>
          </w:p>
        </w:tc>
      </w:tr>
      <w:tr w:rsidR="006A68F5" w14:paraId="24725EFD" w14:textId="77777777">
        <w:trPr>
          <w:jc w:val="center"/>
        </w:trPr>
        <w:tc>
          <w:tcPr>
            <w:tcW w:w="5328" w:type="dxa"/>
            <w:shd w:val="clear" w:color="auto" w:fill="EAF1F7"/>
            <w:vAlign w:val="center"/>
          </w:tcPr>
          <w:p w14:paraId="62E7FF5E" w14:textId="77777777" w:rsidR="006A68F5" w:rsidRPr="00C761EB" w:rsidRDefault="00000000">
            <w:pPr>
              <w:spacing w:before="20" w:after="20"/>
              <w:rPr>
                <w:sz w:val="24"/>
                <w:szCs w:val="24"/>
              </w:rPr>
            </w:pPr>
            <w:r w:rsidRPr="00C761EB">
              <w:rPr>
                <w:b/>
                <w:color w:val="1A4973"/>
                <w:sz w:val="24"/>
                <w:szCs w:val="24"/>
              </w:rPr>
              <w:t>Data path</w:t>
            </w:r>
          </w:p>
        </w:tc>
        <w:tc>
          <w:tcPr>
            <w:tcW w:w="5328" w:type="dxa"/>
            <w:shd w:val="clear" w:color="auto" w:fill="F7F9FB"/>
            <w:vAlign w:val="center"/>
          </w:tcPr>
          <w:p w14:paraId="793C96CE" w14:textId="77777777" w:rsidR="006A68F5" w:rsidRPr="00C761EB" w:rsidRDefault="00000000">
            <w:pPr>
              <w:spacing w:before="20" w:after="20"/>
              <w:rPr>
                <w:sz w:val="24"/>
                <w:szCs w:val="24"/>
              </w:rPr>
            </w:pPr>
            <w:r w:rsidRPr="00C761EB">
              <w:rPr>
                <w:sz w:val="24"/>
                <w:szCs w:val="24"/>
              </w:rPr>
              <w:t>Filter values → HTTP GET request → USGS GeoJSON FeatureCollection → event properties and coordinates → dashboard summaries and rows.</w:t>
            </w:r>
          </w:p>
        </w:tc>
      </w:tr>
    </w:tbl>
    <w:p w14:paraId="52B2D704" w14:textId="77777777" w:rsidR="006A68F5" w:rsidRPr="00C761EB" w:rsidRDefault="00000000">
      <w:pPr>
        <w:pStyle w:val="Heading1"/>
        <w:rPr>
          <w:sz w:val="28"/>
        </w:rPr>
      </w:pPr>
      <w:r w:rsidRPr="00C761EB">
        <w:rPr>
          <w:sz w:val="28"/>
        </w:rPr>
        <w:t>API contract</w:t>
      </w:r>
    </w:p>
    <w:p w14:paraId="31EF9CC1" w14:textId="77777777" w:rsidR="006A68F5" w:rsidRPr="00C761EB" w:rsidRDefault="00000000">
      <w:pPr>
        <w:keepLines/>
        <w:rPr>
          <w:sz w:val="24"/>
          <w:szCs w:val="24"/>
        </w:rPr>
      </w:pPr>
      <w:r w:rsidRPr="00C761EB">
        <w:rPr>
          <w:sz w:val="24"/>
          <w:szCs w:val="24"/>
        </w:rPr>
        <w:t xml:space="preserve">Endpoint: </w:t>
      </w:r>
      <w:proofErr w:type="gramStart"/>
      <w:r w:rsidRPr="00C761EB">
        <w:rPr>
          <w:sz w:val="24"/>
          <w:szCs w:val="24"/>
        </w:rPr>
        <w:t>https://earthquake.usgs.gov/fdsnws/event/1/query  |</w:t>
      </w:r>
      <w:proofErr w:type="gramEnd"/>
      <w:r w:rsidRPr="00C761EB">
        <w:rPr>
          <w:sz w:val="24"/>
          <w:szCs w:val="24"/>
        </w:rPr>
        <w:t xml:space="preserve">  Method: GET  |  Authentication: none  |  Format: GeoJSON</w:t>
      </w:r>
    </w:p>
    <w:tbl>
      <w:tblPr>
        <w:tblStyle w:val="TableGrid"/>
        <w:tblW w:w="0" w:type="auto"/>
        <w:jc w:val="center"/>
        <w:tblLook w:val="04A0" w:firstRow="1" w:lastRow="0" w:firstColumn="1" w:lastColumn="0" w:noHBand="0" w:noVBand="1"/>
      </w:tblPr>
      <w:tblGrid>
        <w:gridCol w:w="3549"/>
        <w:gridCol w:w="3548"/>
        <w:gridCol w:w="3549"/>
      </w:tblGrid>
      <w:tr w:rsidR="006A68F5" w14:paraId="3D4A0525" w14:textId="77777777">
        <w:trPr>
          <w:jc w:val="center"/>
        </w:trPr>
        <w:tc>
          <w:tcPr>
            <w:tcW w:w="3552" w:type="dxa"/>
            <w:shd w:val="clear" w:color="auto" w:fill="1A4973"/>
            <w:vAlign w:val="center"/>
          </w:tcPr>
          <w:p w14:paraId="505D6BF5" w14:textId="77777777" w:rsidR="006A68F5" w:rsidRPr="00C761EB" w:rsidRDefault="00000000">
            <w:pPr>
              <w:spacing w:after="0"/>
              <w:rPr>
                <w:sz w:val="20"/>
                <w:szCs w:val="20"/>
              </w:rPr>
            </w:pPr>
            <w:r w:rsidRPr="00C761EB">
              <w:rPr>
                <w:b/>
                <w:color w:val="FFFFFF"/>
                <w:sz w:val="20"/>
                <w:szCs w:val="20"/>
              </w:rPr>
              <w:t>Request / response field</w:t>
            </w:r>
          </w:p>
        </w:tc>
        <w:tc>
          <w:tcPr>
            <w:tcW w:w="3552" w:type="dxa"/>
            <w:shd w:val="clear" w:color="auto" w:fill="1A4973"/>
            <w:vAlign w:val="center"/>
          </w:tcPr>
          <w:p w14:paraId="2B0379A9" w14:textId="77777777" w:rsidR="006A68F5" w:rsidRPr="00C761EB" w:rsidRDefault="00000000">
            <w:pPr>
              <w:spacing w:after="0"/>
              <w:rPr>
                <w:sz w:val="20"/>
                <w:szCs w:val="20"/>
              </w:rPr>
            </w:pPr>
            <w:r w:rsidRPr="00C761EB">
              <w:rPr>
                <w:b/>
                <w:color w:val="FFFFFF"/>
                <w:sz w:val="20"/>
                <w:szCs w:val="20"/>
              </w:rPr>
              <w:t>Role</w:t>
            </w:r>
          </w:p>
        </w:tc>
        <w:tc>
          <w:tcPr>
            <w:tcW w:w="3552" w:type="dxa"/>
            <w:shd w:val="clear" w:color="auto" w:fill="1A4973"/>
            <w:vAlign w:val="center"/>
          </w:tcPr>
          <w:p w14:paraId="3F5F1233" w14:textId="77777777" w:rsidR="006A68F5" w:rsidRPr="00C761EB" w:rsidRDefault="00000000">
            <w:pPr>
              <w:spacing w:after="0"/>
              <w:rPr>
                <w:sz w:val="20"/>
                <w:szCs w:val="20"/>
              </w:rPr>
            </w:pPr>
            <w:r w:rsidRPr="00C761EB">
              <w:rPr>
                <w:b/>
                <w:color w:val="FFFFFF"/>
                <w:sz w:val="20"/>
                <w:szCs w:val="20"/>
              </w:rPr>
              <w:t>Dashboard use</w:t>
            </w:r>
          </w:p>
        </w:tc>
      </w:tr>
      <w:tr w:rsidR="006A68F5" w14:paraId="60DEC892" w14:textId="77777777">
        <w:trPr>
          <w:jc w:val="center"/>
        </w:trPr>
        <w:tc>
          <w:tcPr>
            <w:tcW w:w="3552" w:type="dxa"/>
            <w:vAlign w:val="center"/>
          </w:tcPr>
          <w:p w14:paraId="5BB43561" w14:textId="77777777" w:rsidR="006A68F5" w:rsidRPr="00C761EB" w:rsidRDefault="00000000">
            <w:pPr>
              <w:spacing w:after="0"/>
              <w:rPr>
                <w:sz w:val="20"/>
                <w:szCs w:val="20"/>
              </w:rPr>
            </w:pPr>
            <w:r w:rsidRPr="00C761EB">
              <w:rPr>
                <w:sz w:val="20"/>
                <w:szCs w:val="20"/>
              </w:rPr>
              <w:t>format=geojson</w:t>
            </w:r>
          </w:p>
        </w:tc>
        <w:tc>
          <w:tcPr>
            <w:tcW w:w="3552" w:type="dxa"/>
            <w:vAlign w:val="center"/>
          </w:tcPr>
          <w:p w14:paraId="2B70BB62" w14:textId="77777777" w:rsidR="006A68F5" w:rsidRPr="00C761EB" w:rsidRDefault="00000000">
            <w:pPr>
              <w:spacing w:after="0"/>
              <w:rPr>
                <w:sz w:val="20"/>
                <w:szCs w:val="20"/>
              </w:rPr>
            </w:pPr>
            <w:r w:rsidRPr="00C761EB">
              <w:rPr>
                <w:sz w:val="20"/>
                <w:szCs w:val="20"/>
              </w:rPr>
              <w:t>Response encoding</w:t>
            </w:r>
          </w:p>
        </w:tc>
        <w:tc>
          <w:tcPr>
            <w:tcW w:w="3552" w:type="dxa"/>
            <w:vAlign w:val="center"/>
          </w:tcPr>
          <w:p w14:paraId="1ED15CB8" w14:textId="77777777" w:rsidR="006A68F5" w:rsidRPr="00C761EB" w:rsidRDefault="00000000">
            <w:pPr>
              <w:spacing w:after="0"/>
              <w:rPr>
                <w:sz w:val="20"/>
                <w:szCs w:val="20"/>
              </w:rPr>
            </w:pPr>
            <w:r w:rsidRPr="00C761EB">
              <w:rPr>
                <w:sz w:val="20"/>
                <w:szCs w:val="20"/>
              </w:rPr>
              <w:t>Read a FeatureCollection</w:t>
            </w:r>
          </w:p>
        </w:tc>
      </w:tr>
      <w:tr w:rsidR="006A68F5" w14:paraId="23BCBE3D" w14:textId="77777777">
        <w:trPr>
          <w:jc w:val="center"/>
        </w:trPr>
        <w:tc>
          <w:tcPr>
            <w:tcW w:w="3552" w:type="dxa"/>
            <w:vAlign w:val="center"/>
          </w:tcPr>
          <w:p w14:paraId="5DC17F0D" w14:textId="77777777" w:rsidR="006A68F5" w:rsidRPr="00C761EB" w:rsidRDefault="00000000">
            <w:pPr>
              <w:spacing w:after="0"/>
              <w:rPr>
                <w:sz w:val="20"/>
                <w:szCs w:val="20"/>
              </w:rPr>
            </w:pPr>
            <w:r w:rsidRPr="00C761EB">
              <w:rPr>
                <w:sz w:val="20"/>
                <w:szCs w:val="20"/>
              </w:rPr>
              <w:t>starttime, endtime</w:t>
            </w:r>
          </w:p>
        </w:tc>
        <w:tc>
          <w:tcPr>
            <w:tcW w:w="3552" w:type="dxa"/>
            <w:vAlign w:val="center"/>
          </w:tcPr>
          <w:p w14:paraId="6333F2C8" w14:textId="77777777" w:rsidR="006A68F5" w:rsidRPr="00C761EB" w:rsidRDefault="00000000">
            <w:pPr>
              <w:spacing w:after="0"/>
              <w:rPr>
                <w:sz w:val="20"/>
                <w:szCs w:val="20"/>
              </w:rPr>
            </w:pPr>
            <w:r w:rsidRPr="00C761EB">
              <w:rPr>
                <w:sz w:val="20"/>
                <w:szCs w:val="20"/>
              </w:rPr>
              <w:t>Time window</w:t>
            </w:r>
          </w:p>
        </w:tc>
        <w:tc>
          <w:tcPr>
            <w:tcW w:w="3552" w:type="dxa"/>
            <w:vAlign w:val="center"/>
          </w:tcPr>
          <w:p w14:paraId="5AF5D36C" w14:textId="77777777" w:rsidR="006A68F5" w:rsidRPr="00C761EB" w:rsidRDefault="00000000">
            <w:pPr>
              <w:spacing w:after="0"/>
              <w:rPr>
                <w:sz w:val="20"/>
                <w:szCs w:val="20"/>
              </w:rPr>
            </w:pPr>
            <w:r w:rsidRPr="00C761EB">
              <w:rPr>
                <w:sz w:val="20"/>
                <w:szCs w:val="20"/>
              </w:rPr>
              <w:t>Date controls</w:t>
            </w:r>
          </w:p>
        </w:tc>
      </w:tr>
      <w:tr w:rsidR="006A68F5" w14:paraId="70D6B3F2" w14:textId="77777777">
        <w:trPr>
          <w:jc w:val="center"/>
        </w:trPr>
        <w:tc>
          <w:tcPr>
            <w:tcW w:w="3552" w:type="dxa"/>
            <w:vAlign w:val="center"/>
          </w:tcPr>
          <w:p w14:paraId="1ADAE222" w14:textId="77777777" w:rsidR="006A68F5" w:rsidRPr="00C761EB" w:rsidRDefault="00000000">
            <w:pPr>
              <w:spacing w:after="0"/>
              <w:rPr>
                <w:sz w:val="20"/>
                <w:szCs w:val="20"/>
              </w:rPr>
            </w:pPr>
            <w:r w:rsidRPr="00C761EB">
              <w:rPr>
                <w:sz w:val="20"/>
                <w:szCs w:val="20"/>
              </w:rPr>
              <w:t>minmagnitude</w:t>
            </w:r>
          </w:p>
        </w:tc>
        <w:tc>
          <w:tcPr>
            <w:tcW w:w="3552" w:type="dxa"/>
            <w:vAlign w:val="center"/>
          </w:tcPr>
          <w:p w14:paraId="5A220020" w14:textId="77777777" w:rsidR="006A68F5" w:rsidRPr="00C761EB" w:rsidRDefault="00000000">
            <w:pPr>
              <w:spacing w:after="0"/>
              <w:rPr>
                <w:sz w:val="20"/>
                <w:szCs w:val="20"/>
              </w:rPr>
            </w:pPr>
            <w:r w:rsidRPr="00C761EB">
              <w:rPr>
                <w:sz w:val="20"/>
                <w:szCs w:val="20"/>
              </w:rPr>
              <w:t>Magnitude threshold</w:t>
            </w:r>
          </w:p>
        </w:tc>
        <w:tc>
          <w:tcPr>
            <w:tcW w:w="3552" w:type="dxa"/>
            <w:vAlign w:val="center"/>
          </w:tcPr>
          <w:p w14:paraId="656BBA4B" w14:textId="77777777" w:rsidR="006A68F5" w:rsidRPr="00C761EB" w:rsidRDefault="00000000">
            <w:pPr>
              <w:spacing w:after="0"/>
              <w:rPr>
                <w:sz w:val="20"/>
                <w:szCs w:val="20"/>
              </w:rPr>
            </w:pPr>
            <w:r w:rsidRPr="00C761EB">
              <w:rPr>
                <w:sz w:val="20"/>
                <w:szCs w:val="20"/>
              </w:rPr>
              <w:t>Minimum-magnitude selector</w:t>
            </w:r>
          </w:p>
        </w:tc>
      </w:tr>
      <w:tr w:rsidR="006A68F5" w14:paraId="0ABF7A01" w14:textId="77777777">
        <w:trPr>
          <w:jc w:val="center"/>
        </w:trPr>
        <w:tc>
          <w:tcPr>
            <w:tcW w:w="3552" w:type="dxa"/>
            <w:vAlign w:val="center"/>
          </w:tcPr>
          <w:p w14:paraId="77C24FE9" w14:textId="77777777" w:rsidR="006A68F5" w:rsidRPr="00C761EB" w:rsidRDefault="00000000">
            <w:pPr>
              <w:spacing w:after="0"/>
              <w:rPr>
                <w:sz w:val="20"/>
                <w:szCs w:val="20"/>
              </w:rPr>
            </w:pPr>
            <w:r w:rsidRPr="00C761EB">
              <w:rPr>
                <w:sz w:val="20"/>
                <w:szCs w:val="20"/>
              </w:rPr>
              <w:t>limit=100; orderby=time</w:t>
            </w:r>
          </w:p>
        </w:tc>
        <w:tc>
          <w:tcPr>
            <w:tcW w:w="3552" w:type="dxa"/>
            <w:vAlign w:val="center"/>
          </w:tcPr>
          <w:p w14:paraId="7480875E" w14:textId="77777777" w:rsidR="006A68F5" w:rsidRPr="00C761EB" w:rsidRDefault="00000000">
            <w:pPr>
              <w:spacing w:after="0"/>
              <w:rPr>
                <w:sz w:val="20"/>
                <w:szCs w:val="20"/>
              </w:rPr>
            </w:pPr>
            <w:r w:rsidRPr="00C761EB">
              <w:rPr>
                <w:sz w:val="20"/>
                <w:szCs w:val="20"/>
              </w:rPr>
              <w:t>Bound and order results</w:t>
            </w:r>
          </w:p>
        </w:tc>
        <w:tc>
          <w:tcPr>
            <w:tcW w:w="3552" w:type="dxa"/>
            <w:vAlign w:val="center"/>
          </w:tcPr>
          <w:p w14:paraId="01D60661" w14:textId="77777777" w:rsidR="006A68F5" w:rsidRPr="00C761EB" w:rsidRDefault="00000000">
            <w:pPr>
              <w:spacing w:after="0"/>
              <w:rPr>
                <w:sz w:val="20"/>
                <w:szCs w:val="20"/>
              </w:rPr>
            </w:pPr>
            <w:r w:rsidRPr="00C761EB">
              <w:rPr>
                <w:sz w:val="20"/>
                <w:szCs w:val="20"/>
              </w:rPr>
              <w:t>Latest returned records first</w:t>
            </w:r>
          </w:p>
        </w:tc>
      </w:tr>
      <w:tr w:rsidR="006A68F5" w14:paraId="3DC2895D" w14:textId="77777777">
        <w:trPr>
          <w:jc w:val="center"/>
        </w:trPr>
        <w:tc>
          <w:tcPr>
            <w:tcW w:w="3552" w:type="dxa"/>
            <w:vAlign w:val="center"/>
          </w:tcPr>
          <w:p w14:paraId="6EB825C5" w14:textId="77777777" w:rsidR="006A68F5" w:rsidRPr="00C761EB" w:rsidRDefault="00000000">
            <w:pPr>
              <w:spacing w:after="0"/>
              <w:rPr>
                <w:sz w:val="20"/>
                <w:szCs w:val="20"/>
              </w:rPr>
            </w:pPr>
            <w:r w:rsidRPr="00C761EB">
              <w:rPr>
                <w:sz w:val="20"/>
                <w:szCs w:val="20"/>
              </w:rPr>
              <w:t>properties.mag / place / time / url</w:t>
            </w:r>
          </w:p>
        </w:tc>
        <w:tc>
          <w:tcPr>
            <w:tcW w:w="3552" w:type="dxa"/>
            <w:vAlign w:val="center"/>
          </w:tcPr>
          <w:p w14:paraId="298DEA3F" w14:textId="77777777" w:rsidR="006A68F5" w:rsidRPr="00C761EB" w:rsidRDefault="00000000">
            <w:pPr>
              <w:spacing w:after="0"/>
              <w:rPr>
                <w:sz w:val="20"/>
                <w:szCs w:val="20"/>
              </w:rPr>
            </w:pPr>
            <w:r w:rsidRPr="00C761EB">
              <w:rPr>
                <w:sz w:val="20"/>
                <w:szCs w:val="20"/>
              </w:rPr>
              <w:t>Event metadata</w:t>
            </w:r>
          </w:p>
        </w:tc>
        <w:tc>
          <w:tcPr>
            <w:tcW w:w="3552" w:type="dxa"/>
            <w:vAlign w:val="center"/>
          </w:tcPr>
          <w:p w14:paraId="44604EF9" w14:textId="77777777" w:rsidR="006A68F5" w:rsidRPr="00C761EB" w:rsidRDefault="00000000">
            <w:pPr>
              <w:spacing w:after="0"/>
              <w:rPr>
                <w:sz w:val="20"/>
                <w:szCs w:val="20"/>
              </w:rPr>
            </w:pPr>
            <w:r w:rsidRPr="00C761EB">
              <w:rPr>
                <w:sz w:val="20"/>
                <w:szCs w:val="20"/>
              </w:rPr>
              <w:t>Metrics, table, official detail link</w:t>
            </w:r>
          </w:p>
        </w:tc>
      </w:tr>
      <w:tr w:rsidR="006A68F5" w14:paraId="3F492C23" w14:textId="77777777">
        <w:trPr>
          <w:jc w:val="center"/>
        </w:trPr>
        <w:tc>
          <w:tcPr>
            <w:tcW w:w="3552" w:type="dxa"/>
            <w:vAlign w:val="center"/>
          </w:tcPr>
          <w:p w14:paraId="6B1C85A1" w14:textId="77777777" w:rsidR="006A68F5" w:rsidRPr="00C761EB" w:rsidRDefault="00000000">
            <w:pPr>
              <w:spacing w:after="0"/>
              <w:rPr>
                <w:sz w:val="20"/>
                <w:szCs w:val="20"/>
              </w:rPr>
            </w:pPr>
            <w:proofErr w:type="gramStart"/>
            <w:r w:rsidRPr="00C761EB">
              <w:rPr>
                <w:sz w:val="20"/>
                <w:szCs w:val="20"/>
              </w:rPr>
              <w:t>geometry.coordinates</w:t>
            </w:r>
            <w:proofErr w:type="gramEnd"/>
          </w:p>
        </w:tc>
        <w:tc>
          <w:tcPr>
            <w:tcW w:w="3552" w:type="dxa"/>
            <w:vAlign w:val="center"/>
          </w:tcPr>
          <w:p w14:paraId="403F7151" w14:textId="77777777" w:rsidR="006A68F5" w:rsidRPr="00C761EB" w:rsidRDefault="00000000">
            <w:pPr>
              <w:spacing w:after="0"/>
              <w:rPr>
                <w:sz w:val="20"/>
                <w:szCs w:val="20"/>
              </w:rPr>
            </w:pPr>
            <w:r w:rsidRPr="00C761EB">
              <w:rPr>
                <w:sz w:val="20"/>
                <w:szCs w:val="20"/>
              </w:rPr>
              <w:t>Longitude, latitude, depth</w:t>
            </w:r>
          </w:p>
        </w:tc>
        <w:tc>
          <w:tcPr>
            <w:tcW w:w="3552" w:type="dxa"/>
            <w:vAlign w:val="center"/>
          </w:tcPr>
          <w:p w14:paraId="5CEB05C5" w14:textId="77777777" w:rsidR="006A68F5" w:rsidRPr="00C761EB" w:rsidRDefault="00000000">
            <w:pPr>
              <w:spacing w:after="0"/>
              <w:rPr>
                <w:sz w:val="20"/>
                <w:szCs w:val="20"/>
              </w:rPr>
            </w:pPr>
            <w:r w:rsidRPr="00C761EB">
              <w:rPr>
                <w:sz w:val="20"/>
                <w:szCs w:val="20"/>
              </w:rPr>
              <w:t>Depth and location context</w:t>
            </w:r>
          </w:p>
        </w:tc>
      </w:tr>
    </w:tbl>
    <w:p w14:paraId="752EFED2" w14:textId="77777777" w:rsidR="006A68F5" w:rsidRPr="00C761EB" w:rsidRDefault="00000000">
      <w:pPr>
        <w:pStyle w:val="Heading1"/>
        <w:rPr>
          <w:sz w:val="28"/>
        </w:rPr>
      </w:pPr>
      <w:r w:rsidRPr="00C761EB">
        <w:rPr>
          <w:sz w:val="28"/>
        </w:rPr>
        <w:t>Verification notes</w:t>
      </w:r>
    </w:p>
    <w:p w14:paraId="26F2C2C4" w14:textId="77777777" w:rsidR="006A68F5" w:rsidRPr="00C761EB" w:rsidRDefault="00000000">
      <w:pPr>
        <w:keepLines/>
        <w:rPr>
          <w:sz w:val="28"/>
          <w:szCs w:val="28"/>
        </w:rPr>
      </w:pPr>
      <w:r w:rsidRPr="00C761EB">
        <w:rPr>
          <w:sz w:val="28"/>
          <w:szCs w:val="28"/>
        </w:rPr>
        <w:t>Observed test evidence: the dashboard reported HTTP 200 and displayed 100 returned records for the selected date window. With minimum magnitude set to 4.0, the displayed average magnitude was 4.83. The first event’s detail link was corrected to use the event URL from the response and verified in the browser: M 4.7, 14 km W of Río Grande, Panama, 2026-10-09 23:57:38 UTC, depth 10.0 km.</w:t>
      </w:r>
    </w:p>
    <w:p w14:paraId="4A269213" w14:textId="77777777" w:rsidR="006A68F5" w:rsidRPr="00C761EB" w:rsidRDefault="00000000">
      <w:pPr>
        <w:pStyle w:val="Heading1"/>
        <w:rPr>
          <w:sz w:val="28"/>
        </w:rPr>
      </w:pPr>
      <w:r w:rsidRPr="00C761EB">
        <w:rPr>
          <w:sz w:val="28"/>
        </w:rPr>
        <w:t>Boundaries and next improvement</w:t>
      </w:r>
    </w:p>
    <w:p w14:paraId="44BEB792" w14:textId="77777777" w:rsidR="006A68F5" w:rsidRPr="00C761EB" w:rsidRDefault="00000000">
      <w:pPr>
        <w:keepLines/>
        <w:rPr>
          <w:sz w:val="24"/>
          <w:szCs w:val="24"/>
        </w:rPr>
      </w:pPr>
      <w:r w:rsidRPr="00C761EB">
        <w:rPr>
          <w:sz w:val="24"/>
          <w:szCs w:val="24"/>
        </w:rPr>
        <w:t>The 100-record request cap means the count and summary statistics describe only the returned subset; they should not be presented as a complete count for the whole period. Results also depend on network access and USGS service availability. A logical next step is to add pagination or a visible truncation indicator, then repeat the date-filter test with a second date range.</w:t>
      </w:r>
    </w:p>
    <w:sectPr w:rsidR="006A68F5" w:rsidRPr="00C761EB" w:rsidSect="00034616">
      <w:footerReference w:type="default" r:id="rId8"/>
      <w:pgSz w:w="12240" w:h="15840"/>
      <w:pgMar w:top="605" w:right="792" w:bottom="605"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3A188" w14:textId="77777777" w:rsidR="00062331" w:rsidRDefault="00062331">
      <w:pPr>
        <w:spacing w:after="0" w:line="240" w:lineRule="auto"/>
      </w:pPr>
      <w:r>
        <w:separator/>
      </w:r>
    </w:p>
  </w:endnote>
  <w:endnote w:type="continuationSeparator" w:id="0">
    <w:p w14:paraId="1D4DFA60" w14:textId="77777777" w:rsidR="00062331" w:rsidRDefault="0006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601A" w14:textId="77777777" w:rsidR="006A68F5" w:rsidRDefault="00000000">
    <w:pPr>
      <w:pStyle w:val="Footer"/>
      <w:jc w:val="center"/>
    </w:pPr>
    <w:r>
      <w:rPr>
        <w:color w:val="646E78"/>
        <w:sz w:val="14"/>
      </w:rPr>
      <w:t>Source: USGS FDSN Event Web Service  •  https://earthquake.usgs.gov/fdsnws/event/1/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95310" w14:textId="77777777" w:rsidR="00062331" w:rsidRDefault="00062331">
      <w:pPr>
        <w:spacing w:after="0" w:line="240" w:lineRule="auto"/>
      </w:pPr>
      <w:r>
        <w:separator/>
      </w:r>
    </w:p>
  </w:footnote>
  <w:footnote w:type="continuationSeparator" w:id="0">
    <w:p w14:paraId="5D685A60" w14:textId="77777777" w:rsidR="00062331" w:rsidRDefault="0006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641304">
    <w:abstractNumId w:val="8"/>
  </w:num>
  <w:num w:numId="2" w16cid:durableId="888496356">
    <w:abstractNumId w:val="6"/>
  </w:num>
  <w:num w:numId="3" w16cid:durableId="2000301125">
    <w:abstractNumId w:val="5"/>
  </w:num>
  <w:num w:numId="4" w16cid:durableId="802769090">
    <w:abstractNumId w:val="4"/>
  </w:num>
  <w:num w:numId="5" w16cid:durableId="1834293349">
    <w:abstractNumId w:val="7"/>
  </w:num>
  <w:num w:numId="6" w16cid:durableId="260452278">
    <w:abstractNumId w:val="3"/>
  </w:num>
  <w:num w:numId="7" w16cid:durableId="986200052">
    <w:abstractNumId w:val="2"/>
  </w:num>
  <w:num w:numId="8" w16cid:durableId="1734696007">
    <w:abstractNumId w:val="1"/>
  </w:num>
  <w:num w:numId="9" w16cid:durableId="201923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31"/>
    <w:rsid w:val="0015074B"/>
    <w:rsid w:val="001C56E7"/>
    <w:rsid w:val="0029639D"/>
    <w:rsid w:val="00326F90"/>
    <w:rsid w:val="006A68F5"/>
    <w:rsid w:val="00AA1D8D"/>
    <w:rsid w:val="00B47730"/>
    <w:rsid w:val="00C761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EF451"/>
  <w14:defaultImageDpi w14:val="300"/>
  <w15:docId w15:val="{8076CBA1-A81C-4B8E-A1CC-FB1BE540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35" w:lineRule="auto"/>
    </w:pPr>
    <w:rPr>
      <w:rFonts w:ascii="Aptos" w:hAnsi="Aptos"/>
      <w:color w:val="2C343F"/>
      <w:sz w:val="16"/>
    </w:rPr>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b/>
      <w:bCs/>
      <w:color w:val="1A4973"/>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Goudar</cp:lastModifiedBy>
  <cp:revision>2</cp:revision>
  <dcterms:created xsi:type="dcterms:W3CDTF">2026-10-10T18:58:00Z</dcterms:created>
  <dcterms:modified xsi:type="dcterms:W3CDTF">2026-10-10T18:58:00Z</dcterms:modified>
  <cp:category/>
</cp:coreProperties>
</file>