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rxr3s9l8f5nsilv3fkne4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m4lenu81ytinaqeofkhu1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rfb0iaei1mzbfe66zznm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AWS and Kubernetes experience automating CI/CD pipelines and operating cloud infrastructure at scale. Promoted to full-time within 5 months.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(Jenkins, GitLab CI/CD, GitHub Actions, AWS CodePipeline)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Operated multi-AZ EKS clusters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modules)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 provisioning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and KEDA — directly applicable to high-traffic e-commerce infrastructure.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AWS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Karpenter Spot/On-Demand diversification, KEDA off-hours scale-down, and right-sized cluster capacity — preserving production availability while improving resource utilisation across 20+ services.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r3s9l8f5nsilv3fkne4" Type="http://schemas.openxmlformats.org/officeDocument/2006/relationships/hyperlink" Target="mailto:varmorauday1045@gmail.com" TargetMode="External"/><Relationship Id="rIdm4lenu81ytinaqeofkhu1" Type="http://schemas.openxmlformats.org/officeDocument/2006/relationships/hyperlink" Target="https://linkedin.com/in/udayvarmora" TargetMode="External"/><Relationship Id="rIdrfb0iaei1mzbfe66zznm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2026-06-20T12:46:09.087Z</dcterms:created>
  <dcterms:modified xsi:type="dcterms:W3CDTF">2026-06-20T12:46:09.087Z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