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2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1" w:before="0" w:line="212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6nuf8zm4jroqy2ddvczra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a3kej9scbk3k3turua4p3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avm_yxxnvv_cvyefyzrry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production-grade experience in CI/CD automation, Kubernetes operations, and AWS cloud infrastructure — bringing this expertise to high-scale gaming infrastructure. Promoted to full-time within 5 months. Operated multi-tenant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clusters at 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ArgoCD GitOps and Karpenter autoscaling; built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and 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intelligent node scaling — critical for gaming workloads with variable traffic patterns.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Service Mesh: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AWS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Karpenter Spot/On-Demand diversification, KEDA off-hours scale-down, and right-sized cluster capacity — preserving production availability while improving resource utilisation across 20+ services.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81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nuf8zm4jroqy2ddvczra" Type="http://schemas.openxmlformats.org/officeDocument/2006/relationships/hyperlink" Target="mailto:varmorauday1045@gmail.com" TargetMode="External"/><Relationship Id="rIda3kej9scbk3k3turua4p3" Type="http://schemas.openxmlformats.org/officeDocument/2006/relationships/hyperlink" Target="https://linkedin.com/in/udayvarmora" TargetMode="External"/><Relationship Id="rIdavm_yxxnvv_cvyefyzrry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II Resume</dc:title>
  <dc:creator>Uday Varmora</dc:creator>
  <cp:lastModifiedBy>Un-named</cp:lastModifiedBy>
  <cp:revision>1</cp:revision>
  <dcterms:created xsi:type="dcterms:W3CDTF">2026-06-20T12:46:26.328Z</dcterms:created>
  <dcterms:modified xsi:type="dcterms:W3CDTF">2026-06-20T12:46:26.328Z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