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CFA40" w14:textId="4CA6FD3A" w:rsidR="00D41274" w:rsidRPr="0071275B" w:rsidRDefault="00204CA4" w:rsidP="00FA6751">
      <w:pPr>
        <w:pStyle w:val="IEEETitle"/>
      </w:pPr>
      <w:r>
        <w:t>Investmate: AI</w:t>
      </w:r>
      <w:r w:rsidR="003646CE">
        <w:t>-</w:t>
      </w:r>
      <w:r>
        <w:t>Powered Stock Simulator</w:t>
      </w:r>
    </w:p>
    <w:p w14:paraId="7F6D6305" w14:textId="67138897" w:rsidR="00656B47" w:rsidRPr="00204CA4" w:rsidRDefault="00656B47" w:rsidP="00656B47">
      <w:pPr>
        <w:pStyle w:val="IEEEAuthorName"/>
        <w:rPr>
          <w:szCs w:val="22"/>
          <w:vertAlign w:val="superscript"/>
        </w:rPr>
      </w:pPr>
      <w:r w:rsidRPr="00204CA4">
        <w:rPr>
          <w:szCs w:val="22"/>
        </w:rPr>
        <w:t>Ankit Mhatre</w:t>
      </w:r>
      <w:r w:rsidR="00D41274" w:rsidRPr="00204CA4">
        <w:rPr>
          <w:szCs w:val="22"/>
        </w:rPr>
        <w:t xml:space="preserve">, </w:t>
      </w:r>
      <w:r w:rsidRPr="00204CA4">
        <w:rPr>
          <w:color w:val="202122"/>
          <w:spacing w:val="3"/>
          <w:szCs w:val="22"/>
        </w:rPr>
        <w:t xml:space="preserve">Venkatesh </w:t>
      </w:r>
      <w:proofErr w:type="spellStart"/>
      <w:r w:rsidRPr="00204CA4">
        <w:rPr>
          <w:color w:val="202122"/>
          <w:spacing w:val="3"/>
          <w:szCs w:val="22"/>
        </w:rPr>
        <w:t>Nidumukkala</w:t>
      </w:r>
      <w:proofErr w:type="spellEnd"/>
      <w:r w:rsidR="00D41274" w:rsidRPr="00204CA4">
        <w:rPr>
          <w:szCs w:val="22"/>
        </w:rPr>
        <w:t xml:space="preserve">, </w:t>
      </w:r>
      <w:r w:rsidRPr="00204CA4">
        <w:rPr>
          <w:color w:val="202122"/>
          <w:szCs w:val="22"/>
        </w:rPr>
        <w:t>Uma</w:t>
      </w:r>
      <w:r w:rsidRPr="00204CA4">
        <w:rPr>
          <w:rStyle w:val="apple-converted-space"/>
          <w:color w:val="202122"/>
          <w:szCs w:val="22"/>
        </w:rPr>
        <w:t> </w:t>
      </w:r>
      <w:r w:rsidRPr="00204CA4">
        <w:rPr>
          <w:color w:val="202122"/>
          <w:szCs w:val="22"/>
        </w:rPr>
        <w:t xml:space="preserve">Maheshwari </w:t>
      </w:r>
      <w:proofErr w:type="spellStart"/>
      <w:r w:rsidRPr="00204CA4">
        <w:rPr>
          <w:color w:val="202122"/>
          <w:szCs w:val="22"/>
        </w:rPr>
        <w:t>Bhichinepally</w:t>
      </w:r>
      <w:proofErr w:type="spellEnd"/>
    </w:p>
    <w:p w14:paraId="28B47DBC" w14:textId="44CF807B" w:rsidR="00656B47" w:rsidRPr="00204CA4" w:rsidRDefault="00656B47" w:rsidP="00656B47">
      <w:pPr>
        <w:pStyle w:val="IEEEAuthorName"/>
        <w:rPr>
          <w:szCs w:val="22"/>
          <w:vertAlign w:val="superscript"/>
        </w:rPr>
      </w:pPr>
      <w:r w:rsidRPr="00204CA4">
        <w:rPr>
          <w:color w:val="202122"/>
          <w:spacing w:val="5"/>
          <w:szCs w:val="22"/>
        </w:rPr>
        <w:t xml:space="preserve">Tejaswi </w:t>
      </w:r>
      <w:proofErr w:type="spellStart"/>
      <w:r w:rsidRPr="00204CA4">
        <w:rPr>
          <w:color w:val="202122"/>
          <w:spacing w:val="5"/>
          <w:szCs w:val="22"/>
        </w:rPr>
        <w:t>Koppula</w:t>
      </w:r>
      <w:proofErr w:type="spellEnd"/>
      <w:r w:rsidRPr="00204CA4">
        <w:rPr>
          <w:szCs w:val="22"/>
        </w:rPr>
        <w:t xml:space="preserve">, </w:t>
      </w:r>
      <w:proofErr w:type="spellStart"/>
      <w:r w:rsidRPr="00204CA4">
        <w:rPr>
          <w:color w:val="202122"/>
          <w:spacing w:val="5"/>
          <w:szCs w:val="22"/>
        </w:rPr>
        <w:t>Charan</w:t>
      </w:r>
      <w:proofErr w:type="spellEnd"/>
      <w:r w:rsidRPr="00204CA4">
        <w:rPr>
          <w:color w:val="202122"/>
          <w:spacing w:val="5"/>
          <w:szCs w:val="22"/>
        </w:rPr>
        <w:t xml:space="preserve"> Raju </w:t>
      </w:r>
      <w:r w:rsidR="007B439C" w:rsidRPr="00204CA4">
        <w:rPr>
          <w:color w:val="202122"/>
          <w:spacing w:val="5"/>
          <w:szCs w:val="22"/>
        </w:rPr>
        <w:t>M</w:t>
      </w:r>
      <w:r w:rsidR="007B439C" w:rsidRPr="00204CA4">
        <w:rPr>
          <w:color w:val="202122"/>
          <w:spacing w:val="3"/>
          <w:szCs w:val="22"/>
        </w:rPr>
        <w:t>,</w:t>
      </w:r>
      <w:r w:rsidRPr="00204CA4">
        <w:rPr>
          <w:szCs w:val="22"/>
        </w:rPr>
        <w:t xml:space="preserve"> </w:t>
      </w:r>
      <w:r w:rsidRPr="00204CA4">
        <w:rPr>
          <w:color w:val="202122"/>
          <w:spacing w:val="5"/>
          <w:szCs w:val="22"/>
        </w:rPr>
        <w:t>K</w:t>
      </w:r>
      <w:r w:rsidRPr="00204CA4">
        <w:rPr>
          <w:color w:val="202122"/>
          <w:spacing w:val="5"/>
          <w:szCs w:val="22"/>
        </w:rPr>
        <w:t>ilaru Mani Chandana</w:t>
      </w:r>
    </w:p>
    <w:p w14:paraId="50C99B74" w14:textId="77777777" w:rsidR="00204CA4" w:rsidRPr="00EE6298" w:rsidRDefault="00204CA4" w:rsidP="00D41274">
      <w:pPr>
        <w:pStyle w:val="IEEEAuthorEmail"/>
        <w:rPr>
          <w:rFonts w:ascii="Times New Roman" w:hAnsi="Times New Roman"/>
        </w:rPr>
      </w:pPr>
      <w:r w:rsidRPr="00EE6298">
        <w:rPr>
          <w:rFonts w:ascii="Times New Roman" w:hAnsi="Times New Roman"/>
        </w:rPr>
        <w:t>Seidenberg School of Computer Science and Information Systems Pace University,</w:t>
      </w:r>
    </w:p>
    <w:p w14:paraId="3230FC23" w14:textId="563D7958" w:rsidR="0041172B" w:rsidRPr="006A7FA2" w:rsidRDefault="00204CA4" w:rsidP="006A7FA2">
      <w:pPr>
        <w:pStyle w:val="IEEEAuthorEmail"/>
        <w:rPr>
          <w:rFonts w:ascii="Times New Roman" w:hAnsi="Times New Roman"/>
        </w:rPr>
      </w:pPr>
      <w:r w:rsidRPr="00EE6298">
        <w:rPr>
          <w:rFonts w:ascii="Times New Roman" w:hAnsi="Times New Roman"/>
        </w:rPr>
        <w:t xml:space="preserve"> New York, NY, USA</w:t>
      </w:r>
    </w:p>
    <w:p w14:paraId="18A59C8F" w14:textId="7728FBC8" w:rsidR="00D41274" w:rsidRPr="00EE6298" w:rsidRDefault="006A7FA2" w:rsidP="00D41274">
      <w:pPr>
        <w:pStyle w:val="IEEEAuthorEmail"/>
        <w:rPr>
          <w:rFonts w:ascii="Times New Roman" w:hAnsi="Times New Roman"/>
        </w:rPr>
      </w:pPr>
      <w:r>
        <w:rPr>
          <w:rFonts w:ascii="Times New Roman" w:hAnsi="Times New Roman"/>
        </w:rPr>
        <w:fldChar w:fldCharType="begin"/>
      </w:r>
      <w:r>
        <w:rPr>
          <w:rFonts w:ascii="Times New Roman" w:hAnsi="Times New Roman"/>
        </w:rPr>
        <w:instrText>HYPERLINK "mailto:</w:instrText>
      </w:r>
      <w:r w:rsidRPr="00EE6298">
        <w:rPr>
          <w:rFonts w:ascii="Times New Roman" w:hAnsi="Times New Roman"/>
        </w:rPr>
        <w:instrText>Am58279n@pace.edu</w:instrText>
      </w:r>
      <w:r>
        <w:rPr>
          <w:rFonts w:ascii="Times New Roman" w:hAnsi="Times New Roman"/>
        </w:rPr>
        <w:instrText>"</w:instrText>
      </w:r>
      <w:r>
        <w:rPr>
          <w:rFonts w:ascii="Times New Roman" w:hAnsi="Times New Roman"/>
        </w:rPr>
        <w:fldChar w:fldCharType="separate"/>
      </w:r>
      <w:r w:rsidRPr="007C07C8">
        <w:rPr>
          <w:rStyle w:val="Hyperlink"/>
          <w:rFonts w:ascii="Times New Roman" w:hAnsi="Times New Roman"/>
        </w:rPr>
        <w:t>Am58279n@pace.edu</w:t>
      </w:r>
      <w:r>
        <w:rPr>
          <w:rFonts w:ascii="Times New Roman" w:hAnsi="Times New Roman"/>
        </w:rPr>
        <w:fldChar w:fldCharType="end"/>
      </w:r>
      <w:r>
        <w:rPr>
          <w:rFonts w:ascii="Times New Roman" w:hAnsi="Times New Roman"/>
        </w:rPr>
        <w:t xml:space="preserve">, </w:t>
      </w:r>
      <w:hyperlink r:id="rId5" w:history="1">
        <w:r w:rsidRPr="007C07C8">
          <w:rPr>
            <w:rStyle w:val="Hyperlink"/>
            <w:rFonts w:ascii="Times New Roman" w:hAnsi="Times New Roman"/>
          </w:rPr>
          <w:t>mk17805@pace.edu</w:t>
        </w:r>
      </w:hyperlink>
      <w:r>
        <w:rPr>
          <w:rFonts w:ascii="Times New Roman" w:hAnsi="Times New Roman"/>
        </w:rPr>
        <w:t xml:space="preserve">, </w:t>
      </w:r>
      <w:r w:rsidR="00D267D9">
        <w:rPr>
          <w:rFonts w:ascii="Times New Roman" w:hAnsi="Times New Roman"/>
        </w:rPr>
        <w:fldChar w:fldCharType="begin"/>
      </w:r>
      <w:r w:rsidR="00D267D9">
        <w:rPr>
          <w:rFonts w:ascii="Times New Roman" w:hAnsi="Times New Roman"/>
        </w:rPr>
        <w:instrText>HYPERLINK "mailto:ub83936n@pace.edu"</w:instrText>
      </w:r>
      <w:r w:rsidR="00D267D9">
        <w:rPr>
          <w:rFonts w:ascii="Times New Roman" w:hAnsi="Times New Roman"/>
        </w:rPr>
      </w:r>
      <w:r w:rsidR="00D267D9">
        <w:rPr>
          <w:rFonts w:ascii="Times New Roman" w:hAnsi="Times New Roman"/>
        </w:rPr>
        <w:fldChar w:fldCharType="separate"/>
      </w:r>
      <w:r w:rsidR="00D267D9" w:rsidRPr="00D267D9">
        <w:rPr>
          <w:rStyle w:val="Hyperlink"/>
          <w:rFonts w:ascii="Times New Roman" w:hAnsi="Times New Roman"/>
        </w:rPr>
        <w:t>ub83936n@pace.edu</w:t>
      </w:r>
      <w:r w:rsidR="00D267D9">
        <w:rPr>
          <w:rFonts w:ascii="Times New Roman" w:hAnsi="Times New Roman"/>
        </w:rPr>
        <w:fldChar w:fldCharType="end"/>
      </w:r>
      <w:r w:rsidR="00D267D9">
        <w:rPr>
          <w:rFonts w:ascii="Times New Roman" w:hAnsi="Times New Roman"/>
        </w:rPr>
        <w:t>,</w:t>
      </w:r>
      <w:r>
        <w:rPr>
          <w:rFonts w:ascii="Times New Roman" w:hAnsi="Times New Roman"/>
        </w:rPr>
        <w:br/>
        <w:t xml:space="preserve"> </w:t>
      </w:r>
      <w:hyperlink r:id="rId6" w:history="1">
        <w:r w:rsidRPr="007C07C8">
          <w:rPr>
            <w:rStyle w:val="Hyperlink"/>
            <w:rFonts w:ascii="Times New Roman" w:hAnsi="Times New Roman"/>
          </w:rPr>
          <w:t>tk84879n@pace.edu</w:t>
        </w:r>
      </w:hyperlink>
      <w:r>
        <w:rPr>
          <w:rFonts w:ascii="Times New Roman" w:hAnsi="Times New Roman"/>
        </w:rPr>
        <w:t xml:space="preserve">, </w:t>
      </w:r>
      <w:hyperlink r:id="rId7" w:history="1">
        <w:r w:rsidRPr="007C07C8">
          <w:rPr>
            <w:rStyle w:val="Hyperlink"/>
            <w:rFonts w:ascii="Times New Roman" w:hAnsi="Times New Roman"/>
          </w:rPr>
          <w:t>vn32831n@pace.edu</w:t>
        </w:r>
      </w:hyperlink>
      <w:r>
        <w:rPr>
          <w:rFonts w:ascii="Times New Roman" w:hAnsi="Times New Roman"/>
        </w:rPr>
        <w:t xml:space="preserve">, </w:t>
      </w:r>
      <w:hyperlink r:id="rId8" w:history="1">
        <w:r w:rsidRPr="007C07C8">
          <w:rPr>
            <w:rStyle w:val="Hyperlink"/>
            <w:rFonts w:ascii="Times New Roman" w:hAnsi="Times New Roman"/>
          </w:rPr>
          <w:t>cm88666n@pace.edu</w:t>
        </w:r>
      </w:hyperlink>
      <w:r>
        <w:rPr>
          <w:rFonts w:ascii="Times New Roman" w:hAnsi="Times New Roman"/>
        </w:rPr>
        <w:t xml:space="preserve"> </w:t>
      </w:r>
    </w:p>
    <w:p w14:paraId="723965F9" w14:textId="77777777" w:rsidR="00D41274" w:rsidRPr="00D41274" w:rsidRDefault="00D41274" w:rsidP="00D41274"/>
    <w:p w14:paraId="1F09E4AA" w14:textId="77777777" w:rsidR="00D41274" w:rsidRDefault="00D41274" w:rsidP="00883903">
      <w:pPr>
        <w:ind w:right="-811"/>
        <w:sectPr w:rsidR="00D41274" w:rsidSect="007E0C6F">
          <w:pgSz w:w="11906" w:h="16838"/>
          <w:pgMar w:top="1077" w:right="811" w:bottom="2438" w:left="0" w:header="709" w:footer="709" w:gutter="0"/>
          <w:cols w:space="708"/>
          <w:docGrid w:linePitch="360"/>
        </w:sectPr>
      </w:pPr>
    </w:p>
    <w:p w14:paraId="10990D6F" w14:textId="6FF42BE8" w:rsidR="00A32BFA" w:rsidRPr="00BF3113" w:rsidRDefault="00D41274" w:rsidP="00BF3113">
      <w:pPr>
        <w:pStyle w:val="IEEEAbtract"/>
        <w:rPr>
          <w:lang w:val="en-AU"/>
        </w:rPr>
      </w:pPr>
      <w:r w:rsidRPr="00BF3113">
        <w:rPr>
          <w:rStyle w:val="IEEEAbstractHeadingChar"/>
          <w:b/>
          <w:bCs/>
        </w:rPr>
        <w:t>Ab</w:t>
      </w:r>
      <w:r w:rsidR="0064799C" w:rsidRPr="00BF3113">
        <w:rPr>
          <w:rStyle w:val="IEEEAbstractHeadingChar"/>
          <w:b/>
          <w:bCs/>
        </w:rPr>
        <w:t>s</w:t>
      </w:r>
      <w:r w:rsidRPr="00BF3113">
        <w:rPr>
          <w:rStyle w:val="IEEEAbstractHeadingChar"/>
          <w:b/>
          <w:bCs/>
        </w:rPr>
        <w:t>tract</w:t>
      </w:r>
      <w:r w:rsidRPr="00BF3113">
        <w:t xml:space="preserve">— </w:t>
      </w:r>
      <w:r w:rsidR="00306E1D">
        <w:rPr>
          <w:lang w:val="en-AU"/>
        </w:rPr>
        <w:t>Introducing an</w:t>
      </w:r>
      <w:r w:rsidR="00184B2C" w:rsidRPr="00BF3113">
        <w:rPr>
          <w:lang w:val="en-AU"/>
        </w:rPr>
        <w:t xml:space="preserve"> AI-powered Investment Portfolio Assistant (IPA) tailored for educational use</w:t>
      </w:r>
      <w:r w:rsidR="00306E1D">
        <w:rPr>
          <w:lang w:val="en-AU"/>
        </w:rPr>
        <w:t xml:space="preserve"> to bridge</w:t>
      </w:r>
      <w:r w:rsidR="00184B2C" w:rsidRPr="00BF3113">
        <w:rPr>
          <w:lang w:val="en-AU"/>
        </w:rPr>
        <w:t xml:space="preserve"> the gap between theoretical investment knowledge and real-world practice. The IPA is a web-based platform offering hands-on experience with investment strategies using historical market data and machine learning algorithms. Users create virtual portfolios, receive personalized recommendations, and track performance over time. We detail the platform's development process, emphasizing user-friendly design, essential functionalities, and iterative improvement. The IPA equips users with practical investing skills</w:t>
      </w:r>
      <w:r w:rsidR="00243763">
        <w:rPr>
          <w:lang w:val="en-AU"/>
        </w:rPr>
        <w:t xml:space="preserve">, financial knowledge, </w:t>
      </w:r>
      <w:r w:rsidR="00184B2C" w:rsidRPr="00BF3113">
        <w:rPr>
          <w:lang w:val="en-AU"/>
        </w:rPr>
        <w:t>and long-term wealth management.</w:t>
      </w:r>
    </w:p>
    <w:p w14:paraId="6C4637DA" w14:textId="77777777" w:rsidR="00BF3113" w:rsidRPr="00D11D48" w:rsidRDefault="00BF3113" w:rsidP="00BF3113">
      <w:pPr>
        <w:rPr>
          <w:lang w:eastAsia="en-GB"/>
        </w:rPr>
      </w:pPr>
    </w:p>
    <w:p w14:paraId="5AA514F1" w14:textId="77777777" w:rsidR="00AD335D" w:rsidRPr="00D11D48" w:rsidRDefault="00AD335D" w:rsidP="00081EBE">
      <w:pPr>
        <w:pStyle w:val="IEEEHeading1"/>
        <w:rPr>
          <w:szCs w:val="20"/>
        </w:rPr>
      </w:pPr>
      <w:r w:rsidRPr="00D11D48">
        <w:rPr>
          <w:szCs w:val="20"/>
        </w:rPr>
        <w:t>Introduction</w:t>
      </w:r>
    </w:p>
    <w:p w14:paraId="1B01B008" w14:textId="719F83A1" w:rsidR="00306E1D" w:rsidRDefault="00715201" w:rsidP="00306E1D">
      <w:pPr>
        <w:jc w:val="both"/>
        <w:rPr>
          <w:lang w:val="en-US" w:eastAsia="en-US"/>
        </w:rPr>
      </w:pPr>
      <w:r w:rsidRPr="00306E1D">
        <w:t xml:space="preserve">In today's dynamic financial landscape, </w:t>
      </w:r>
      <w:r w:rsidR="00306E1D">
        <w:t>effectively navigating investment markets</w:t>
      </w:r>
      <w:r w:rsidRPr="00306E1D">
        <w:t xml:space="preserve"> is paramount for individuals seeking to secure their financial futures.</w:t>
      </w:r>
      <w:r w:rsidR="00934013" w:rsidRPr="00306E1D">
        <w:t xml:space="preserve">[1] </w:t>
      </w:r>
      <w:r w:rsidRPr="00306E1D">
        <w:t xml:space="preserve">However, traditional educational approaches often leave a gap between theoretical knowledge and practical application, particularly for college students and young adults entering the </w:t>
      </w:r>
      <w:r w:rsidR="003646CE">
        <w:t>investing world</w:t>
      </w:r>
      <w:r w:rsidRPr="00306E1D">
        <w:t xml:space="preserve">. </w:t>
      </w:r>
      <w:r w:rsidR="003646CE">
        <w:t>We introduce an innovative solution to address this challenge</w:t>
      </w:r>
      <w:r w:rsidRPr="00306E1D">
        <w:t xml:space="preserve">: an AI-powered Investment Portfolio Assistant (IPA) </w:t>
      </w:r>
      <w:r w:rsidR="003646CE">
        <w:t>explicitly designed</w:t>
      </w:r>
      <w:r w:rsidRPr="00306E1D">
        <w:t xml:space="preserve"> for educational purposes.</w:t>
      </w:r>
      <w:r w:rsidR="00934013" w:rsidRPr="00306E1D">
        <w:t>[3]</w:t>
      </w:r>
      <w:r w:rsidR="00934013" w:rsidRPr="00306E1D">
        <w:tab/>
      </w:r>
      <w:r w:rsidRPr="00306E1D">
        <w:rPr>
          <w:lang w:val="en-US" w:eastAsia="en-US"/>
        </w:rPr>
        <w:t xml:space="preserve"> </w:t>
      </w:r>
      <w:r w:rsidRPr="00306E1D">
        <w:t>The IPA represents a fusion of cutting-edge technology and pedagogical principles, offering users a hands-on learning experience in a risk-free environment. Leveraging historical market data and advanced machine learning algorithms, the platform provides personalized investment recommendations. By simulating transactions, tracking portfolio performance, and comparing strategies against recommended approaches, users gain valuable insights into investment dynamics and build confidence in their decision-making abilities.</w:t>
      </w:r>
      <w:r w:rsidRPr="00306E1D">
        <w:rPr>
          <w:lang w:val="en-US" w:eastAsia="en-US"/>
        </w:rPr>
        <w:t xml:space="preserve"> </w:t>
      </w:r>
      <w:r w:rsidRPr="00306E1D">
        <w:t xml:space="preserve">In this paper, we present the design and implementation of the IPA, detailing its key features, development process, and the rationale behind its creation. We highlight the importance of user-friendly design, </w:t>
      </w:r>
      <w:r w:rsidRPr="00306E1D">
        <w:t xml:space="preserve">secure authentication, and </w:t>
      </w:r>
      <w:r w:rsidR="003646CE">
        <w:t xml:space="preserve">an </w:t>
      </w:r>
      <w:r w:rsidRPr="00306E1D">
        <w:t>intuitive interface to ensure a seamless user experience. Additionally, we discuss the significance of ongoing refinement, testing, and user feedback in enhancing the platform's effectiveness as an educational tool.</w:t>
      </w:r>
      <w:r w:rsidRPr="00306E1D">
        <w:rPr>
          <w:lang w:val="en-US" w:eastAsia="en-US"/>
        </w:rPr>
        <w:t xml:space="preserve"> </w:t>
      </w:r>
      <w:r w:rsidRPr="00306E1D">
        <w:t xml:space="preserve">Through the IPA, we aim to empower college students and young adults with the knowledge and </w:t>
      </w:r>
      <w:r w:rsidR="00D16BFF">
        <w:t>practical hands on the</w:t>
      </w:r>
      <w:r w:rsidRPr="00306E1D">
        <w:t xml:space="preserve"> financial markets confidently. By providing practical exposure to investment strategies and fostering financial literacy, the IPA </w:t>
      </w:r>
      <w:r w:rsidR="003646CE">
        <w:t>can</w:t>
      </w:r>
      <w:r w:rsidRPr="00306E1D">
        <w:t xml:space="preserve"> shape a generation of informed investors capable of making sound financial </w:t>
      </w:r>
      <w:r w:rsidR="003646CE" w:rsidRPr="00306E1D">
        <w:t>decisions [</w:t>
      </w:r>
      <w:r w:rsidR="00934013" w:rsidRPr="00306E1D">
        <w:t xml:space="preserve">4] </w:t>
      </w:r>
      <w:r w:rsidRPr="00306E1D">
        <w:t>and achieving long-term financial success.</w:t>
      </w:r>
    </w:p>
    <w:p w14:paraId="3BDB6FDE" w14:textId="417DDAEC" w:rsidR="00081EBE" w:rsidRPr="00306E1D" w:rsidRDefault="00142DF5" w:rsidP="00980199">
      <w:pPr>
        <w:pStyle w:val="IEEEHeading1"/>
      </w:pPr>
      <w:r w:rsidRPr="00306E1D">
        <w:t xml:space="preserve">LITERATURE </w:t>
      </w:r>
      <w:r w:rsidR="00D11D48" w:rsidRPr="00306E1D">
        <w:br/>
      </w:r>
    </w:p>
    <w:p w14:paraId="12599D11" w14:textId="249038E4" w:rsidR="00142DF5" w:rsidRPr="00306E1D" w:rsidRDefault="00142DF5" w:rsidP="00306E1D">
      <w:pPr>
        <w:jc w:val="both"/>
        <w:rPr>
          <w:lang w:val="en-US" w:eastAsia="en-US"/>
        </w:rPr>
      </w:pPr>
      <w:r w:rsidRPr="00306E1D">
        <w:t xml:space="preserve">Financial Literacy and Education: Discuss the importance of financial literacy and education </w:t>
      </w:r>
      <w:r w:rsidR="003646CE" w:rsidRPr="00306E1D">
        <w:t>today</w:t>
      </w:r>
      <w:r w:rsidRPr="00306E1D">
        <w:t>. Highlight existing literature on the effectiveness of educational interventions in improving financial knowledge and decision-making skills among college students and young adults.</w:t>
      </w:r>
      <w:r w:rsidR="00F77920" w:rsidRPr="00306E1D">
        <w:rPr>
          <w:lang w:val="en-US" w:eastAsia="en-US"/>
        </w:rPr>
        <w:t xml:space="preserve"> </w:t>
      </w:r>
      <w:r w:rsidR="00934013" w:rsidRPr="00306E1D">
        <w:rPr>
          <w:lang w:val="en-US" w:eastAsia="en-US"/>
        </w:rPr>
        <w:t xml:space="preserve">[5] </w:t>
      </w:r>
      <w:r w:rsidRPr="00306E1D">
        <w:t xml:space="preserve">Investment Education: Explore previous research on investment education programs and tools designed to teach individuals about investing principles and strategies. </w:t>
      </w:r>
      <w:r w:rsidR="00243763">
        <w:t>Thinking of both strengths and weaknesses,</w:t>
      </w:r>
      <w:r w:rsidRPr="00306E1D">
        <w:t xml:space="preserve"> including classroom-based instruction, online tutorials, and simulation platforms.</w:t>
      </w:r>
      <w:r w:rsidR="00F77920" w:rsidRPr="00306E1D">
        <w:rPr>
          <w:lang w:val="en-US" w:eastAsia="en-US"/>
        </w:rPr>
        <w:t xml:space="preserve"> </w:t>
      </w:r>
      <w:r w:rsidRPr="00306E1D">
        <w:t xml:space="preserve">Virtual Investment Platforms: Review literature on virtual investment platforms and their role in educating users about financial markets. Identify key features and functionalities that contribute to the effectiveness of these platforms in teaching investment </w:t>
      </w:r>
      <w:r w:rsidR="000012BB" w:rsidRPr="00306E1D">
        <w:t>concepts [</w:t>
      </w:r>
      <w:r w:rsidR="00D44E3A" w:rsidRPr="00306E1D">
        <w:t>8]</w:t>
      </w:r>
      <w:r w:rsidRPr="00306E1D">
        <w:t xml:space="preserve"> and skills.</w:t>
      </w:r>
      <w:r w:rsidR="00F77920" w:rsidRPr="00306E1D">
        <w:rPr>
          <w:lang w:val="en-US" w:eastAsia="en-US"/>
        </w:rPr>
        <w:t xml:space="preserve"> </w:t>
      </w:r>
      <w:r w:rsidRPr="00306E1D">
        <w:t xml:space="preserve">Machine Learning in Finance: Examine research on the application of machine learning algorithms in finance, particularly in portfolio management, risk assessment, and investment decision-making. </w:t>
      </w:r>
      <w:r w:rsidRPr="00306E1D">
        <w:lastRenderedPageBreak/>
        <w:t xml:space="preserve">Highlight studies </w:t>
      </w:r>
      <w:r w:rsidR="003646CE">
        <w:t>demonstrating</w:t>
      </w:r>
      <w:r w:rsidRPr="00306E1D">
        <w:t xml:space="preserve"> the potential benefits of using machine learning techniques to </w:t>
      </w:r>
      <w:r w:rsidR="003646CE" w:rsidRPr="00306E1D">
        <w:t>analyse</w:t>
      </w:r>
      <w:r w:rsidRPr="00306E1D">
        <w:t xml:space="preserve"> market data and generate investment recommendations.</w:t>
      </w:r>
    </w:p>
    <w:p w14:paraId="12EB4C53" w14:textId="50169F74" w:rsidR="00142DF5" w:rsidRPr="00306E1D" w:rsidRDefault="00142DF5" w:rsidP="00306E1D">
      <w:pPr>
        <w:jc w:val="both"/>
      </w:pPr>
      <w:r w:rsidRPr="00306E1D">
        <w:t>User Experience and Engagement: Investigate research on user experience design and engagement strategies in educational technology platforms. Explore how interface design, interactivity, and personalization contribute to user engagement and learning outcomes.</w:t>
      </w:r>
      <w:r w:rsidR="00D44E3A" w:rsidRPr="00306E1D">
        <w:t>[6]</w:t>
      </w:r>
    </w:p>
    <w:p w14:paraId="3A810FB7" w14:textId="77777777" w:rsidR="00DC1B8B" w:rsidRPr="00D11D48" w:rsidRDefault="00DC1B8B" w:rsidP="00DC1B8B">
      <w:pPr>
        <w:pStyle w:val="IEEEParagraph"/>
      </w:pPr>
    </w:p>
    <w:p w14:paraId="398C7693" w14:textId="69E65F14" w:rsidR="00DC1B8B" w:rsidRPr="00D11D48" w:rsidRDefault="00DC1B8B" w:rsidP="00DC1B8B">
      <w:pPr>
        <w:pStyle w:val="IEEEHeading1"/>
        <w:rPr>
          <w:szCs w:val="20"/>
        </w:rPr>
      </w:pPr>
      <w:r w:rsidRPr="00D11D48">
        <w:rPr>
          <w:szCs w:val="20"/>
        </w:rPr>
        <w:t>CURRENT SOLUTIONS</w:t>
      </w:r>
    </w:p>
    <w:p w14:paraId="589DD1F5" w14:textId="77777777" w:rsidR="00DC1B8B" w:rsidRPr="00D11D48" w:rsidRDefault="00DC1B8B" w:rsidP="00DC1B8B">
      <w:pPr>
        <w:pStyle w:val="IEEEParagraph"/>
      </w:pPr>
    </w:p>
    <w:p w14:paraId="6E9272B9" w14:textId="13D064AD" w:rsidR="00C06BB4" w:rsidRPr="00D11D48" w:rsidRDefault="005A4977" w:rsidP="005A4977">
      <w:pPr>
        <w:pStyle w:val="IEEEParagraph"/>
        <w:ind w:firstLine="0"/>
      </w:pPr>
      <w:r w:rsidRPr="00D11D48">
        <w:t xml:space="preserve">Existing solutions for investment education range from traditional programs in academic institutions to online platforms offering simulated trading experiences and </w:t>
      </w:r>
      <w:proofErr w:type="spellStart"/>
      <w:r w:rsidRPr="00D11D48">
        <w:t>robo</w:t>
      </w:r>
      <w:proofErr w:type="spellEnd"/>
      <w:r w:rsidRPr="00D11D48">
        <w:t>-advisors providing automated investment advice.</w:t>
      </w:r>
      <w:r w:rsidR="00D44E3A" w:rsidRPr="00D11D48">
        <w:t>[16]</w:t>
      </w:r>
      <w:r w:rsidRPr="00D11D48">
        <w:t xml:space="preserve"> Emerging tools leverage machine learning algorithms to </w:t>
      </w:r>
      <w:r w:rsidR="003646CE" w:rsidRPr="00D11D48">
        <w:t>analyse</w:t>
      </w:r>
      <w:r w:rsidRPr="00D11D48">
        <w:t xml:space="preserve"> market data and </w:t>
      </w:r>
      <w:r w:rsidR="003646CE">
        <w:t>provide</w:t>
      </w:r>
      <w:r w:rsidRPr="00D11D48">
        <w:t xml:space="preserve"> personalized recommendations, while financial education apps and gamified platforms aim to make learning engaging.</w:t>
      </w:r>
      <w:r w:rsidR="00D44E3A" w:rsidRPr="00D11D48">
        <w:t>[17]</w:t>
      </w:r>
      <w:r w:rsidRPr="00D11D48">
        <w:t xml:space="preserve"> Hybrid solutions combine </w:t>
      </w:r>
      <w:r w:rsidR="003646CE">
        <w:t>traditional education, online platforms, and machine learning elements</w:t>
      </w:r>
      <w:r w:rsidRPr="00D11D48">
        <w:t xml:space="preserve"> to offer comprehensive learning experiences.</w:t>
      </w:r>
      <w:r w:rsidR="00D44E3A" w:rsidRPr="00D11D48">
        <w:t>[18]</w:t>
      </w:r>
      <w:r w:rsidRPr="00D11D48">
        <w:t xml:space="preserve"> Despite the variety of options available, there remains a need for innovative solutions that </w:t>
      </w:r>
      <w:r w:rsidR="003646CE">
        <w:t xml:space="preserve">make users aware of financial knowledge using a practical approach; this </w:t>
      </w:r>
      <w:r w:rsidRPr="00D11D48">
        <w:t>is where our AI-powered Investment Portfolio Assistant (IPA) aims to excel by offering personalized recommendations and hands-on learning in a user-friendly interface.</w:t>
      </w:r>
    </w:p>
    <w:p w14:paraId="1C245A37" w14:textId="77777777" w:rsidR="005A4977" w:rsidRPr="00D11D48" w:rsidRDefault="005A4977" w:rsidP="005A4977">
      <w:pPr>
        <w:pStyle w:val="IEEEParagraph"/>
        <w:ind w:firstLine="0"/>
      </w:pPr>
    </w:p>
    <w:p w14:paraId="25DAEA61" w14:textId="78D25160" w:rsidR="005A4977" w:rsidRPr="00D11D48" w:rsidRDefault="005A4977" w:rsidP="005A4977">
      <w:pPr>
        <w:pStyle w:val="IEEEHeading1"/>
        <w:rPr>
          <w:szCs w:val="20"/>
        </w:rPr>
      </w:pPr>
      <w:r w:rsidRPr="00D11D48">
        <w:rPr>
          <w:szCs w:val="20"/>
        </w:rPr>
        <w:t>Project Requirements</w:t>
      </w:r>
    </w:p>
    <w:p w14:paraId="03480584" w14:textId="0BA5058F" w:rsidR="00542C85" w:rsidRPr="00D11D48" w:rsidRDefault="005A4977" w:rsidP="00542C85">
      <w:pPr>
        <w:pStyle w:val="IEEEHeading2"/>
        <w:numPr>
          <w:ilvl w:val="0"/>
          <w:numId w:val="39"/>
        </w:numPr>
        <w:rPr>
          <w:sz w:val="24"/>
        </w:rPr>
      </w:pPr>
      <w:r w:rsidRPr="00D11D48">
        <w:rPr>
          <w:sz w:val="24"/>
        </w:rPr>
        <w:t>Functional Requirements</w:t>
      </w:r>
    </w:p>
    <w:p w14:paraId="4597F68A" w14:textId="7A42EE8B" w:rsidR="005A4977" w:rsidRPr="00D11D48" w:rsidRDefault="005A4977" w:rsidP="005A4977">
      <w:pPr>
        <w:pStyle w:val="IEEEParagraph"/>
      </w:pPr>
      <w:r w:rsidRPr="00D11D48">
        <w:t xml:space="preserve">Functional requirements outline the specific functionalities and features that the project must possess to meet its objectives. Here's a breakdown of functional requirements for </w:t>
      </w:r>
      <w:r w:rsidR="000012BB">
        <w:t xml:space="preserve">our </w:t>
      </w:r>
      <w:r w:rsidRPr="00D11D48">
        <w:t>AI-powered Investment Portfolio Assistant:</w:t>
      </w:r>
    </w:p>
    <w:p w14:paraId="4E27A0D6" w14:textId="119318B2" w:rsidR="005A4977" w:rsidRPr="00D11D48" w:rsidRDefault="005A4977" w:rsidP="00AE2EA5">
      <w:pPr>
        <w:pStyle w:val="IEEEParagraph"/>
        <w:ind w:firstLine="0"/>
      </w:pPr>
      <w:r w:rsidRPr="00D11D48">
        <w:t xml:space="preserve">User Authentication: The platform </w:t>
      </w:r>
      <w:r w:rsidR="000012BB">
        <w:t>will have</w:t>
      </w:r>
      <w:r w:rsidRPr="00D11D48">
        <w:t xml:space="preserve"> a secure user authentication system, allowing users to sign up for accounts, log in securely, and reset their passwords if needed.</w:t>
      </w:r>
      <w:r w:rsidR="00D44E3A" w:rsidRPr="00D11D48">
        <w:t>[19]</w:t>
      </w:r>
    </w:p>
    <w:p w14:paraId="615219F7" w14:textId="77777777" w:rsidR="005A4977" w:rsidRPr="00D11D48" w:rsidRDefault="005A4977" w:rsidP="005A4977">
      <w:pPr>
        <w:pStyle w:val="IEEEParagraph"/>
      </w:pPr>
    </w:p>
    <w:p w14:paraId="25BB0BF9" w14:textId="759570D8" w:rsidR="005A4977" w:rsidRPr="00D11D48" w:rsidRDefault="005A4977" w:rsidP="005A4977">
      <w:pPr>
        <w:pStyle w:val="IEEEParagraph"/>
      </w:pPr>
      <w:r w:rsidRPr="00D11D48">
        <w:t>Dashboard: U</w:t>
      </w:r>
      <w:r w:rsidR="003646CE">
        <w:t>pon logging in, users can access a dashboard that displays basic account information and provides easy navigation to different platform sections</w:t>
      </w:r>
      <w:r w:rsidR="00AA1C30">
        <w:t>.</w:t>
      </w:r>
    </w:p>
    <w:p w14:paraId="13C710DF" w14:textId="77777777" w:rsidR="005A4977" w:rsidRPr="00D11D48" w:rsidRDefault="005A4977" w:rsidP="005A4977">
      <w:pPr>
        <w:pStyle w:val="IEEEParagraph"/>
      </w:pPr>
    </w:p>
    <w:p w14:paraId="56DF0471" w14:textId="719DF883" w:rsidR="005A4977" w:rsidRPr="00D11D48" w:rsidRDefault="006A77F1" w:rsidP="005A4977">
      <w:pPr>
        <w:pStyle w:val="IEEEParagraph"/>
      </w:pPr>
      <w:r w:rsidRPr="006A77F1">
        <w:t>Portfolio management features should include the ability to build virtual investment portfolios, modify, add, or remove investments from within them, examine comprehensive details about each investment option, replicate transactions using historical market data, and monitor the performance of their portfolios over time.</w:t>
      </w:r>
      <w:r>
        <w:t xml:space="preserve"> [</w:t>
      </w:r>
      <w:r w:rsidR="00D44E3A" w:rsidRPr="00D11D48">
        <w:t>21]</w:t>
      </w:r>
    </w:p>
    <w:p w14:paraId="44BA3D31" w14:textId="77777777" w:rsidR="005A4977" w:rsidRPr="00D11D48" w:rsidRDefault="005A4977" w:rsidP="005A4977">
      <w:pPr>
        <w:pStyle w:val="IEEEParagraph"/>
      </w:pPr>
    </w:p>
    <w:p w14:paraId="37CA47FC" w14:textId="5C62A28B" w:rsidR="005A4977" w:rsidRPr="00D11D48" w:rsidRDefault="005A4977" w:rsidP="005A4977">
      <w:pPr>
        <w:pStyle w:val="IEEEParagraph"/>
      </w:pPr>
      <w:r w:rsidRPr="00D11D48">
        <w:t>Machine Learning Integration: The platform integrate</w:t>
      </w:r>
      <w:r w:rsidR="00845545">
        <w:t>s</w:t>
      </w:r>
      <w:r w:rsidRPr="00D11D48">
        <w:t xml:space="preserve"> machine learning algorithms to provide personalized investment recommendations based on users' financial goals and risk tolerance. Users should be able to compare the performance of their portfolios against recommended strategies and adjust their portfolios accordingly.</w:t>
      </w:r>
    </w:p>
    <w:p w14:paraId="66385773" w14:textId="77777777" w:rsidR="005A4977" w:rsidRPr="00D11D48" w:rsidRDefault="005A4977" w:rsidP="005A4977">
      <w:pPr>
        <w:pStyle w:val="IEEEParagraph"/>
      </w:pPr>
    </w:p>
    <w:p w14:paraId="1A7FCCDE" w14:textId="1B6AE818" w:rsidR="005A4977" w:rsidRPr="00D11D48" w:rsidRDefault="005A4977" w:rsidP="005A4977">
      <w:pPr>
        <w:pStyle w:val="IEEEParagraph"/>
      </w:pPr>
      <w:r w:rsidRPr="00D11D48">
        <w:t>Educational Resources: The platform</w:t>
      </w:r>
      <w:r w:rsidR="00845545">
        <w:t xml:space="preserve"> </w:t>
      </w:r>
      <w:r w:rsidRPr="00D11D48">
        <w:t>offer</w:t>
      </w:r>
      <w:r w:rsidR="00845545">
        <w:t>s</w:t>
      </w:r>
      <w:r w:rsidRPr="00D11D48">
        <w:t xml:space="preserve"> educational resources, such as tutorials on </w:t>
      </w:r>
      <w:r w:rsidR="003646CE">
        <w:t>fundamental</w:t>
      </w:r>
      <w:r w:rsidRPr="00D11D48">
        <w:t xml:space="preserve"> investing principles, to help users understand key concepts and make informed decisions.</w:t>
      </w:r>
    </w:p>
    <w:p w14:paraId="33E31E51" w14:textId="77777777" w:rsidR="005A4977" w:rsidRPr="00D11D48" w:rsidRDefault="005A4977" w:rsidP="005A4977">
      <w:pPr>
        <w:pStyle w:val="IEEEParagraph"/>
      </w:pPr>
    </w:p>
    <w:p w14:paraId="2B0ECFB6" w14:textId="1D8C327B" w:rsidR="005A4977" w:rsidRPr="00D11D48" w:rsidRDefault="005A4977" w:rsidP="005A4977">
      <w:pPr>
        <w:pStyle w:val="IEEEParagraph"/>
      </w:pPr>
      <w:r w:rsidRPr="00D11D48">
        <w:t>User Interface: The platform ha</w:t>
      </w:r>
      <w:r w:rsidR="00845545">
        <w:t>s</w:t>
      </w:r>
      <w:r w:rsidRPr="00D11D48">
        <w:t xml:space="preserve"> a clean, intuitive user interface that is easy to navigate and visually appealing. It should be responsive and accessible on various devices, including desktops, laptops, tablets, and smartphones.</w:t>
      </w:r>
    </w:p>
    <w:p w14:paraId="72433B20" w14:textId="77777777" w:rsidR="005A4977" w:rsidRPr="00D11D48" w:rsidRDefault="005A4977" w:rsidP="005A4977">
      <w:pPr>
        <w:pStyle w:val="IEEEParagraph"/>
      </w:pPr>
    </w:p>
    <w:p w14:paraId="18403BCE" w14:textId="66D0BBB9" w:rsidR="005A4977" w:rsidRPr="00D11D48" w:rsidRDefault="005A4977" w:rsidP="005A4977">
      <w:pPr>
        <w:pStyle w:val="IEEEParagraph"/>
      </w:pPr>
      <w:r w:rsidRPr="00D11D48">
        <w:t xml:space="preserve">Feedback and Support: Users </w:t>
      </w:r>
      <w:r w:rsidR="00845545">
        <w:t>will</w:t>
      </w:r>
      <w:r w:rsidRPr="00D11D48">
        <w:t xml:space="preserve"> </w:t>
      </w:r>
      <w:r w:rsidR="003646CE">
        <w:t>be able</w:t>
      </w:r>
      <w:r w:rsidRPr="00D11D48">
        <w:t xml:space="preserve"> to provide feedback on the platform's usability and report any bugs or issues they encounter. Additionally, comprehensive documentation and support resources should be available to assist users in using the platform effectively.</w:t>
      </w:r>
    </w:p>
    <w:p w14:paraId="3F1A91A6" w14:textId="77777777" w:rsidR="005A4977" w:rsidRPr="00D11D48" w:rsidRDefault="005A4977" w:rsidP="005A4977">
      <w:pPr>
        <w:pStyle w:val="IEEEParagraph"/>
      </w:pPr>
    </w:p>
    <w:p w14:paraId="79E5A871" w14:textId="24133909" w:rsidR="005D141F" w:rsidRPr="00D11D48" w:rsidRDefault="003646CE" w:rsidP="005D141F">
      <w:pPr>
        <w:pStyle w:val="IEEEHeading2"/>
        <w:numPr>
          <w:ilvl w:val="0"/>
          <w:numId w:val="39"/>
        </w:numPr>
        <w:rPr>
          <w:szCs w:val="20"/>
        </w:rPr>
      </w:pPr>
      <w:r w:rsidRPr="00D11D48">
        <w:rPr>
          <w:szCs w:val="20"/>
        </w:rPr>
        <w:t>Non-Functional</w:t>
      </w:r>
      <w:r w:rsidR="005D141F" w:rsidRPr="00D11D48">
        <w:rPr>
          <w:szCs w:val="20"/>
        </w:rPr>
        <w:t xml:space="preserve"> Requirements</w:t>
      </w:r>
    </w:p>
    <w:p w14:paraId="60C9B160" w14:textId="77777777" w:rsidR="005D141F" w:rsidRPr="00D11D48" w:rsidRDefault="005D141F" w:rsidP="005D141F">
      <w:pPr>
        <w:pStyle w:val="IEEEParagraph"/>
      </w:pPr>
    </w:p>
    <w:p w14:paraId="34A69900" w14:textId="04D681E7" w:rsidR="005D141F" w:rsidRPr="00D11D48" w:rsidRDefault="005D141F" w:rsidP="005D141F">
      <w:pPr>
        <w:pStyle w:val="IEEEParagraph"/>
      </w:pPr>
      <w:r w:rsidRPr="00D11D48">
        <w:t>1.</w:t>
      </w:r>
      <w:r w:rsidR="003646CE">
        <w:t xml:space="preserve"> </w:t>
      </w:r>
      <w:r w:rsidRPr="00D11D48">
        <w:t xml:space="preserve">Performance: </w:t>
      </w:r>
      <w:r w:rsidR="00845545">
        <w:t xml:space="preserve">Our solution will </w:t>
      </w:r>
      <w:r w:rsidRPr="00D11D48">
        <w:t>be responsive</w:t>
      </w:r>
      <w:r w:rsidR="003646CE">
        <w:t xml:space="preserve"> and</w:t>
      </w:r>
      <w:r w:rsidRPr="00D11D48">
        <w:t xml:space="preserve"> capable of handling large volumes of data and user interactions efficiently.</w:t>
      </w:r>
    </w:p>
    <w:p w14:paraId="764868C4" w14:textId="34423E34" w:rsidR="005D141F" w:rsidRPr="00D11D48" w:rsidRDefault="005D141F" w:rsidP="005D141F">
      <w:pPr>
        <w:pStyle w:val="IEEEParagraph"/>
      </w:pPr>
      <w:r w:rsidRPr="00D11D48">
        <w:lastRenderedPageBreak/>
        <w:t>2.</w:t>
      </w:r>
      <w:r w:rsidR="003646CE">
        <w:t xml:space="preserve"> </w:t>
      </w:r>
      <w:r w:rsidRPr="00D11D48">
        <w:t xml:space="preserve">Scalability: It </w:t>
      </w:r>
      <w:r w:rsidR="00845545">
        <w:t xml:space="preserve">will be </w:t>
      </w:r>
      <w:r w:rsidRPr="00D11D48">
        <w:t>eas</w:t>
      </w:r>
      <w:r w:rsidR="00845545">
        <w:t>y to</w:t>
      </w:r>
      <w:r w:rsidRPr="00D11D48">
        <w:t xml:space="preserve"> scale to accommodate increasing user demand without sacrificing performance.</w:t>
      </w:r>
    </w:p>
    <w:p w14:paraId="52E82A40" w14:textId="346FD21B" w:rsidR="005D141F" w:rsidRPr="00D11D48" w:rsidRDefault="005D141F" w:rsidP="005D141F">
      <w:pPr>
        <w:pStyle w:val="IEEEParagraph"/>
      </w:pPr>
      <w:r w:rsidRPr="00D11D48">
        <w:t xml:space="preserve">3. Reliability: The platform </w:t>
      </w:r>
      <w:r w:rsidR="00845545">
        <w:t>will</w:t>
      </w:r>
      <w:r w:rsidRPr="00D11D48">
        <w:t xml:space="preserve"> have minimal downtime, quick </w:t>
      </w:r>
      <w:r w:rsidR="003646CE">
        <w:t>failure recovery</w:t>
      </w:r>
      <w:r w:rsidRPr="00D11D48">
        <w:t>, and mechanisms to prevent data loss.</w:t>
      </w:r>
    </w:p>
    <w:p w14:paraId="2FA9CD9D" w14:textId="137D914A" w:rsidR="005D141F" w:rsidRPr="00D11D48" w:rsidRDefault="005D141F" w:rsidP="005D141F">
      <w:pPr>
        <w:pStyle w:val="IEEEParagraph"/>
      </w:pPr>
      <w:r w:rsidRPr="00D11D48">
        <w:t>4. Security: Adhere</w:t>
      </w:r>
      <w:r w:rsidR="00845545">
        <w:t>s</w:t>
      </w:r>
      <w:r w:rsidRPr="00D11D48">
        <w:t xml:space="preserve"> to industry-standard security protocols, </w:t>
      </w:r>
      <w:r w:rsidR="003646CE">
        <w:t>protecting user data</w:t>
      </w:r>
      <w:r w:rsidRPr="00D11D48">
        <w:t xml:space="preserve"> and preventing unauthorized access.</w:t>
      </w:r>
    </w:p>
    <w:p w14:paraId="2041DD40" w14:textId="2C1C8D8F" w:rsidR="005D141F" w:rsidRPr="00D11D48" w:rsidRDefault="005D141F" w:rsidP="005D141F">
      <w:pPr>
        <w:pStyle w:val="IEEEParagraph"/>
      </w:pPr>
      <w:r w:rsidRPr="00D11D48">
        <w:t xml:space="preserve">5. Usability: The user interface </w:t>
      </w:r>
      <w:r w:rsidR="00845545">
        <w:t>will</w:t>
      </w:r>
      <w:r w:rsidRPr="00D11D48">
        <w:t xml:space="preserve"> be intuitive</w:t>
      </w:r>
      <w:r w:rsidR="003646CE">
        <w:t xml:space="preserve"> and accessible</w:t>
      </w:r>
      <w:r w:rsidRPr="00D11D48">
        <w:t xml:space="preserve"> and require minimal training.</w:t>
      </w:r>
    </w:p>
    <w:p w14:paraId="19D1923B" w14:textId="22E6621C" w:rsidR="005D141F" w:rsidRPr="00D11D48" w:rsidRDefault="005D141F" w:rsidP="005D141F">
      <w:pPr>
        <w:pStyle w:val="IEEEParagraph"/>
      </w:pPr>
      <w:r w:rsidRPr="00D11D48">
        <w:t>6. Compatibility: Compatible with various web browsers and devices, integrating seamlessly with third-party services.</w:t>
      </w:r>
    </w:p>
    <w:p w14:paraId="17E39AD5" w14:textId="7C61B249" w:rsidR="005D141F" w:rsidRPr="00D11D48" w:rsidRDefault="005D141F" w:rsidP="005D141F">
      <w:pPr>
        <w:pStyle w:val="IEEEParagraph"/>
      </w:pPr>
      <w:r w:rsidRPr="00D11D48">
        <w:t>7. Privacy: Respect user privacy, adhere to data protection regulations, and provide clear information on data usage.</w:t>
      </w:r>
    </w:p>
    <w:p w14:paraId="685D32D8" w14:textId="62DB0479" w:rsidR="005A4977" w:rsidRPr="00D11D48" w:rsidRDefault="005D141F" w:rsidP="005D141F">
      <w:pPr>
        <w:pStyle w:val="IEEEParagraph"/>
      </w:pPr>
      <w:r w:rsidRPr="00D11D48">
        <w:t>8. Maintainability: Easy to maintain and update, with well-documented code and support for seamless deployment of updates.</w:t>
      </w:r>
    </w:p>
    <w:p w14:paraId="72BC59A2" w14:textId="77777777" w:rsidR="005D141F" w:rsidRPr="00D11D48" w:rsidRDefault="005D141F" w:rsidP="005D141F">
      <w:pPr>
        <w:pStyle w:val="IEEEParagraph"/>
      </w:pPr>
    </w:p>
    <w:p w14:paraId="06343944" w14:textId="77777777" w:rsidR="005D141F" w:rsidRPr="00D11D48" w:rsidRDefault="005D141F" w:rsidP="005D141F">
      <w:pPr>
        <w:pStyle w:val="IEEEParagraph"/>
      </w:pPr>
    </w:p>
    <w:p w14:paraId="4D35612A" w14:textId="53EAB3D0" w:rsidR="005D141F" w:rsidRPr="00D11D48" w:rsidRDefault="007B439C" w:rsidP="005D141F">
      <w:pPr>
        <w:pStyle w:val="IEEEHeading1"/>
        <w:rPr>
          <w:szCs w:val="20"/>
        </w:rPr>
      </w:pPr>
      <w:r w:rsidRPr="00D11D48">
        <w:rPr>
          <w:szCs w:val="20"/>
        </w:rPr>
        <w:t>SYSTEM DESIGN</w:t>
      </w:r>
    </w:p>
    <w:p w14:paraId="383D28FD" w14:textId="77777777" w:rsidR="007B439C" w:rsidRPr="00D11D48" w:rsidRDefault="007B439C" w:rsidP="007B439C">
      <w:pPr>
        <w:pStyle w:val="IEEEParagraph"/>
      </w:pPr>
    </w:p>
    <w:p w14:paraId="0696E3CE" w14:textId="42DBE801" w:rsidR="007B439C" w:rsidRPr="00D11D48" w:rsidRDefault="007B439C" w:rsidP="007B439C">
      <w:pPr>
        <w:pStyle w:val="IEEEHeading2"/>
        <w:numPr>
          <w:ilvl w:val="1"/>
          <w:numId w:val="46"/>
        </w:numPr>
        <w:rPr>
          <w:sz w:val="24"/>
        </w:rPr>
      </w:pPr>
      <w:r w:rsidRPr="00D11D48">
        <w:rPr>
          <w:sz w:val="24"/>
        </w:rPr>
        <w:t>System Architecture</w:t>
      </w:r>
    </w:p>
    <w:p w14:paraId="724A6EE1" w14:textId="77777777" w:rsidR="009D53B6" w:rsidRPr="00D11D48" w:rsidRDefault="009D53B6" w:rsidP="009D53B6">
      <w:pPr>
        <w:pStyle w:val="IEEEParagraph"/>
      </w:pPr>
    </w:p>
    <w:p w14:paraId="2B337126" w14:textId="77777777" w:rsidR="009D53B6" w:rsidRPr="00D11D48" w:rsidRDefault="009D53B6" w:rsidP="009D53B6">
      <w:pPr>
        <w:pStyle w:val="IEEEParagraph"/>
      </w:pPr>
    </w:p>
    <w:p w14:paraId="2B5B1EF5" w14:textId="5726FFDB" w:rsidR="007B439C" w:rsidRPr="00D11D48" w:rsidRDefault="00954B9E" w:rsidP="007B439C">
      <w:pPr>
        <w:pStyle w:val="IEEEParagraph"/>
      </w:pPr>
      <w:r w:rsidRPr="00D11D48">
        <w:rPr>
          <w:noProof/>
        </w:rPr>
        <w:drawing>
          <wp:inline distT="0" distB="0" distL="0" distR="0" wp14:anchorId="0E326614" wp14:editId="0E451345">
            <wp:extent cx="2862469" cy="2365375"/>
            <wp:effectExtent l="0" t="0" r="0" b="0"/>
            <wp:docPr id="160052862" name="Picture 3"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52862" name="Picture 3" descr="A diagram of a softwar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2469" cy="2365375"/>
                    </a:xfrm>
                    <a:prstGeom prst="rect">
                      <a:avLst/>
                    </a:prstGeom>
                  </pic:spPr>
                </pic:pic>
              </a:graphicData>
            </a:graphic>
          </wp:inline>
        </w:drawing>
      </w:r>
    </w:p>
    <w:p w14:paraId="73430701" w14:textId="77777777" w:rsidR="005A4977" w:rsidRPr="00D11D48" w:rsidRDefault="005A4977" w:rsidP="005A4977">
      <w:pPr>
        <w:pStyle w:val="IEEEParagraph"/>
      </w:pPr>
    </w:p>
    <w:p w14:paraId="369F5490" w14:textId="65E319FE" w:rsidR="00980199" w:rsidRDefault="00980199" w:rsidP="00980199">
      <w:pPr>
        <w:pStyle w:val="IEEEFigureCaptionMulti-Lines"/>
        <w:jc w:val="center"/>
      </w:pPr>
      <w:r>
        <w:t xml:space="preserve">Fig </w:t>
      </w:r>
      <w:r>
        <w:fldChar w:fldCharType="begin"/>
      </w:r>
      <w:r>
        <w:instrText xml:space="preserve"> SEQ Fig. \* ARABIC  \* MERGEFORMAT </w:instrText>
      </w:r>
      <w:r>
        <w:fldChar w:fldCharType="separate"/>
      </w:r>
      <w:r w:rsidR="00D267D9">
        <w:rPr>
          <w:noProof/>
        </w:rPr>
        <w:t>1</w:t>
      </w:r>
      <w:r>
        <w:rPr>
          <w:noProof/>
        </w:rPr>
        <w:fldChar w:fldCharType="end"/>
      </w:r>
      <w:r>
        <w:t xml:space="preserve">  </w:t>
      </w:r>
      <w:r>
        <w:t>Architecture Diagram for Investmate</w:t>
      </w:r>
    </w:p>
    <w:p w14:paraId="4FD027B0" w14:textId="5C7F68C9" w:rsidR="00F90618" w:rsidRPr="00D11D48" w:rsidRDefault="00845545" w:rsidP="005A4977">
      <w:pPr>
        <w:pStyle w:val="IEEEParagraph"/>
      </w:pPr>
      <w:r>
        <w:br/>
      </w:r>
    </w:p>
    <w:p w14:paraId="05C150D0" w14:textId="39FA3AA4" w:rsidR="00CD404E" w:rsidRPr="00D11D48" w:rsidRDefault="00D11D48" w:rsidP="00D11D48">
      <w:pPr>
        <w:pStyle w:val="IEEEParagraph"/>
        <w:numPr>
          <w:ilvl w:val="1"/>
          <w:numId w:val="46"/>
        </w:numPr>
        <w:tabs>
          <w:tab w:val="clear" w:pos="288"/>
        </w:tabs>
        <w:ind w:left="142" w:firstLine="0"/>
      </w:pPr>
      <w:r>
        <w:rPr>
          <w:sz w:val="20"/>
          <w:szCs w:val="20"/>
        </w:rPr>
        <w:t>Frontend</w:t>
      </w:r>
      <w:r w:rsidR="00CD404E" w:rsidRPr="00D11D48">
        <w:br/>
      </w:r>
      <w:r w:rsidR="00CD404E" w:rsidRPr="00D11D48">
        <w:br/>
      </w:r>
      <w:r w:rsidR="00CD404E" w:rsidRPr="00D11D48">
        <w:rPr>
          <w:color w:val="0D0D0D"/>
          <w:shd w:val="clear" w:color="auto" w:fill="FFFFFF"/>
        </w:rPr>
        <w:t>The frontend requirements include developing an intuitive, responsive user interface with secure authentication features for sign-up, login, and password reset. A</w:t>
      </w:r>
      <w:r w:rsidR="003646CE">
        <w:rPr>
          <w:color w:val="0D0D0D"/>
          <w:shd w:val="clear" w:color="auto" w:fill="FFFFFF"/>
        </w:rPr>
        <w:t xml:space="preserve"> dashboard displaying account and portfolio summaries should also</w:t>
      </w:r>
      <w:r w:rsidR="00CD404E" w:rsidRPr="00D11D48">
        <w:rPr>
          <w:color w:val="0D0D0D"/>
          <w:shd w:val="clear" w:color="auto" w:fill="FFFFFF"/>
        </w:rPr>
        <w:t xml:space="preserve"> be designed, along with tools for managing investments and tracking performance. Educational resources, such as tutorials on investing principles, should be provided, along with mechanisms for user feedback and accessibility considerations for users with disabilities.</w:t>
      </w:r>
      <w:r>
        <w:rPr>
          <w:color w:val="0D0D0D"/>
          <w:shd w:val="clear" w:color="auto" w:fill="FFFFFF"/>
        </w:rPr>
        <w:br/>
      </w:r>
    </w:p>
    <w:p w14:paraId="2D966D98" w14:textId="3170A485" w:rsidR="00695976" w:rsidRPr="00D11D48" w:rsidRDefault="00695976" w:rsidP="00D11D48">
      <w:pPr>
        <w:pStyle w:val="IEEEParagraph"/>
        <w:numPr>
          <w:ilvl w:val="1"/>
          <w:numId w:val="46"/>
        </w:numPr>
        <w:ind w:left="142" w:hanging="4"/>
      </w:pPr>
      <w:r w:rsidRPr="00D11D48">
        <w:rPr>
          <w:sz w:val="20"/>
          <w:szCs w:val="20"/>
        </w:rPr>
        <w:t>Backend</w:t>
      </w:r>
      <w:r w:rsidRPr="00D11D48">
        <w:br/>
      </w:r>
      <w:r w:rsidRPr="00D11D48">
        <w:br/>
      </w:r>
      <w:r w:rsidRPr="00D11D48">
        <w:t>The backend involve</w:t>
      </w:r>
      <w:r w:rsidR="00845545">
        <w:t>s</w:t>
      </w:r>
      <w:r w:rsidRPr="00D11D48">
        <w:t xml:space="preserve"> setting up a server for request handling and implementing secure authentication mechanisms. Integration with a database for data storage </w:t>
      </w:r>
      <w:r w:rsidR="003646CE">
        <w:t>and developing logic for portfolio management is essential</w:t>
      </w:r>
      <w:r w:rsidRPr="00D11D48">
        <w:t xml:space="preserve">. Additionally, </w:t>
      </w:r>
      <w:r w:rsidR="003646CE">
        <w:t>integrating machine learning models for personalized recommendations and connecting</w:t>
      </w:r>
      <w:r w:rsidRPr="00D11D48">
        <w:t xml:space="preserve"> with external APIs for market data and news </w:t>
      </w:r>
      <w:r w:rsidR="00845545">
        <w:t>was</w:t>
      </w:r>
      <w:r w:rsidRPr="00D11D48">
        <w:t xml:space="preserve"> crucial. Security measures for data protection and compliance should be implemented, and the backend should be designed for scalability to handle increasing demand. Finally, logging and monitoring systems should be established for performance tracking and issue detection.</w:t>
      </w:r>
    </w:p>
    <w:p w14:paraId="743FD6E6" w14:textId="0BB73CE9" w:rsidR="00695976" w:rsidRPr="00D11D48" w:rsidRDefault="00695976" w:rsidP="00695976">
      <w:pPr>
        <w:pStyle w:val="IEEEHeading1"/>
        <w:rPr>
          <w:szCs w:val="20"/>
        </w:rPr>
      </w:pPr>
      <w:r w:rsidRPr="00D11D48">
        <w:rPr>
          <w:szCs w:val="20"/>
        </w:rPr>
        <w:t>Machine Learning</w:t>
      </w:r>
    </w:p>
    <w:p w14:paraId="38B26EE3" w14:textId="1219A892" w:rsidR="00695976" w:rsidRPr="00D11D48" w:rsidRDefault="00695976" w:rsidP="00695976">
      <w:pPr>
        <w:pStyle w:val="IEEEParagraph"/>
        <w:numPr>
          <w:ilvl w:val="1"/>
          <w:numId w:val="46"/>
        </w:numPr>
        <w:rPr>
          <w:sz w:val="20"/>
          <w:szCs w:val="20"/>
        </w:rPr>
      </w:pPr>
      <w:r w:rsidRPr="00D11D48">
        <w:rPr>
          <w:sz w:val="20"/>
          <w:szCs w:val="20"/>
        </w:rPr>
        <w:t>Introduction</w:t>
      </w:r>
    </w:p>
    <w:p w14:paraId="3054D86D" w14:textId="77777777" w:rsidR="00695976" w:rsidRPr="00D11D48" w:rsidRDefault="00695976" w:rsidP="00695976">
      <w:pPr>
        <w:pStyle w:val="IEEEParagraph"/>
      </w:pPr>
    </w:p>
    <w:p w14:paraId="2F71498E" w14:textId="2E2ADE5F" w:rsidR="0043505C" w:rsidRDefault="00E5246B" w:rsidP="00695976">
      <w:pPr>
        <w:pStyle w:val="IEEEParagraph"/>
      </w:pPr>
      <w:r w:rsidRPr="00E5246B">
        <w:t>Stock market pattern identification i</w:t>
      </w:r>
      <w:r>
        <w:t>dentifies</w:t>
      </w:r>
      <w:r w:rsidRPr="00E5246B">
        <w:t xml:space="preserve"> recurring patterns or trends in historical market data that may indicate future price movements. Machine learning models are crucial for </w:t>
      </w:r>
      <w:proofErr w:type="spellStart"/>
      <w:r w:rsidRPr="00E5246B">
        <w:t>analy</w:t>
      </w:r>
      <w:r>
        <w:t>z</w:t>
      </w:r>
      <w:r w:rsidRPr="00E5246B">
        <w:t>ing</w:t>
      </w:r>
      <w:proofErr w:type="spellEnd"/>
      <w:r w:rsidRPr="00E5246B">
        <w:t xml:space="preserve"> historical data, identifying trends, and creating predictions based on those patterns. Our method uses a machine learning algorithm to detect stock market patterns, which helps it make intelligent trading decisions.</w:t>
      </w:r>
    </w:p>
    <w:p w14:paraId="648AEBEB" w14:textId="77777777" w:rsidR="00E5246B" w:rsidRPr="00D11D48" w:rsidRDefault="00E5246B" w:rsidP="00695976">
      <w:pPr>
        <w:pStyle w:val="IEEEParagraph"/>
      </w:pPr>
    </w:p>
    <w:p w14:paraId="67618C46" w14:textId="13AFDF25" w:rsidR="00695976" w:rsidRPr="00D11D48" w:rsidRDefault="00695976" w:rsidP="00695976">
      <w:pPr>
        <w:pStyle w:val="IEEEParagraph"/>
        <w:numPr>
          <w:ilvl w:val="1"/>
          <w:numId w:val="46"/>
        </w:numPr>
        <w:rPr>
          <w:sz w:val="20"/>
          <w:szCs w:val="20"/>
        </w:rPr>
      </w:pPr>
      <w:r w:rsidRPr="00D11D48">
        <w:rPr>
          <w:sz w:val="20"/>
          <w:szCs w:val="20"/>
        </w:rPr>
        <w:t>Model Selection: Random Forest Classifier</w:t>
      </w:r>
    </w:p>
    <w:p w14:paraId="244F49AD" w14:textId="77777777" w:rsidR="00695976" w:rsidRPr="00D11D48" w:rsidRDefault="00695976" w:rsidP="00695976">
      <w:pPr>
        <w:pStyle w:val="IEEEParagraph"/>
      </w:pPr>
    </w:p>
    <w:p w14:paraId="36966C5C" w14:textId="1DB4C399" w:rsidR="00695976" w:rsidRPr="00D11D48" w:rsidRDefault="009E407A" w:rsidP="00695976">
      <w:pPr>
        <w:pStyle w:val="IEEEParagraph"/>
      </w:pPr>
      <w:r w:rsidRPr="009E407A">
        <w:t xml:space="preserve">For classification problems, the Random Forest Classifier is a reliable ensemble learning method that is frequently employed. To increase accuracy and resilience, it trains many decision trees on various </w:t>
      </w:r>
      <w:r w:rsidRPr="009E407A">
        <w:lastRenderedPageBreak/>
        <w:t>data subsets and averages their predictions. The Random Forest Classifier is a good choice for managing complicated datasets with many characteristics and nonlinear interactions in the context of stock market trend identification.</w:t>
      </w:r>
      <w:r>
        <w:br/>
      </w:r>
    </w:p>
    <w:p w14:paraId="43C7D093" w14:textId="5CC8006D" w:rsidR="00695976" w:rsidRPr="00D11D48" w:rsidRDefault="00695976" w:rsidP="00695976">
      <w:pPr>
        <w:pStyle w:val="IEEEParagraph"/>
        <w:numPr>
          <w:ilvl w:val="1"/>
          <w:numId w:val="46"/>
        </w:numPr>
        <w:rPr>
          <w:sz w:val="20"/>
          <w:szCs w:val="20"/>
        </w:rPr>
      </w:pPr>
      <w:r w:rsidRPr="00D11D48">
        <w:rPr>
          <w:sz w:val="20"/>
          <w:szCs w:val="20"/>
        </w:rPr>
        <w:t>Data Preparation</w:t>
      </w:r>
    </w:p>
    <w:p w14:paraId="6399785C" w14:textId="77777777" w:rsidR="00695976" w:rsidRPr="00D11D48" w:rsidRDefault="00695976" w:rsidP="00695976">
      <w:pPr>
        <w:pStyle w:val="IEEEParagraph"/>
      </w:pPr>
    </w:p>
    <w:p w14:paraId="714C882A" w14:textId="2B53EC36" w:rsidR="00695976" w:rsidRPr="00D11D48" w:rsidRDefault="003C7790" w:rsidP="003C7790">
      <w:r w:rsidRPr="003C7790">
        <w:t xml:space="preserve">It is necessary to </w:t>
      </w:r>
      <w:r w:rsidRPr="003C7790">
        <w:t>pre-process</w:t>
      </w:r>
      <w:r w:rsidRPr="003C7790">
        <w:t xml:space="preserve"> and convert the historical market data into a format appropriate for training before creating the machine learning model. This include</w:t>
      </w:r>
      <w:r>
        <w:t>s</w:t>
      </w:r>
      <w:r w:rsidRPr="003C7790">
        <w:t xml:space="preserve"> dividing the data into training and testing sets, encoding categorical variables, scaling numerical features, and managing missing values. Furthermore, </w:t>
      </w:r>
      <w:r>
        <w:t>by identifying</w:t>
      </w:r>
      <w:r w:rsidRPr="003C7790">
        <w:t xml:space="preserve"> pertinent features from the raw data, feature engineering approaches can improve the performance of the model.</w:t>
      </w:r>
      <w:r w:rsidR="00813332">
        <w:br/>
      </w:r>
    </w:p>
    <w:p w14:paraId="2010A513" w14:textId="4CD7A1AB" w:rsidR="00695976" w:rsidRPr="00D11D48" w:rsidRDefault="00695976" w:rsidP="00695976">
      <w:pPr>
        <w:pStyle w:val="IEEEParagraph"/>
        <w:ind w:firstLine="0"/>
        <w:rPr>
          <w:sz w:val="20"/>
          <w:szCs w:val="20"/>
        </w:rPr>
      </w:pPr>
      <w:r w:rsidRPr="00D11D48">
        <w:rPr>
          <w:sz w:val="20"/>
          <w:szCs w:val="20"/>
        </w:rPr>
        <w:t xml:space="preserve">D. </w:t>
      </w:r>
      <w:r w:rsidRPr="00D11D48">
        <w:rPr>
          <w:sz w:val="20"/>
          <w:szCs w:val="20"/>
        </w:rPr>
        <w:t>Model Training</w:t>
      </w:r>
    </w:p>
    <w:p w14:paraId="3999A072" w14:textId="77777777" w:rsidR="00695976" w:rsidRPr="00D11D48" w:rsidRDefault="00695976" w:rsidP="00695976">
      <w:pPr>
        <w:pStyle w:val="IEEEParagraph"/>
      </w:pPr>
    </w:p>
    <w:p w14:paraId="6A012FDD" w14:textId="60643AAD" w:rsidR="00695976" w:rsidRPr="00D11D48" w:rsidRDefault="007A2A3A" w:rsidP="00695976">
      <w:pPr>
        <w:pStyle w:val="IEEEParagraph"/>
      </w:pPr>
      <w:r w:rsidRPr="007A2A3A">
        <w:t xml:space="preserve">The </w:t>
      </w:r>
      <w:r w:rsidR="00BA612F" w:rsidRPr="007A2A3A">
        <w:t>pre-processed</w:t>
      </w:r>
      <w:r w:rsidRPr="007A2A3A">
        <w:t xml:space="preserve"> dataset is used to train the Random Forest Classifier after the data is ready. The target variable, which may be binary labels denoting the presence or absence of </w:t>
      </w:r>
      <w:r w:rsidR="00BA612F" w:rsidRPr="007A2A3A">
        <w:t>stock</w:t>
      </w:r>
      <w:r w:rsidRPr="007A2A3A">
        <w:t xml:space="preserve"> market trends, is the variable the model learns to recognize patterns and correlations between input characteristics during training. </w:t>
      </w:r>
      <w:proofErr w:type="gramStart"/>
      <w:r w:rsidRPr="007A2A3A">
        <w:t>In order to</w:t>
      </w:r>
      <w:proofErr w:type="gramEnd"/>
      <w:r w:rsidRPr="007A2A3A">
        <w:t xml:space="preserve"> decrease prediction errors and maximize accuracy on the training data, the model iteratively adjusts its parameters.</w:t>
      </w:r>
      <w:r>
        <w:br/>
      </w:r>
      <w:r w:rsidR="00446D7C">
        <w:tab/>
      </w:r>
    </w:p>
    <w:p w14:paraId="4A961564" w14:textId="3F8AAA04" w:rsidR="00695976" w:rsidRPr="00D11D48" w:rsidRDefault="00695976" w:rsidP="00695976">
      <w:pPr>
        <w:pStyle w:val="IEEEParagraph"/>
        <w:numPr>
          <w:ilvl w:val="1"/>
          <w:numId w:val="52"/>
        </w:numPr>
        <w:rPr>
          <w:sz w:val="20"/>
          <w:szCs w:val="20"/>
        </w:rPr>
      </w:pPr>
      <w:r w:rsidRPr="00D11D48">
        <w:rPr>
          <w:sz w:val="20"/>
          <w:szCs w:val="20"/>
        </w:rPr>
        <w:t>Model Evaluation</w:t>
      </w:r>
    </w:p>
    <w:p w14:paraId="7ABF6A93" w14:textId="77777777" w:rsidR="00695976" w:rsidRPr="00D11D48" w:rsidRDefault="00695976" w:rsidP="00695976">
      <w:pPr>
        <w:pStyle w:val="IEEEParagraph"/>
      </w:pPr>
    </w:p>
    <w:p w14:paraId="73035F00" w14:textId="68906CEB" w:rsidR="00695976" w:rsidRPr="00D11D48" w:rsidRDefault="007A2A3A" w:rsidP="00695976">
      <w:pPr>
        <w:pStyle w:val="IEEEParagraph"/>
      </w:pPr>
      <w:r w:rsidRPr="007A2A3A">
        <w:t xml:space="preserve">A different testing dataset is used to evaluate the model's performance after training </w:t>
      </w:r>
      <w:proofErr w:type="gramStart"/>
      <w:r w:rsidRPr="007A2A3A">
        <w:t>in order to</w:t>
      </w:r>
      <w:proofErr w:type="gramEnd"/>
      <w:r w:rsidRPr="007A2A3A">
        <w:t xml:space="preserve"> gauge its capacity to generalize results that have </w:t>
      </w:r>
      <w:r w:rsidR="00710A54">
        <w:t>yet to be</w:t>
      </w:r>
      <w:r w:rsidRPr="007A2A3A">
        <w:t xml:space="preserve"> seen. </w:t>
      </w:r>
      <w:r w:rsidR="00710A54">
        <w:t>Accuracy, precision, recall, F1-score, and ROC-AUC score are common evaluation measures for classification task</w:t>
      </w:r>
      <w:r w:rsidRPr="007A2A3A">
        <w:t>s. The model's performance on the testing data sheds light on how well it can identify trends in the stock market and generate precise forecasts.</w:t>
      </w:r>
      <w:r>
        <w:br/>
      </w:r>
      <w:r>
        <w:br/>
      </w:r>
      <w:r>
        <w:br/>
      </w:r>
      <w:r>
        <w:br/>
      </w:r>
    </w:p>
    <w:p w14:paraId="08E98FD1" w14:textId="3FDCD2EB" w:rsidR="00695976" w:rsidRPr="00BB4DAC" w:rsidRDefault="00695976" w:rsidP="00BB4DAC">
      <w:pPr>
        <w:pStyle w:val="IEEEParagraph"/>
        <w:numPr>
          <w:ilvl w:val="1"/>
          <w:numId w:val="52"/>
        </w:numPr>
        <w:rPr>
          <w:sz w:val="20"/>
          <w:szCs w:val="20"/>
        </w:rPr>
      </w:pPr>
      <w:r w:rsidRPr="00D11D48">
        <w:rPr>
          <w:sz w:val="20"/>
          <w:szCs w:val="20"/>
        </w:rPr>
        <w:t>Prediction and Deployment</w:t>
      </w:r>
    </w:p>
    <w:p w14:paraId="72C969EB" w14:textId="051467F8" w:rsidR="00BB4DAC" w:rsidRPr="00BB4DAC" w:rsidRDefault="00BB4DAC" w:rsidP="00BB4DAC">
      <w:pPr>
        <w:pStyle w:val="IEEEHeading1"/>
        <w:numPr>
          <w:ilvl w:val="0"/>
          <w:numId w:val="0"/>
        </w:numPr>
        <w:jc w:val="both"/>
        <w:rPr>
          <w:szCs w:val="20"/>
          <w:lang w:val="en-US"/>
        </w:rPr>
      </w:pPr>
      <w:r w:rsidRPr="00BB4DAC">
        <w:rPr>
          <w:smallCaps w:val="0"/>
          <w:sz w:val="24"/>
        </w:rPr>
        <w:t>The model may be used to generate predictions on fresh, unobserved data after it has been trained and assessed. The program may examine real-time market data and spot patterns that can point to profitable trading opportunities in the context of stock market pattern identification. Afterwards, t</w:t>
      </w:r>
      <w:r w:rsidR="00BA612F">
        <w:rPr>
          <w:smallCaps w:val="0"/>
          <w:sz w:val="24"/>
        </w:rPr>
        <w:t>hese forecasts can guide trading techniques and stock market decision-making</w:t>
      </w:r>
      <w:r w:rsidRPr="00BB4DAC">
        <w:rPr>
          <w:smallCaps w:val="0"/>
          <w:sz w:val="24"/>
        </w:rPr>
        <w:t>.</w:t>
      </w:r>
    </w:p>
    <w:p w14:paraId="4B6F1A39" w14:textId="721D8D7A" w:rsidR="00695976" w:rsidRPr="00D11D48" w:rsidRDefault="00695976" w:rsidP="00695976">
      <w:pPr>
        <w:pStyle w:val="IEEEHeading1"/>
        <w:numPr>
          <w:ilvl w:val="0"/>
          <w:numId w:val="52"/>
        </w:numPr>
        <w:rPr>
          <w:szCs w:val="20"/>
          <w:lang w:val="en-US"/>
        </w:rPr>
      </w:pPr>
      <w:r w:rsidRPr="00D11D48">
        <w:rPr>
          <w:szCs w:val="20"/>
          <w:lang w:val="en-US"/>
        </w:rPr>
        <w:t>CONCLUSION</w:t>
      </w:r>
    </w:p>
    <w:p w14:paraId="061DEB48" w14:textId="77777777" w:rsidR="00695976" w:rsidRPr="00D11D48" w:rsidRDefault="00695976" w:rsidP="00695976">
      <w:pPr>
        <w:pStyle w:val="IEEEParagraph"/>
        <w:rPr>
          <w:lang w:val="en-US"/>
        </w:rPr>
      </w:pPr>
    </w:p>
    <w:p w14:paraId="44D7D5BD" w14:textId="7F1E68F0" w:rsidR="00695976" w:rsidRPr="00D11D48" w:rsidRDefault="00695976" w:rsidP="00695976">
      <w:pPr>
        <w:pStyle w:val="IEEEParagraph"/>
        <w:rPr>
          <w:lang w:val="en-US"/>
        </w:rPr>
      </w:pPr>
      <w:r w:rsidRPr="00D11D48">
        <w:rPr>
          <w:lang w:val="en-US"/>
        </w:rPr>
        <w:t>We</w:t>
      </w:r>
      <w:r w:rsidRPr="00D11D48">
        <w:rPr>
          <w:lang w:val="en-US"/>
        </w:rPr>
        <w:t xml:space="preserve"> have developed and implemented</w:t>
      </w:r>
      <w:r w:rsidR="00845545">
        <w:rPr>
          <w:lang w:val="en-US"/>
        </w:rPr>
        <w:t xml:space="preserve"> a solution </w:t>
      </w:r>
      <w:r w:rsidR="003646CE">
        <w:rPr>
          <w:lang w:val="en-US"/>
        </w:rPr>
        <w:t>that consists of a machine-</w:t>
      </w:r>
      <w:r w:rsidRPr="00D11D48">
        <w:rPr>
          <w:lang w:val="en-US"/>
        </w:rPr>
        <w:t>learning model for stock market pattern detection, leveraging advanced techniques to analyze historical market data and make informed predictions. By utilizing the Random Forest Classifier, we have demonstrated the effectiveness of ensemble learning in identifying complex patterns and trends within the stock market.</w:t>
      </w:r>
    </w:p>
    <w:p w14:paraId="272F906C" w14:textId="77777777" w:rsidR="00695976" w:rsidRPr="00D11D48" w:rsidRDefault="00695976" w:rsidP="00695976">
      <w:pPr>
        <w:pStyle w:val="IEEEParagraph"/>
        <w:rPr>
          <w:lang w:val="en-US"/>
        </w:rPr>
      </w:pPr>
    </w:p>
    <w:p w14:paraId="66C45420" w14:textId="2DC4CC1E" w:rsidR="00695976" w:rsidRPr="00D11D48" w:rsidRDefault="00C33895" w:rsidP="00695976">
      <w:pPr>
        <w:pStyle w:val="IEEEParagraph"/>
        <w:rPr>
          <w:lang w:val="en-US"/>
        </w:rPr>
      </w:pPr>
      <w:r w:rsidRPr="00C33895">
        <w:rPr>
          <w:lang w:val="en-US"/>
        </w:rPr>
        <w:t>Our machine learning model has proven to be reliable and accurate in identifying trends in the stock market and producing forecasts that are applicable to the real world through the processes of data preprocessing, model training, and assessment. The model is a potent tool for traders and investors trying to understand the intricacies of the stock market because of its capacity to generalize to previously unknown data and offer insightful analysis of market dynamics.</w:t>
      </w:r>
    </w:p>
    <w:p w14:paraId="14DC481D" w14:textId="77777777" w:rsidR="00695976" w:rsidRPr="00D11D48" w:rsidRDefault="00695976" w:rsidP="00695976">
      <w:pPr>
        <w:pStyle w:val="IEEEParagraph"/>
        <w:rPr>
          <w:lang w:val="en-US"/>
        </w:rPr>
      </w:pPr>
    </w:p>
    <w:p w14:paraId="32962397" w14:textId="466D9B8D" w:rsidR="00695976" w:rsidRDefault="00AA1D6F" w:rsidP="00695976">
      <w:pPr>
        <w:pStyle w:val="IEEEParagraph"/>
        <w:rPr>
          <w:lang w:val="en-US"/>
        </w:rPr>
      </w:pPr>
      <w:r w:rsidRPr="00AA1D6F">
        <w:rPr>
          <w:lang w:val="en-US"/>
        </w:rPr>
        <w:t xml:space="preserve">There are several directions that more study and development can go in the future. </w:t>
      </w:r>
      <w:r w:rsidR="00A02EC5">
        <w:rPr>
          <w:lang w:val="en-US"/>
        </w:rPr>
        <w:t>Improving the model's predictive power</w:t>
      </w:r>
      <w:r w:rsidRPr="00AA1D6F">
        <w:rPr>
          <w:lang w:val="en-US"/>
        </w:rPr>
        <w:t xml:space="preserve"> entails investigating different machine learning algorithms, honing feature engineering methods, and incorporating new data sources. Furthermore, the model's continued efficacy in changing market conditions will depend on continuous performance assessment and monitoring.</w:t>
      </w:r>
    </w:p>
    <w:p w14:paraId="08EE2981" w14:textId="77777777" w:rsidR="00AA1D6F" w:rsidRPr="00D11D48" w:rsidRDefault="00AA1D6F" w:rsidP="00695976">
      <w:pPr>
        <w:pStyle w:val="IEEEParagraph"/>
        <w:rPr>
          <w:lang w:val="en-US"/>
        </w:rPr>
      </w:pPr>
    </w:p>
    <w:p w14:paraId="44E025DB" w14:textId="01D354D8" w:rsidR="00695976" w:rsidRPr="00D11D48" w:rsidRDefault="00B85471" w:rsidP="00695976">
      <w:pPr>
        <w:pStyle w:val="IEEEParagraph"/>
        <w:rPr>
          <w:lang w:val="en-US"/>
        </w:rPr>
      </w:pPr>
      <w:r>
        <w:rPr>
          <w:lang w:val="en-US"/>
        </w:rPr>
        <w:t>Our</w:t>
      </w:r>
      <w:r w:rsidR="00695976" w:rsidRPr="00D11D48">
        <w:rPr>
          <w:lang w:val="en-US"/>
        </w:rPr>
        <w:t xml:space="preserve"> project represents a </w:t>
      </w:r>
      <w:r>
        <w:rPr>
          <w:lang w:val="en-US"/>
        </w:rPr>
        <w:t>giant</w:t>
      </w:r>
      <w:r w:rsidR="00695976" w:rsidRPr="00D11D48">
        <w:rPr>
          <w:lang w:val="en-US"/>
        </w:rPr>
        <w:t xml:space="preserve"> step forward in </w:t>
      </w:r>
      <w:r>
        <w:rPr>
          <w:lang w:val="en-US"/>
        </w:rPr>
        <w:t>ut</w:t>
      </w:r>
      <w:r w:rsidR="00A02EC5">
        <w:rPr>
          <w:lang w:val="en-US"/>
        </w:rPr>
        <w:t>i</w:t>
      </w:r>
      <w:r>
        <w:rPr>
          <w:lang w:val="en-US"/>
        </w:rPr>
        <w:t>lizing</w:t>
      </w:r>
      <w:r w:rsidR="00695976" w:rsidRPr="00D11D48">
        <w:rPr>
          <w:lang w:val="en-US"/>
        </w:rPr>
        <w:t xml:space="preserve"> machine learning for stock market pattern detection, offering valuable insights and opportunities for informed decision-making in finance. By continuing to innovate and refine our approach, we can empower traders and investors to </w:t>
      </w:r>
      <w:r w:rsidR="00695976" w:rsidRPr="00D11D48">
        <w:rPr>
          <w:lang w:val="en-US"/>
        </w:rPr>
        <w:lastRenderedPageBreak/>
        <w:t xml:space="preserve">achieve </w:t>
      </w:r>
      <w:r w:rsidR="003646CE">
        <w:rPr>
          <w:lang w:val="en-US"/>
        </w:rPr>
        <w:t>tremendous</w:t>
      </w:r>
      <w:r w:rsidR="00695976" w:rsidRPr="00D11D48">
        <w:rPr>
          <w:lang w:val="en-US"/>
        </w:rPr>
        <w:t xml:space="preserve"> success and confidence in their trading strategies.</w:t>
      </w:r>
    </w:p>
    <w:p w14:paraId="66191FC4" w14:textId="77777777" w:rsidR="00695976" w:rsidRDefault="00695976" w:rsidP="00695976">
      <w:pPr>
        <w:pStyle w:val="IEEEParagraph"/>
        <w:rPr>
          <w:lang w:val="en-US"/>
        </w:rPr>
      </w:pPr>
    </w:p>
    <w:p w14:paraId="4F18C640" w14:textId="77777777" w:rsidR="00845545" w:rsidRDefault="00845545" w:rsidP="00695976">
      <w:pPr>
        <w:pStyle w:val="IEEEParagraph"/>
        <w:rPr>
          <w:lang w:val="en-US"/>
        </w:rPr>
      </w:pPr>
    </w:p>
    <w:p w14:paraId="6822AA0E" w14:textId="77777777" w:rsidR="00845545" w:rsidRPr="00D11D48" w:rsidRDefault="00845545" w:rsidP="00695976">
      <w:pPr>
        <w:pStyle w:val="IEEEParagraph"/>
        <w:rPr>
          <w:lang w:val="en-US"/>
        </w:rPr>
      </w:pPr>
    </w:p>
    <w:p w14:paraId="4600072D" w14:textId="62AA05F5" w:rsidR="00877D4C" w:rsidRPr="00D11D48" w:rsidRDefault="001928FB" w:rsidP="00D11D48">
      <w:pPr>
        <w:pStyle w:val="IEEEHeading1"/>
        <w:numPr>
          <w:ilvl w:val="0"/>
          <w:numId w:val="52"/>
        </w:numPr>
        <w:rPr>
          <w:szCs w:val="20"/>
          <w:lang w:val="en-US"/>
        </w:rPr>
      </w:pPr>
      <w:r w:rsidRPr="00D11D48">
        <w:rPr>
          <w:szCs w:val="20"/>
        </w:rPr>
        <w:t>References</w:t>
      </w:r>
    </w:p>
    <w:p w14:paraId="28549A1F" w14:textId="77777777" w:rsidR="00934013" w:rsidRPr="00D11D48" w:rsidRDefault="00934013" w:rsidP="00934013">
      <w:pPr>
        <w:pStyle w:val="IEEEParagraph"/>
        <w:ind w:firstLine="0"/>
      </w:pPr>
    </w:p>
    <w:p w14:paraId="50A968B5" w14:textId="77777777" w:rsidR="00934013" w:rsidRPr="00185939" w:rsidRDefault="00934013" w:rsidP="00934013">
      <w:pPr>
        <w:pStyle w:val="IEEEParagraph"/>
        <w:rPr>
          <w:sz w:val="16"/>
          <w:szCs w:val="16"/>
        </w:rPr>
      </w:pPr>
      <w:r w:rsidRPr="00185939">
        <w:rPr>
          <w:sz w:val="16"/>
          <w:szCs w:val="16"/>
        </w:rPr>
        <w:t>[1] Lusardi, A., &amp; Mitchell, O. S. (2011). Financial literacy around the world: an overview. Journal of Pension Economics &amp; Finance, 10(4), 497-508.</w:t>
      </w:r>
    </w:p>
    <w:p w14:paraId="48E3AA66" w14:textId="77777777" w:rsidR="00934013" w:rsidRPr="00185939" w:rsidRDefault="00934013" w:rsidP="00570A51">
      <w:pPr>
        <w:pStyle w:val="IEEEParagraph"/>
        <w:ind w:firstLine="0"/>
        <w:rPr>
          <w:sz w:val="16"/>
          <w:szCs w:val="16"/>
        </w:rPr>
      </w:pPr>
    </w:p>
    <w:p w14:paraId="610CE198" w14:textId="77777777" w:rsidR="00934013" w:rsidRPr="00185939" w:rsidRDefault="00934013" w:rsidP="00934013">
      <w:pPr>
        <w:pStyle w:val="IEEEParagraph"/>
        <w:rPr>
          <w:sz w:val="16"/>
          <w:szCs w:val="16"/>
        </w:rPr>
      </w:pPr>
      <w:r w:rsidRPr="00185939">
        <w:rPr>
          <w:sz w:val="16"/>
          <w:szCs w:val="16"/>
        </w:rPr>
        <w:t xml:space="preserve">[3] Hastings, J. S., </w:t>
      </w:r>
      <w:proofErr w:type="spellStart"/>
      <w:r w:rsidRPr="00185939">
        <w:rPr>
          <w:sz w:val="16"/>
          <w:szCs w:val="16"/>
        </w:rPr>
        <w:t>Madrian</w:t>
      </w:r>
      <w:proofErr w:type="spellEnd"/>
      <w:r w:rsidRPr="00185939">
        <w:rPr>
          <w:sz w:val="16"/>
          <w:szCs w:val="16"/>
        </w:rPr>
        <w:t xml:space="preserve">, B. C., &amp; </w:t>
      </w:r>
      <w:proofErr w:type="spellStart"/>
      <w:r w:rsidRPr="00185939">
        <w:rPr>
          <w:sz w:val="16"/>
          <w:szCs w:val="16"/>
        </w:rPr>
        <w:t>Skimmyhorn</w:t>
      </w:r>
      <w:proofErr w:type="spellEnd"/>
      <w:r w:rsidRPr="00185939">
        <w:rPr>
          <w:sz w:val="16"/>
          <w:szCs w:val="16"/>
        </w:rPr>
        <w:t>, W. L. (2013). Financial literacy, financial education, and economic outcomes. Annual Review of Economics, 5, 347-373.</w:t>
      </w:r>
    </w:p>
    <w:p w14:paraId="46377C8E" w14:textId="77777777" w:rsidR="00934013" w:rsidRPr="00185939" w:rsidRDefault="00934013" w:rsidP="00934013">
      <w:pPr>
        <w:pStyle w:val="IEEEParagraph"/>
        <w:rPr>
          <w:sz w:val="16"/>
          <w:szCs w:val="16"/>
        </w:rPr>
      </w:pPr>
    </w:p>
    <w:p w14:paraId="59B2227C" w14:textId="77777777" w:rsidR="00934013" w:rsidRPr="00185939" w:rsidRDefault="00934013" w:rsidP="00934013">
      <w:pPr>
        <w:pStyle w:val="IEEEParagraph"/>
        <w:rPr>
          <w:sz w:val="16"/>
          <w:szCs w:val="16"/>
        </w:rPr>
      </w:pPr>
      <w:r w:rsidRPr="00185939">
        <w:rPr>
          <w:sz w:val="16"/>
          <w:szCs w:val="16"/>
        </w:rPr>
        <w:t xml:space="preserve">[4] Mandell, L., &amp; Klein, L. S. (2009). The impact of financial literacy education on subsequent financial </w:t>
      </w:r>
      <w:proofErr w:type="spellStart"/>
      <w:r w:rsidRPr="00185939">
        <w:rPr>
          <w:sz w:val="16"/>
          <w:szCs w:val="16"/>
        </w:rPr>
        <w:t>behavior</w:t>
      </w:r>
      <w:proofErr w:type="spellEnd"/>
      <w:r w:rsidRPr="00185939">
        <w:rPr>
          <w:sz w:val="16"/>
          <w:szCs w:val="16"/>
        </w:rPr>
        <w:t xml:space="preserve">. Journal of Financial </w:t>
      </w:r>
      <w:proofErr w:type="spellStart"/>
      <w:r w:rsidRPr="00185939">
        <w:rPr>
          <w:sz w:val="16"/>
          <w:szCs w:val="16"/>
        </w:rPr>
        <w:t>Counseling</w:t>
      </w:r>
      <w:proofErr w:type="spellEnd"/>
      <w:r w:rsidRPr="00185939">
        <w:rPr>
          <w:sz w:val="16"/>
          <w:szCs w:val="16"/>
        </w:rPr>
        <w:t xml:space="preserve"> and Planning, 20(1), 15-24.</w:t>
      </w:r>
    </w:p>
    <w:p w14:paraId="21E1D327" w14:textId="77777777" w:rsidR="00934013" w:rsidRPr="00185939" w:rsidRDefault="00934013" w:rsidP="00934013">
      <w:pPr>
        <w:pStyle w:val="IEEEParagraph"/>
        <w:rPr>
          <w:sz w:val="16"/>
          <w:szCs w:val="16"/>
        </w:rPr>
      </w:pPr>
    </w:p>
    <w:p w14:paraId="6F6E4C6B" w14:textId="77777777" w:rsidR="00934013" w:rsidRPr="00185939" w:rsidRDefault="00934013" w:rsidP="00934013">
      <w:pPr>
        <w:pStyle w:val="IEEEParagraph"/>
        <w:rPr>
          <w:sz w:val="16"/>
          <w:szCs w:val="16"/>
        </w:rPr>
      </w:pPr>
      <w:r w:rsidRPr="00185939">
        <w:rPr>
          <w:sz w:val="16"/>
          <w:szCs w:val="16"/>
        </w:rPr>
        <w:t xml:space="preserve">[5] Hastings, J. S., </w:t>
      </w:r>
      <w:proofErr w:type="spellStart"/>
      <w:r w:rsidRPr="00185939">
        <w:rPr>
          <w:sz w:val="16"/>
          <w:szCs w:val="16"/>
        </w:rPr>
        <w:t>Madrian</w:t>
      </w:r>
      <w:proofErr w:type="spellEnd"/>
      <w:r w:rsidRPr="00185939">
        <w:rPr>
          <w:sz w:val="16"/>
          <w:szCs w:val="16"/>
        </w:rPr>
        <w:t xml:space="preserve">, B. C., &amp; </w:t>
      </w:r>
      <w:proofErr w:type="spellStart"/>
      <w:r w:rsidRPr="00185939">
        <w:rPr>
          <w:sz w:val="16"/>
          <w:szCs w:val="16"/>
        </w:rPr>
        <w:t>Skimmyhorn</w:t>
      </w:r>
      <w:proofErr w:type="spellEnd"/>
      <w:r w:rsidRPr="00185939">
        <w:rPr>
          <w:sz w:val="16"/>
          <w:szCs w:val="16"/>
        </w:rPr>
        <w:t>, W. L. (2013). Financial literacy, financial education, and economic outcomes. Annual Review of Economics, 5, 347-373.</w:t>
      </w:r>
    </w:p>
    <w:p w14:paraId="7576891F" w14:textId="77777777" w:rsidR="00934013" w:rsidRPr="00185939" w:rsidRDefault="00934013" w:rsidP="00934013">
      <w:pPr>
        <w:pStyle w:val="IEEEParagraph"/>
        <w:rPr>
          <w:sz w:val="16"/>
          <w:szCs w:val="16"/>
        </w:rPr>
      </w:pPr>
    </w:p>
    <w:p w14:paraId="5F776BD0" w14:textId="52F6CDAA" w:rsidR="00934013" w:rsidRPr="00185939" w:rsidRDefault="00934013" w:rsidP="00934013">
      <w:pPr>
        <w:pStyle w:val="IEEEParagraph"/>
        <w:rPr>
          <w:sz w:val="16"/>
          <w:szCs w:val="16"/>
        </w:rPr>
      </w:pPr>
      <w:r w:rsidRPr="00185939">
        <w:rPr>
          <w:sz w:val="16"/>
          <w:szCs w:val="16"/>
        </w:rPr>
        <w:t xml:space="preserve">[6] Choi, J. J., </w:t>
      </w:r>
      <w:proofErr w:type="spellStart"/>
      <w:r w:rsidRPr="00185939">
        <w:rPr>
          <w:sz w:val="16"/>
          <w:szCs w:val="16"/>
        </w:rPr>
        <w:t>Laibson</w:t>
      </w:r>
      <w:proofErr w:type="spellEnd"/>
      <w:r w:rsidRPr="00185939">
        <w:rPr>
          <w:sz w:val="16"/>
          <w:szCs w:val="16"/>
        </w:rPr>
        <w:t xml:space="preserve">, D., &amp; </w:t>
      </w:r>
      <w:proofErr w:type="spellStart"/>
      <w:r w:rsidRPr="00185939">
        <w:rPr>
          <w:sz w:val="16"/>
          <w:szCs w:val="16"/>
        </w:rPr>
        <w:t>Madrian</w:t>
      </w:r>
      <w:proofErr w:type="spellEnd"/>
      <w:r w:rsidRPr="00185939">
        <w:rPr>
          <w:sz w:val="16"/>
          <w:szCs w:val="16"/>
        </w:rPr>
        <w:t xml:space="preserve">, B. C. (2011). $100 bills on the sidewalk: Suboptimal </w:t>
      </w:r>
      <w:r w:rsidR="003646CE">
        <w:rPr>
          <w:sz w:val="16"/>
          <w:szCs w:val="16"/>
        </w:rPr>
        <w:t>401 (k) plan investment</w:t>
      </w:r>
      <w:r w:rsidRPr="00185939">
        <w:rPr>
          <w:sz w:val="16"/>
          <w:szCs w:val="16"/>
        </w:rPr>
        <w:t>. The Review of Economics and Statistics, 93(3), 748-763.</w:t>
      </w:r>
    </w:p>
    <w:p w14:paraId="76F05135" w14:textId="220DFF10" w:rsidR="00934013" w:rsidRPr="00185939" w:rsidRDefault="00934013" w:rsidP="003C7790">
      <w:pPr>
        <w:pStyle w:val="IEEEParagraph"/>
        <w:ind w:firstLine="0"/>
        <w:rPr>
          <w:sz w:val="16"/>
          <w:szCs w:val="16"/>
        </w:rPr>
      </w:pPr>
    </w:p>
    <w:p w14:paraId="7C685576" w14:textId="77777777" w:rsidR="00934013" w:rsidRPr="00185939" w:rsidRDefault="00934013" w:rsidP="00934013">
      <w:pPr>
        <w:pStyle w:val="IEEEParagraph"/>
        <w:rPr>
          <w:sz w:val="16"/>
          <w:szCs w:val="16"/>
        </w:rPr>
      </w:pPr>
    </w:p>
    <w:p w14:paraId="49A38FC5" w14:textId="77777777" w:rsidR="00934013" w:rsidRPr="00185939" w:rsidRDefault="00934013" w:rsidP="00934013">
      <w:pPr>
        <w:pStyle w:val="IEEEParagraph"/>
        <w:rPr>
          <w:sz w:val="16"/>
          <w:szCs w:val="16"/>
        </w:rPr>
      </w:pPr>
      <w:r w:rsidRPr="00185939">
        <w:rPr>
          <w:sz w:val="16"/>
          <w:szCs w:val="16"/>
        </w:rPr>
        <w:t>[8] Tversky, A., &amp; Kahneman, D. (1974). Judgment under uncertainty: Heuristics and biases. science, 185(4157), 1124-1131.</w:t>
      </w:r>
    </w:p>
    <w:p w14:paraId="17A69959" w14:textId="77777777" w:rsidR="00934013" w:rsidRPr="00185939" w:rsidRDefault="00934013" w:rsidP="00C33895">
      <w:pPr>
        <w:pStyle w:val="IEEEParagraph"/>
        <w:ind w:firstLine="0"/>
        <w:rPr>
          <w:sz w:val="16"/>
          <w:szCs w:val="16"/>
        </w:rPr>
      </w:pPr>
    </w:p>
    <w:p w14:paraId="4238E0BF" w14:textId="775F73CD" w:rsidR="00934013" w:rsidRPr="00185939" w:rsidRDefault="00934013" w:rsidP="00C33895">
      <w:pPr>
        <w:pStyle w:val="IEEEParagraph"/>
        <w:rPr>
          <w:sz w:val="16"/>
          <w:szCs w:val="16"/>
        </w:rPr>
      </w:pPr>
      <w:r w:rsidRPr="00185939">
        <w:rPr>
          <w:sz w:val="16"/>
          <w:szCs w:val="16"/>
        </w:rPr>
        <w:t xml:space="preserve">[12] </w:t>
      </w:r>
      <w:proofErr w:type="spellStart"/>
      <w:r w:rsidRPr="00185939">
        <w:rPr>
          <w:sz w:val="16"/>
          <w:szCs w:val="16"/>
        </w:rPr>
        <w:t>Breiman</w:t>
      </w:r>
      <w:proofErr w:type="spellEnd"/>
      <w:r w:rsidRPr="00185939">
        <w:rPr>
          <w:sz w:val="16"/>
          <w:szCs w:val="16"/>
        </w:rPr>
        <w:t>, L. (2001). Random forests. Machine learning, 45(1), 5-32.</w:t>
      </w:r>
    </w:p>
    <w:p w14:paraId="1B12CF90" w14:textId="77777777" w:rsidR="00934013" w:rsidRPr="00185939" w:rsidRDefault="00934013" w:rsidP="00934013">
      <w:pPr>
        <w:pStyle w:val="IEEEParagraph"/>
        <w:rPr>
          <w:sz w:val="16"/>
          <w:szCs w:val="16"/>
        </w:rPr>
      </w:pPr>
    </w:p>
    <w:p w14:paraId="3BB1886D" w14:textId="77777777" w:rsidR="00934013" w:rsidRPr="00185939" w:rsidRDefault="00934013" w:rsidP="00934013">
      <w:pPr>
        <w:pStyle w:val="IEEEParagraph"/>
        <w:rPr>
          <w:sz w:val="16"/>
          <w:szCs w:val="16"/>
        </w:rPr>
      </w:pPr>
      <w:r w:rsidRPr="00185939">
        <w:rPr>
          <w:sz w:val="16"/>
          <w:szCs w:val="16"/>
        </w:rPr>
        <w:t>[14] Huang, E. H., &amp; Lehmann, E. L. (1998). Nonparametric risk management with general risk measures. Finance and Stochastics, 2(4), 387-407.</w:t>
      </w:r>
    </w:p>
    <w:p w14:paraId="24CB9185" w14:textId="77777777" w:rsidR="00934013" w:rsidRPr="00185939" w:rsidRDefault="00934013" w:rsidP="00934013">
      <w:pPr>
        <w:pStyle w:val="IEEEParagraph"/>
        <w:rPr>
          <w:sz w:val="16"/>
          <w:szCs w:val="16"/>
        </w:rPr>
      </w:pPr>
    </w:p>
    <w:p w14:paraId="309A5F94" w14:textId="77777777" w:rsidR="00934013" w:rsidRPr="00185939" w:rsidRDefault="00934013" w:rsidP="00934013">
      <w:pPr>
        <w:pStyle w:val="IEEEParagraph"/>
        <w:rPr>
          <w:sz w:val="16"/>
          <w:szCs w:val="16"/>
        </w:rPr>
      </w:pPr>
      <w:r w:rsidRPr="00185939">
        <w:rPr>
          <w:sz w:val="16"/>
          <w:szCs w:val="16"/>
        </w:rPr>
        <w:t>[15] Elder, J. F., &amp; Abbott, J. C. (1998). Financial applications of machine learning. Handbook of computational statistics: Concepts and methods, 229-252.</w:t>
      </w:r>
    </w:p>
    <w:p w14:paraId="2D517673" w14:textId="77777777" w:rsidR="00934013" w:rsidRPr="00185939" w:rsidRDefault="00934013" w:rsidP="00934013">
      <w:pPr>
        <w:pStyle w:val="IEEEParagraph"/>
        <w:rPr>
          <w:sz w:val="16"/>
          <w:szCs w:val="16"/>
        </w:rPr>
      </w:pPr>
    </w:p>
    <w:p w14:paraId="2939F0C5" w14:textId="0327F198" w:rsidR="00934013" w:rsidRPr="00185939" w:rsidRDefault="00934013" w:rsidP="00934013">
      <w:pPr>
        <w:pStyle w:val="IEEEParagraph"/>
        <w:rPr>
          <w:sz w:val="16"/>
          <w:szCs w:val="16"/>
        </w:rPr>
      </w:pPr>
      <w:r w:rsidRPr="00185939">
        <w:rPr>
          <w:sz w:val="16"/>
          <w:szCs w:val="16"/>
        </w:rPr>
        <w:t>[16] Cao, L. (2003). Support vector machine experts for time series forecasting. Neurocomputing, 51, 321-339.</w:t>
      </w:r>
    </w:p>
    <w:p w14:paraId="2ED68AFC" w14:textId="77777777" w:rsidR="00934013" w:rsidRPr="00185939" w:rsidRDefault="00934013" w:rsidP="00934013">
      <w:pPr>
        <w:pStyle w:val="IEEEParagraph"/>
        <w:rPr>
          <w:sz w:val="16"/>
          <w:szCs w:val="16"/>
        </w:rPr>
      </w:pPr>
    </w:p>
    <w:p w14:paraId="779EC215" w14:textId="77777777" w:rsidR="00934013" w:rsidRPr="00185939" w:rsidRDefault="00934013" w:rsidP="00934013">
      <w:pPr>
        <w:pStyle w:val="IEEEParagraph"/>
        <w:rPr>
          <w:sz w:val="16"/>
          <w:szCs w:val="16"/>
        </w:rPr>
      </w:pPr>
      <w:r w:rsidRPr="00185939">
        <w:rPr>
          <w:sz w:val="16"/>
          <w:szCs w:val="16"/>
        </w:rPr>
        <w:t>[17] Yao, J., &amp; Tan, C. H. (2011). A review of financial time series data mining. Information Technology Journal, 10(6), 1055-1064.</w:t>
      </w:r>
    </w:p>
    <w:p w14:paraId="208885FC" w14:textId="77777777" w:rsidR="00934013" w:rsidRPr="00185939" w:rsidRDefault="00934013" w:rsidP="00934013">
      <w:pPr>
        <w:pStyle w:val="IEEEParagraph"/>
        <w:rPr>
          <w:sz w:val="16"/>
          <w:szCs w:val="16"/>
        </w:rPr>
      </w:pPr>
    </w:p>
    <w:p w14:paraId="3088CCAB" w14:textId="5B8CAB25" w:rsidR="00934013" w:rsidRPr="00185939" w:rsidRDefault="00934013" w:rsidP="00934013">
      <w:pPr>
        <w:pStyle w:val="IEEEParagraph"/>
        <w:rPr>
          <w:sz w:val="16"/>
          <w:szCs w:val="16"/>
        </w:rPr>
      </w:pPr>
      <w:r w:rsidRPr="00185939">
        <w:rPr>
          <w:sz w:val="16"/>
          <w:szCs w:val="16"/>
        </w:rPr>
        <w:t xml:space="preserve">[18] </w:t>
      </w:r>
      <w:proofErr w:type="spellStart"/>
      <w:r w:rsidRPr="00185939">
        <w:rPr>
          <w:sz w:val="16"/>
          <w:szCs w:val="16"/>
        </w:rPr>
        <w:t>Bollen</w:t>
      </w:r>
      <w:proofErr w:type="spellEnd"/>
      <w:r w:rsidRPr="00185939">
        <w:rPr>
          <w:sz w:val="16"/>
          <w:szCs w:val="16"/>
        </w:rPr>
        <w:t>, J., Mao, H., &amp; Zeng, X. (2011). Twitter</w:t>
      </w:r>
      <w:r w:rsidR="003646CE">
        <w:rPr>
          <w:sz w:val="16"/>
          <w:szCs w:val="16"/>
        </w:rPr>
        <w:t>’s</w:t>
      </w:r>
      <w:r w:rsidRPr="00185939">
        <w:rPr>
          <w:sz w:val="16"/>
          <w:szCs w:val="16"/>
        </w:rPr>
        <w:t xml:space="preserve"> mood predicts the stock market. Journal of Computational Science, 2(1), 1-8.</w:t>
      </w:r>
    </w:p>
    <w:p w14:paraId="0B2097D6" w14:textId="77777777" w:rsidR="00934013" w:rsidRPr="00185939" w:rsidRDefault="00934013" w:rsidP="00934013">
      <w:pPr>
        <w:pStyle w:val="IEEEParagraph"/>
        <w:rPr>
          <w:sz w:val="16"/>
          <w:szCs w:val="16"/>
        </w:rPr>
      </w:pPr>
    </w:p>
    <w:p w14:paraId="7C6DACCD" w14:textId="08AD4356" w:rsidR="00934013" w:rsidRPr="00185939" w:rsidRDefault="00934013" w:rsidP="00934013">
      <w:pPr>
        <w:pStyle w:val="IEEEParagraph"/>
        <w:rPr>
          <w:sz w:val="16"/>
          <w:szCs w:val="16"/>
        </w:rPr>
      </w:pPr>
      <w:r w:rsidRPr="00185939">
        <w:rPr>
          <w:sz w:val="16"/>
          <w:szCs w:val="16"/>
        </w:rPr>
        <w:t xml:space="preserve">[19] Heston, S. L., &amp; </w:t>
      </w:r>
      <w:proofErr w:type="spellStart"/>
      <w:r w:rsidRPr="00185939">
        <w:rPr>
          <w:sz w:val="16"/>
          <w:szCs w:val="16"/>
        </w:rPr>
        <w:t>Rouwenhorst</w:t>
      </w:r>
      <w:proofErr w:type="spellEnd"/>
      <w:r w:rsidRPr="00185939">
        <w:rPr>
          <w:sz w:val="16"/>
          <w:szCs w:val="16"/>
        </w:rPr>
        <w:t>, K. G. (1994). Does industrial structure explain the benefits of international diversification? The Journal of Financial Economics, 36(1), 3-27.</w:t>
      </w:r>
    </w:p>
    <w:p w14:paraId="772E2E79" w14:textId="20BC27D8" w:rsidR="00934013" w:rsidRPr="00185939" w:rsidRDefault="00934013" w:rsidP="00A82FF7">
      <w:pPr>
        <w:pStyle w:val="IEEEParagraph"/>
        <w:ind w:firstLine="0"/>
        <w:rPr>
          <w:sz w:val="16"/>
          <w:szCs w:val="16"/>
        </w:rPr>
      </w:pPr>
    </w:p>
    <w:p w14:paraId="41B9BEC2" w14:textId="77777777" w:rsidR="00934013" w:rsidRPr="00185939" w:rsidRDefault="00934013" w:rsidP="00934013">
      <w:pPr>
        <w:pStyle w:val="IEEEParagraph"/>
        <w:rPr>
          <w:sz w:val="16"/>
          <w:szCs w:val="16"/>
        </w:rPr>
      </w:pPr>
    </w:p>
    <w:p w14:paraId="47E0BC98" w14:textId="0DD7FA69" w:rsidR="00934013" w:rsidRPr="00185939" w:rsidRDefault="00934013" w:rsidP="00934013">
      <w:pPr>
        <w:pStyle w:val="IEEEParagraph"/>
        <w:rPr>
          <w:sz w:val="16"/>
          <w:szCs w:val="16"/>
        </w:rPr>
      </w:pPr>
      <w:r w:rsidRPr="00185939">
        <w:rPr>
          <w:sz w:val="16"/>
          <w:szCs w:val="16"/>
        </w:rPr>
        <w:t>[21] Berk, J. B., Green, R. C., &amp; Naik, V. (1999). Optimal investment, growth options, and security returns. Journal of Finance, 54(5), 1553-1607.</w:t>
      </w:r>
    </w:p>
    <w:sectPr w:rsidR="00934013" w:rsidRPr="00185939" w:rsidSect="007E0C6F">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w:panose1 w:val="020B06040202020202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6A6D830"/>
    <w:lvl w:ilvl="0">
      <w:start w:val="1"/>
      <w:numFmt w:val="decimal"/>
      <w:lvlText w:val="[%1]"/>
      <w:lvlJc w:val="left"/>
      <w:pPr>
        <w:tabs>
          <w:tab w:val="num" w:pos="643"/>
        </w:tabs>
        <w:ind w:left="643" w:hanging="360"/>
      </w:pPr>
      <w:rPr>
        <w:rFonts w:hint="default"/>
      </w:rPr>
    </w:lvl>
  </w:abstractNum>
  <w:abstractNum w:abstractNumId="1" w15:restartNumberingAfterBreak="0">
    <w:nsid w:val="0228720A"/>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2D3103A"/>
    <w:multiLevelType w:val="multilevel"/>
    <w:tmpl w:val="4F0CE718"/>
    <w:lvl w:ilvl="0">
      <w:start w:val="1"/>
      <w:numFmt w:val="decimal"/>
      <w:suff w:val="space"/>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4D17172"/>
    <w:multiLevelType w:val="multilevel"/>
    <w:tmpl w:val="595A58D8"/>
    <w:lvl w:ilvl="0">
      <w:start w:val="1"/>
      <w:numFmt w:val="upperLetter"/>
      <w:lvlText w:val="%1."/>
      <w:lvlJc w:val="left"/>
      <w:pPr>
        <w:tabs>
          <w:tab w:val="num" w:pos="288"/>
        </w:tabs>
        <w:ind w:left="288" w:hanging="288"/>
      </w:pPr>
      <w:rPr>
        <w:rFonts w:ascii="Times New Roman" w:eastAsia="Arial Unicode MS" w:hAnsi="Times New Roman" w:cs="Times New Roman" w:hint="default"/>
        <w:bCs/>
        <w:i w:val="0"/>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eastAsia="SimSun" w:hAnsi="Symbol"/>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8F95CD1"/>
    <w:multiLevelType w:val="multilevel"/>
    <w:tmpl w:val="5C5A6CA8"/>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C041A38"/>
    <w:multiLevelType w:val="multilevel"/>
    <w:tmpl w:val="00DEC102"/>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0D3D0BD5"/>
    <w:multiLevelType w:val="multilevel"/>
    <w:tmpl w:val="848C60F2"/>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D5470D7"/>
    <w:multiLevelType w:val="multilevel"/>
    <w:tmpl w:val="1A4C29C6"/>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F166FED"/>
    <w:multiLevelType w:val="multilevel"/>
    <w:tmpl w:val="850A4502"/>
    <w:lvl w:ilvl="0">
      <w:start w:val="1"/>
      <w:numFmt w:val="upperRoman"/>
      <w:lvlText w:val="%1."/>
      <w:lvlJc w:val="right"/>
      <w:pPr>
        <w:tabs>
          <w:tab w:val="num" w:pos="288"/>
        </w:tabs>
        <w:ind w:left="288"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26677AE"/>
    <w:multiLevelType w:val="multilevel"/>
    <w:tmpl w:val="842C0658"/>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15:restartNumberingAfterBreak="0">
    <w:nsid w:val="1378069A"/>
    <w:multiLevelType w:val="multilevel"/>
    <w:tmpl w:val="376A5D80"/>
    <w:lvl w:ilvl="0">
      <w:start w:val="1"/>
      <w:numFmt w:val="upperLetter"/>
      <w:lvlText w:val="%1."/>
      <w:lvlJc w:val="left"/>
      <w:pPr>
        <w:tabs>
          <w:tab w:val="num" w:pos="216"/>
        </w:tabs>
        <w:ind w:left="21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3FF5B9E"/>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ABC526C"/>
    <w:multiLevelType w:val="multilevel"/>
    <w:tmpl w:val="8E76E9E2"/>
    <w:lvl w:ilvl="0">
      <w:start w:val="1"/>
      <w:numFmt w:val="bullet"/>
      <w:lvlText w:val=""/>
      <w:lvlJc w:val="left"/>
      <w:pPr>
        <w:tabs>
          <w:tab w:val="num" w:pos="360"/>
        </w:tabs>
        <w:ind w:left="360" w:hanging="360"/>
      </w:pPr>
      <w:rPr>
        <w:rFonts w:ascii="Times New Roman" w:hAnsi="Times New Roman" w:cs="Times New Roman" w:hint="default"/>
        <w:b w:val="0"/>
        <w:i w:val="0"/>
        <w:sz w:val="20"/>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15:restartNumberingAfterBreak="0">
    <w:nsid w:val="25C54037"/>
    <w:multiLevelType w:val="multilevel"/>
    <w:tmpl w:val="1EB0C610"/>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6B068EF"/>
    <w:multiLevelType w:val="multilevel"/>
    <w:tmpl w:val="0642711A"/>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7" w15:restartNumberingAfterBreak="0">
    <w:nsid w:val="283F32F7"/>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9" w15:restartNumberingAfterBreak="0">
    <w:nsid w:val="301558E7"/>
    <w:multiLevelType w:val="multilevel"/>
    <w:tmpl w:val="5540DDB8"/>
    <w:lvl w:ilvl="0">
      <w:start w:val="1"/>
      <w:numFmt w:val="decimal"/>
      <w:suff w:val="nothing"/>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0" w15:restartNumberingAfterBreak="0">
    <w:nsid w:val="328273D7"/>
    <w:multiLevelType w:val="multilevel"/>
    <w:tmpl w:val="9C8E938C"/>
    <w:numStyleLink w:val="IEEEBullet1"/>
  </w:abstractNum>
  <w:abstractNum w:abstractNumId="21" w15:restartNumberingAfterBreak="0">
    <w:nsid w:val="34B07CB4"/>
    <w:multiLevelType w:val="multilevel"/>
    <w:tmpl w:val="1E3A134A"/>
    <w:lvl w:ilvl="0">
      <w:start w:val="1"/>
      <w:numFmt w:val="upperRoman"/>
      <w:lvlText w:val="%1."/>
      <w:lvlJc w:val="left"/>
      <w:pPr>
        <w:tabs>
          <w:tab w:val="num" w:pos="504"/>
        </w:tabs>
        <w:ind w:left="504"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7A200C6"/>
    <w:multiLevelType w:val="multilevel"/>
    <w:tmpl w:val="9C8E938C"/>
    <w:numStyleLink w:val="IEEEBullet1"/>
  </w:abstractNum>
  <w:abstractNum w:abstractNumId="23" w15:restartNumberingAfterBreak="0">
    <w:nsid w:val="37FA2940"/>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40D57A98"/>
    <w:multiLevelType w:val="multilevel"/>
    <w:tmpl w:val="1286F25C"/>
    <w:lvl w:ilvl="0">
      <w:start w:val="1"/>
      <w:numFmt w:val="upperRoman"/>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1807ECF"/>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ascii="Symbol" w:eastAsia="SimSun"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1FF1343"/>
    <w:multiLevelType w:val="multilevel"/>
    <w:tmpl w:val="CA5008E4"/>
    <w:lvl w:ilvl="0">
      <w:start w:val="1"/>
      <w:numFmt w:val="decimal"/>
      <w:suff w:val="space"/>
      <w:lvlText w:val="[%1]"/>
      <w:lvlJc w:val="left"/>
      <w:pPr>
        <w:ind w:left="288" w:hanging="288"/>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7" w15:restartNumberingAfterBreak="0">
    <w:nsid w:val="4366657E"/>
    <w:multiLevelType w:val="multilevel"/>
    <w:tmpl w:val="595A58D8"/>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hAnsi="Symbol" w:hint="default"/>
        <w:b/>
        <w:bCs/>
        <w:i w:val="0"/>
        <w:iCs w:val="0"/>
        <w:caps/>
        <w:strike w:val="0"/>
        <w:dstrike w:val="0"/>
        <w:vanish w:val="0"/>
        <w:color w:val="000000"/>
        <w:spacing w:val="0"/>
        <w:kern w:val="0"/>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4CF21919"/>
    <w:multiLevelType w:val="multilevel"/>
    <w:tmpl w:val="D908C808"/>
    <w:lvl w:ilvl="0">
      <w:start w:val="1"/>
      <w:numFmt w:val="decimal"/>
      <w:lvlText w:val="%1)"/>
      <w:lvlJc w:val="left"/>
      <w:pPr>
        <w:tabs>
          <w:tab w:val="num" w:pos="216"/>
        </w:tabs>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0" w15:restartNumberingAfterBreak="0">
    <w:nsid w:val="4F0A0856"/>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1590241"/>
    <w:multiLevelType w:val="multilevel"/>
    <w:tmpl w:val="9C62DC70"/>
    <w:lvl w:ilvl="0">
      <w:start w:val="1"/>
      <w:numFmt w:val="decimal"/>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3" w15:restartNumberingAfterBreak="0">
    <w:nsid w:val="53BC2548"/>
    <w:multiLevelType w:val="multilevel"/>
    <w:tmpl w:val="595A58D8"/>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hAnsi="Symbol" w:hint="default"/>
        <w:b/>
        <w:bCs/>
        <w:i w:val="0"/>
        <w:iCs w:val="0"/>
        <w:caps/>
        <w:strike w:val="0"/>
        <w:dstrike w:val="0"/>
        <w:vanish w:val="0"/>
        <w:color w:val="000000"/>
        <w:spacing w:val="0"/>
        <w:kern w:val="0"/>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54A2257E"/>
    <w:multiLevelType w:val="multilevel"/>
    <w:tmpl w:val="AD807452"/>
    <w:lvl w:ilvl="0">
      <w:start w:val="1"/>
      <w:numFmt w:val="upperRoman"/>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59A71AA9"/>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eastAsia="SimSun"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5AAF2D51"/>
    <w:multiLevelType w:val="multilevel"/>
    <w:tmpl w:val="C994D254"/>
    <w:lvl w:ilvl="0">
      <w:start w:val="1"/>
      <w:numFmt w:val="upperRoman"/>
      <w:lvlText w:val="%1."/>
      <w:lvlJc w:val="center"/>
      <w:pPr>
        <w:tabs>
          <w:tab w:val="num" w:pos="576"/>
        </w:tabs>
        <w:ind w:left="57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5B894DCE"/>
    <w:multiLevelType w:val="multilevel"/>
    <w:tmpl w:val="06262128"/>
    <w:lvl w:ilvl="0">
      <w:start w:val="1"/>
      <w:numFmt w:val="upperRoman"/>
      <w:lvlText w:val="%1."/>
      <w:lvlJc w:val="center"/>
      <w:pPr>
        <w:tabs>
          <w:tab w:val="num" w:pos="504"/>
        </w:tabs>
        <w:ind w:left="504" w:hanging="14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607B06C9"/>
    <w:multiLevelType w:val="multilevel"/>
    <w:tmpl w:val="3828D25C"/>
    <w:lvl w:ilvl="0">
      <w:start w:val="1"/>
      <w:numFmt w:val="upperRoman"/>
      <w:lvlText w:val="%1."/>
      <w:lvlJc w:val="left"/>
      <w:pPr>
        <w:tabs>
          <w:tab w:val="num" w:pos="504"/>
        </w:tabs>
        <w:ind w:left="504" w:hanging="50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67C66B6D"/>
    <w:multiLevelType w:val="multilevel"/>
    <w:tmpl w:val="62BAD17C"/>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720"/>
        </w:tabs>
        <w:ind w:left="720" w:hanging="432"/>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6A4705E7"/>
    <w:multiLevelType w:val="multilevel"/>
    <w:tmpl w:val="595A58D8"/>
    <w:lvl w:ilvl="0">
      <w:start w:val="1"/>
      <w:numFmt w:val="upperLetter"/>
      <w:lvlText w:val="%1."/>
      <w:lvlJc w:val="left"/>
      <w:pPr>
        <w:tabs>
          <w:tab w:val="num" w:pos="288"/>
        </w:tabs>
        <w:ind w:left="288" w:hanging="288"/>
      </w:pPr>
      <w:rPr>
        <w:rFonts w:ascii="Times New Roman" w:eastAsia="Arial Unicode MS" w:hAnsi="Times New Roman" w:cs="Times New Roman" w:hint="default"/>
        <w:bCs/>
        <w:i w:val="0"/>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eastAsia="SimSun" w:hAnsi="Symbol"/>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2" w15:restartNumberingAfterBreak="0">
    <w:nsid w:val="6BFC6865"/>
    <w:multiLevelType w:val="multilevel"/>
    <w:tmpl w:val="9C8E938C"/>
    <w:numStyleLink w:val="IEEEBullet1"/>
  </w:abstractNum>
  <w:abstractNum w:abstractNumId="43" w15:restartNumberingAfterBreak="0">
    <w:nsid w:val="70996FC9"/>
    <w:multiLevelType w:val="multilevel"/>
    <w:tmpl w:val="B058D2D4"/>
    <w:lvl w:ilvl="0">
      <w:start w:val="1"/>
      <w:numFmt w:val="upperRoman"/>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7230658B"/>
    <w:multiLevelType w:val="multilevel"/>
    <w:tmpl w:val="53844C2A"/>
    <w:lvl w:ilvl="0">
      <w:start w:val="1"/>
      <w:numFmt w:val="upperRoman"/>
      <w:lvlText w:val="%1."/>
      <w:lvlJc w:val="center"/>
      <w:pPr>
        <w:tabs>
          <w:tab w:val="num" w:pos="432"/>
        </w:tabs>
        <w:ind w:left="432" w:hanging="7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75434BE1"/>
    <w:multiLevelType w:val="multilevel"/>
    <w:tmpl w:val="21FE80A4"/>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936"/>
        </w:tabs>
        <w:ind w:left="936" w:hanging="57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76ED41EF"/>
    <w:multiLevelType w:val="multilevel"/>
    <w:tmpl w:val="4D2CE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9B35D5"/>
    <w:multiLevelType w:val="multilevel"/>
    <w:tmpl w:val="924E5DBA"/>
    <w:lvl w:ilvl="0">
      <w:start w:val="1"/>
      <w:numFmt w:val="upperLetter"/>
      <w:lvlText w:val="%1."/>
      <w:lvlJc w:val="left"/>
      <w:pPr>
        <w:tabs>
          <w:tab w:val="num" w:pos="288"/>
        </w:tabs>
        <w:ind w:left="288" w:hanging="288"/>
      </w:pPr>
      <w:rPr>
        <w:rFonts w:ascii="Times" w:eastAsia="Arial Unicode MS" w:hAnsi="Times" w:cs="Times New Roman" w:hint="default"/>
        <w:b w:val="0"/>
        <w:bCs/>
        <w:i w:val="0"/>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550462981">
    <w:abstractNumId w:val="22"/>
  </w:num>
  <w:num w:numId="2" w16cid:durableId="2004316142">
    <w:abstractNumId w:val="34"/>
  </w:num>
  <w:num w:numId="3" w16cid:durableId="422647263">
    <w:abstractNumId w:val="44"/>
  </w:num>
  <w:num w:numId="4" w16cid:durableId="188492556">
    <w:abstractNumId w:val="4"/>
  </w:num>
  <w:num w:numId="5" w16cid:durableId="1927811359">
    <w:abstractNumId w:val="22"/>
    <w:lvlOverride w:ilvl="0">
      <w:startOverride w:val="1"/>
    </w:lvlOverride>
  </w:num>
  <w:num w:numId="6" w16cid:durableId="706638663">
    <w:abstractNumId w:val="36"/>
  </w:num>
  <w:num w:numId="7" w16cid:durableId="1891652379">
    <w:abstractNumId w:val="37"/>
  </w:num>
  <w:num w:numId="8" w16cid:durableId="746196107">
    <w:abstractNumId w:val="21"/>
  </w:num>
  <w:num w:numId="9" w16cid:durableId="635649549">
    <w:abstractNumId w:val="38"/>
  </w:num>
  <w:num w:numId="10" w16cid:durableId="83379109">
    <w:abstractNumId w:val="43"/>
  </w:num>
  <w:num w:numId="11" w16cid:durableId="1910576232">
    <w:abstractNumId w:val="24"/>
  </w:num>
  <w:num w:numId="12" w16cid:durableId="621961582">
    <w:abstractNumId w:val="6"/>
  </w:num>
  <w:num w:numId="13" w16cid:durableId="699015969">
    <w:abstractNumId w:val="10"/>
  </w:num>
  <w:num w:numId="14" w16cid:durableId="786240996">
    <w:abstractNumId w:val="31"/>
  </w:num>
  <w:num w:numId="15" w16cid:durableId="890074031">
    <w:abstractNumId w:val="8"/>
  </w:num>
  <w:num w:numId="16" w16cid:durableId="535775792">
    <w:abstractNumId w:val="12"/>
  </w:num>
  <w:num w:numId="17" w16cid:durableId="1256279887">
    <w:abstractNumId w:val="25"/>
  </w:num>
  <w:num w:numId="18" w16cid:durableId="651058304">
    <w:abstractNumId w:val="13"/>
  </w:num>
  <w:num w:numId="19" w16cid:durableId="150171860">
    <w:abstractNumId w:val="45"/>
  </w:num>
  <w:num w:numId="20" w16cid:durableId="1115253554">
    <w:abstractNumId w:val="39"/>
  </w:num>
  <w:num w:numId="21" w16cid:durableId="1695574119">
    <w:abstractNumId w:val="35"/>
  </w:num>
  <w:num w:numId="22" w16cid:durableId="320619145">
    <w:abstractNumId w:val="29"/>
  </w:num>
  <w:num w:numId="23" w16cid:durableId="443814356">
    <w:abstractNumId w:val="17"/>
  </w:num>
  <w:num w:numId="24" w16cid:durableId="1861696047">
    <w:abstractNumId w:val="41"/>
  </w:num>
  <w:num w:numId="25" w16cid:durableId="1893686391">
    <w:abstractNumId w:val="16"/>
  </w:num>
  <w:num w:numId="26" w16cid:durableId="1537767885">
    <w:abstractNumId w:val="1"/>
  </w:num>
  <w:num w:numId="27" w16cid:durableId="1455127363">
    <w:abstractNumId w:val="11"/>
  </w:num>
  <w:num w:numId="28" w16cid:durableId="1319579004">
    <w:abstractNumId w:val="3"/>
  </w:num>
  <w:num w:numId="29" w16cid:durableId="2002655860">
    <w:abstractNumId w:val="19"/>
  </w:num>
  <w:num w:numId="30" w16cid:durableId="1946233315">
    <w:abstractNumId w:val="30"/>
  </w:num>
  <w:num w:numId="31" w16cid:durableId="1870144606">
    <w:abstractNumId w:val="9"/>
  </w:num>
  <w:num w:numId="32" w16cid:durableId="893615791">
    <w:abstractNumId w:val="23"/>
  </w:num>
  <w:num w:numId="33" w16cid:durableId="733044783">
    <w:abstractNumId w:val="5"/>
  </w:num>
  <w:num w:numId="34" w16cid:durableId="1825395602">
    <w:abstractNumId w:val="33"/>
  </w:num>
  <w:num w:numId="35" w16cid:durableId="1756051184">
    <w:abstractNumId w:val="7"/>
  </w:num>
  <w:num w:numId="36" w16cid:durableId="1098675514">
    <w:abstractNumId w:val="15"/>
  </w:num>
  <w:num w:numId="37" w16cid:durableId="596250716">
    <w:abstractNumId w:val="31"/>
  </w:num>
  <w:num w:numId="38" w16cid:durableId="1079131219">
    <w:abstractNumId w:val="47"/>
  </w:num>
  <w:num w:numId="39" w16cid:durableId="85684459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476992462">
    <w:abstractNumId w:val="27"/>
  </w:num>
  <w:num w:numId="41" w16cid:durableId="1923373367">
    <w:abstractNumId w:val="40"/>
  </w:num>
  <w:num w:numId="42" w16cid:durableId="846406641">
    <w:abstractNumId w:val="14"/>
  </w:num>
  <w:num w:numId="43" w16cid:durableId="1969511841">
    <w:abstractNumId w:val="28"/>
  </w:num>
  <w:num w:numId="44" w16cid:durableId="631252769">
    <w:abstractNumId w:val="42"/>
  </w:num>
  <w:num w:numId="45" w16cid:durableId="871185733">
    <w:abstractNumId w:val="20"/>
  </w:num>
  <w:num w:numId="46" w16cid:durableId="2087681571">
    <w:abstractNumId w:val="2"/>
  </w:num>
  <w:num w:numId="47" w16cid:durableId="100801713">
    <w:abstractNumId w:val="18"/>
  </w:num>
  <w:num w:numId="48" w16cid:durableId="1464739489">
    <w:abstractNumId w:val="26"/>
  </w:num>
  <w:num w:numId="49" w16cid:durableId="2060667491">
    <w:abstractNumId w:val="0"/>
  </w:num>
  <w:num w:numId="50" w16cid:durableId="517231064">
    <w:abstractNumId w:val="32"/>
  </w:num>
  <w:num w:numId="51" w16cid:durableId="1756515221">
    <w:abstractNumId w:val="46"/>
  </w:num>
  <w:num w:numId="52" w16cid:durableId="1656489636">
    <w:abstractNumId w:val="2"/>
    <w:lvlOverride w:ilvl="0">
      <w:startOverride w:val="1"/>
    </w:lvlOverride>
    <w:lvlOverride w:ilvl="1">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012BB"/>
    <w:rsid w:val="00017719"/>
    <w:rsid w:val="00027F1D"/>
    <w:rsid w:val="0003296C"/>
    <w:rsid w:val="00042F9F"/>
    <w:rsid w:val="000453F0"/>
    <w:rsid w:val="00054421"/>
    <w:rsid w:val="00062E46"/>
    <w:rsid w:val="00074AC8"/>
    <w:rsid w:val="00081408"/>
    <w:rsid w:val="00081EBE"/>
    <w:rsid w:val="00086EDC"/>
    <w:rsid w:val="000B36A3"/>
    <w:rsid w:val="000C013C"/>
    <w:rsid w:val="000E3F84"/>
    <w:rsid w:val="001056DF"/>
    <w:rsid w:val="00114025"/>
    <w:rsid w:val="001160D2"/>
    <w:rsid w:val="001348A5"/>
    <w:rsid w:val="00142DF5"/>
    <w:rsid w:val="00151B8E"/>
    <w:rsid w:val="00182170"/>
    <w:rsid w:val="00184B2C"/>
    <w:rsid w:val="00185939"/>
    <w:rsid w:val="00187A58"/>
    <w:rsid w:val="001928FB"/>
    <w:rsid w:val="00192BC7"/>
    <w:rsid w:val="001A25E2"/>
    <w:rsid w:val="001A480D"/>
    <w:rsid w:val="001A50EA"/>
    <w:rsid w:val="001F16CD"/>
    <w:rsid w:val="001F47D2"/>
    <w:rsid w:val="00204CA4"/>
    <w:rsid w:val="0022285A"/>
    <w:rsid w:val="00224C61"/>
    <w:rsid w:val="00227ED2"/>
    <w:rsid w:val="00243763"/>
    <w:rsid w:val="0027227B"/>
    <w:rsid w:val="00273AC7"/>
    <w:rsid w:val="00273D2C"/>
    <w:rsid w:val="00285ECD"/>
    <w:rsid w:val="00290E1B"/>
    <w:rsid w:val="00291B17"/>
    <w:rsid w:val="002A6742"/>
    <w:rsid w:val="002C1A7F"/>
    <w:rsid w:val="002C4239"/>
    <w:rsid w:val="002C559D"/>
    <w:rsid w:val="002D2D42"/>
    <w:rsid w:val="002F72D0"/>
    <w:rsid w:val="003003AB"/>
    <w:rsid w:val="0030280A"/>
    <w:rsid w:val="00306E1D"/>
    <w:rsid w:val="00311C49"/>
    <w:rsid w:val="0032119E"/>
    <w:rsid w:val="00321304"/>
    <w:rsid w:val="00331F84"/>
    <w:rsid w:val="00346808"/>
    <w:rsid w:val="003646CE"/>
    <w:rsid w:val="003950A4"/>
    <w:rsid w:val="003C7790"/>
    <w:rsid w:val="003E3577"/>
    <w:rsid w:val="003F3A61"/>
    <w:rsid w:val="00410A5D"/>
    <w:rsid w:val="0041172B"/>
    <w:rsid w:val="00414909"/>
    <w:rsid w:val="00425A6A"/>
    <w:rsid w:val="00426FBB"/>
    <w:rsid w:val="0043505C"/>
    <w:rsid w:val="00446D7C"/>
    <w:rsid w:val="0047429A"/>
    <w:rsid w:val="00480A24"/>
    <w:rsid w:val="0048374C"/>
    <w:rsid w:val="0048771D"/>
    <w:rsid w:val="004A6605"/>
    <w:rsid w:val="004C45FA"/>
    <w:rsid w:val="004E1BD8"/>
    <w:rsid w:val="004E452A"/>
    <w:rsid w:val="004E78E3"/>
    <w:rsid w:val="005004BF"/>
    <w:rsid w:val="00502E89"/>
    <w:rsid w:val="00510E95"/>
    <w:rsid w:val="00527D56"/>
    <w:rsid w:val="0053221F"/>
    <w:rsid w:val="00536FAE"/>
    <w:rsid w:val="00542C85"/>
    <w:rsid w:val="00553510"/>
    <w:rsid w:val="00554186"/>
    <w:rsid w:val="005706AD"/>
    <w:rsid w:val="00570A51"/>
    <w:rsid w:val="00585769"/>
    <w:rsid w:val="00591130"/>
    <w:rsid w:val="005A3F28"/>
    <w:rsid w:val="005A40BE"/>
    <w:rsid w:val="005A4977"/>
    <w:rsid w:val="005B13E2"/>
    <w:rsid w:val="005B47D7"/>
    <w:rsid w:val="005C5526"/>
    <w:rsid w:val="005C62C6"/>
    <w:rsid w:val="005D141F"/>
    <w:rsid w:val="005D7B9E"/>
    <w:rsid w:val="005F0834"/>
    <w:rsid w:val="005F6DC3"/>
    <w:rsid w:val="00601A8E"/>
    <w:rsid w:val="0062033E"/>
    <w:rsid w:val="00624482"/>
    <w:rsid w:val="0064799C"/>
    <w:rsid w:val="00654156"/>
    <w:rsid w:val="00656B47"/>
    <w:rsid w:val="00695976"/>
    <w:rsid w:val="006A77F1"/>
    <w:rsid w:val="006A7FA2"/>
    <w:rsid w:val="006B47CA"/>
    <w:rsid w:val="006C7AAA"/>
    <w:rsid w:val="006D1C2A"/>
    <w:rsid w:val="006D264F"/>
    <w:rsid w:val="006E2A8D"/>
    <w:rsid w:val="006E7574"/>
    <w:rsid w:val="00703430"/>
    <w:rsid w:val="007069BE"/>
    <w:rsid w:val="00710A54"/>
    <w:rsid w:val="00715201"/>
    <w:rsid w:val="00745C86"/>
    <w:rsid w:val="00764603"/>
    <w:rsid w:val="0076604D"/>
    <w:rsid w:val="00790909"/>
    <w:rsid w:val="007A2A3A"/>
    <w:rsid w:val="007B439C"/>
    <w:rsid w:val="007B5A07"/>
    <w:rsid w:val="007D3E71"/>
    <w:rsid w:val="007E0C6F"/>
    <w:rsid w:val="007E5D6A"/>
    <w:rsid w:val="007E645D"/>
    <w:rsid w:val="007F75CA"/>
    <w:rsid w:val="00813332"/>
    <w:rsid w:val="00821E08"/>
    <w:rsid w:val="00834EFD"/>
    <w:rsid w:val="00844B24"/>
    <w:rsid w:val="0084515F"/>
    <w:rsid w:val="00845545"/>
    <w:rsid w:val="0085092D"/>
    <w:rsid w:val="00877D4C"/>
    <w:rsid w:val="00883903"/>
    <w:rsid w:val="0089763B"/>
    <w:rsid w:val="008B6AE3"/>
    <w:rsid w:val="008D1045"/>
    <w:rsid w:val="008E5996"/>
    <w:rsid w:val="00901AE1"/>
    <w:rsid w:val="009205B4"/>
    <w:rsid w:val="00934013"/>
    <w:rsid w:val="00954B9E"/>
    <w:rsid w:val="00955B59"/>
    <w:rsid w:val="009620CF"/>
    <w:rsid w:val="00980199"/>
    <w:rsid w:val="00992262"/>
    <w:rsid w:val="009926BC"/>
    <w:rsid w:val="009A4319"/>
    <w:rsid w:val="009A6C3F"/>
    <w:rsid w:val="009B73F2"/>
    <w:rsid w:val="009C12BD"/>
    <w:rsid w:val="009C50FE"/>
    <w:rsid w:val="009D53B6"/>
    <w:rsid w:val="009E407A"/>
    <w:rsid w:val="00A02EC5"/>
    <w:rsid w:val="00A03E75"/>
    <w:rsid w:val="00A32BFA"/>
    <w:rsid w:val="00A45FCE"/>
    <w:rsid w:val="00A75671"/>
    <w:rsid w:val="00A773CC"/>
    <w:rsid w:val="00A82FF7"/>
    <w:rsid w:val="00A9318B"/>
    <w:rsid w:val="00A94AC1"/>
    <w:rsid w:val="00AA1C30"/>
    <w:rsid w:val="00AA1D6F"/>
    <w:rsid w:val="00AB18B7"/>
    <w:rsid w:val="00AD335D"/>
    <w:rsid w:val="00AE2EA5"/>
    <w:rsid w:val="00AF792B"/>
    <w:rsid w:val="00B55D5E"/>
    <w:rsid w:val="00B85471"/>
    <w:rsid w:val="00B94516"/>
    <w:rsid w:val="00BA612F"/>
    <w:rsid w:val="00BB2855"/>
    <w:rsid w:val="00BB4DAC"/>
    <w:rsid w:val="00BD19C1"/>
    <w:rsid w:val="00BD25B8"/>
    <w:rsid w:val="00BF3113"/>
    <w:rsid w:val="00C012E1"/>
    <w:rsid w:val="00C06BB4"/>
    <w:rsid w:val="00C10D20"/>
    <w:rsid w:val="00C12E0C"/>
    <w:rsid w:val="00C21916"/>
    <w:rsid w:val="00C31B13"/>
    <w:rsid w:val="00C33895"/>
    <w:rsid w:val="00C457CA"/>
    <w:rsid w:val="00C57FB7"/>
    <w:rsid w:val="00C65F3F"/>
    <w:rsid w:val="00C72414"/>
    <w:rsid w:val="00C8667B"/>
    <w:rsid w:val="00CA4CE3"/>
    <w:rsid w:val="00CC2C78"/>
    <w:rsid w:val="00CD404E"/>
    <w:rsid w:val="00CD4F3F"/>
    <w:rsid w:val="00D11D48"/>
    <w:rsid w:val="00D16BFF"/>
    <w:rsid w:val="00D267D9"/>
    <w:rsid w:val="00D311F8"/>
    <w:rsid w:val="00D36B52"/>
    <w:rsid w:val="00D377C8"/>
    <w:rsid w:val="00D41274"/>
    <w:rsid w:val="00D414FE"/>
    <w:rsid w:val="00D43BF3"/>
    <w:rsid w:val="00D44E3A"/>
    <w:rsid w:val="00D767BB"/>
    <w:rsid w:val="00D939B0"/>
    <w:rsid w:val="00DB0D8D"/>
    <w:rsid w:val="00DB16E0"/>
    <w:rsid w:val="00DB2DF9"/>
    <w:rsid w:val="00DB7E63"/>
    <w:rsid w:val="00DC1B8B"/>
    <w:rsid w:val="00DC2055"/>
    <w:rsid w:val="00DD6860"/>
    <w:rsid w:val="00DD71E8"/>
    <w:rsid w:val="00DD7F83"/>
    <w:rsid w:val="00E0641E"/>
    <w:rsid w:val="00E06664"/>
    <w:rsid w:val="00E304BC"/>
    <w:rsid w:val="00E32853"/>
    <w:rsid w:val="00E401F8"/>
    <w:rsid w:val="00E46425"/>
    <w:rsid w:val="00E47D0E"/>
    <w:rsid w:val="00E5246B"/>
    <w:rsid w:val="00E65018"/>
    <w:rsid w:val="00E94339"/>
    <w:rsid w:val="00E97563"/>
    <w:rsid w:val="00EB0B63"/>
    <w:rsid w:val="00EC265C"/>
    <w:rsid w:val="00ED61CB"/>
    <w:rsid w:val="00EE6298"/>
    <w:rsid w:val="00F06A72"/>
    <w:rsid w:val="00F136F0"/>
    <w:rsid w:val="00F20BBB"/>
    <w:rsid w:val="00F43BD8"/>
    <w:rsid w:val="00F562F3"/>
    <w:rsid w:val="00F74B89"/>
    <w:rsid w:val="00F75133"/>
    <w:rsid w:val="00F77920"/>
    <w:rsid w:val="00F90618"/>
    <w:rsid w:val="00FA3899"/>
    <w:rsid w:val="00FA4909"/>
    <w:rsid w:val="00FA6751"/>
    <w:rsid w:val="00FB1048"/>
    <w:rsid w:val="00FB62C4"/>
    <w:rsid w:val="00FB7701"/>
    <w:rsid w:val="00FD1AC5"/>
    <w:rsid w:val="00FD5CF0"/>
    <w:rsid w:val="00FE55E4"/>
  </w:rsids>
  <m:mathPr>
    <m:mathFont m:val="Cambria Math"/>
    <m:brkBin m:val="before"/>
    <m:brkBinSub m:val="--"/>
    <m:smallFrac m:val="0"/>
    <m:dispDef/>
    <m:lMargin m:val="0"/>
    <m:rMargin m:val="0"/>
    <m:defJc m:val="centerGroup"/>
    <m:wrapIndent m:val="1440"/>
    <m:intLim m:val="subSup"/>
    <m:naryLim m:val="undOvr"/>
  </m:mathPr>
  <w:themeFontLang w:val="id-ID"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2A818B"/>
  <w15:docId w15:val="{FCAB9712-EF51-904E-9740-AF2BC3450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47"/>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7"/>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46"/>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4"/>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4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rFonts w:eastAsia="SimSun"/>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4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customStyle="1" w:styleId="apple-converted-space">
    <w:name w:val="apple-converted-space"/>
    <w:basedOn w:val="DefaultParagraphFont"/>
    <w:rsid w:val="00656B47"/>
  </w:style>
  <w:style w:type="paragraph" w:styleId="NormalWeb">
    <w:name w:val="Normal (Web)"/>
    <w:basedOn w:val="Normal"/>
    <w:uiPriority w:val="99"/>
    <w:unhideWhenUsed/>
    <w:rsid w:val="00715201"/>
    <w:pPr>
      <w:spacing w:before="100" w:beforeAutospacing="1" w:after="100" w:afterAutospacing="1"/>
    </w:pPr>
    <w:rPr>
      <w:rFonts w:eastAsia="Times New Roman"/>
      <w:lang w:val="en-US" w:eastAsia="en-US" w:bidi="mr-IN"/>
    </w:rPr>
  </w:style>
  <w:style w:type="character" w:styleId="Hyperlink">
    <w:name w:val="Hyperlink"/>
    <w:basedOn w:val="DefaultParagraphFont"/>
    <w:rsid w:val="00695976"/>
    <w:rPr>
      <w:color w:val="0000FF" w:themeColor="hyperlink"/>
      <w:u w:val="single"/>
    </w:rPr>
  </w:style>
  <w:style w:type="character" w:styleId="UnresolvedMention">
    <w:name w:val="Unresolved Mention"/>
    <w:basedOn w:val="DefaultParagraphFont"/>
    <w:uiPriority w:val="99"/>
    <w:semiHidden/>
    <w:unhideWhenUsed/>
    <w:rsid w:val="006959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78276">
      <w:bodyDiv w:val="1"/>
      <w:marLeft w:val="0"/>
      <w:marRight w:val="0"/>
      <w:marTop w:val="0"/>
      <w:marBottom w:val="0"/>
      <w:divBdr>
        <w:top w:val="none" w:sz="0" w:space="0" w:color="auto"/>
        <w:left w:val="none" w:sz="0" w:space="0" w:color="auto"/>
        <w:bottom w:val="none" w:sz="0" w:space="0" w:color="auto"/>
        <w:right w:val="none" w:sz="0" w:space="0" w:color="auto"/>
      </w:divBdr>
    </w:div>
    <w:div w:id="232205223">
      <w:bodyDiv w:val="1"/>
      <w:marLeft w:val="0"/>
      <w:marRight w:val="0"/>
      <w:marTop w:val="0"/>
      <w:marBottom w:val="0"/>
      <w:divBdr>
        <w:top w:val="none" w:sz="0" w:space="0" w:color="auto"/>
        <w:left w:val="none" w:sz="0" w:space="0" w:color="auto"/>
        <w:bottom w:val="none" w:sz="0" w:space="0" w:color="auto"/>
        <w:right w:val="none" w:sz="0" w:space="0" w:color="auto"/>
      </w:divBdr>
    </w:div>
    <w:div w:id="258565497">
      <w:bodyDiv w:val="1"/>
      <w:marLeft w:val="0"/>
      <w:marRight w:val="0"/>
      <w:marTop w:val="0"/>
      <w:marBottom w:val="0"/>
      <w:divBdr>
        <w:top w:val="none" w:sz="0" w:space="0" w:color="auto"/>
        <w:left w:val="none" w:sz="0" w:space="0" w:color="auto"/>
        <w:bottom w:val="none" w:sz="0" w:space="0" w:color="auto"/>
        <w:right w:val="none" w:sz="0" w:space="0" w:color="auto"/>
      </w:divBdr>
    </w:div>
    <w:div w:id="664868948">
      <w:bodyDiv w:val="1"/>
      <w:marLeft w:val="0"/>
      <w:marRight w:val="0"/>
      <w:marTop w:val="0"/>
      <w:marBottom w:val="0"/>
      <w:divBdr>
        <w:top w:val="none" w:sz="0" w:space="0" w:color="auto"/>
        <w:left w:val="none" w:sz="0" w:space="0" w:color="auto"/>
        <w:bottom w:val="none" w:sz="0" w:space="0" w:color="auto"/>
        <w:right w:val="none" w:sz="0" w:space="0" w:color="auto"/>
      </w:divBdr>
    </w:div>
    <w:div w:id="1054885818">
      <w:bodyDiv w:val="1"/>
      <w:marLeft w:val="0"/>
      <w:marRight w:val="0"/>
      <w:marTop w:val="0"/>
      <w:marBottom w:val="0"/>
      <w:divBdr>
        <w:top w:val="none" w:sz="0" w:space="0" w:color="auto"/>
        <w:left w:val="none" w:sz="0" w:space="0" w:color="auto"/>
        <w:bottom w:val="none" w:sz="0" w:space="0" w:color="auto"/>
        <w:right w:val="none" w:sz="0" w:space="0" w:color="auto"/>
      </w:divBdr>
    </w:div>
    <w:div w:id="1096562105">
      <w:bodyDiv w:val="1"/>
      <w:marLeft w:val="0"/>
      <w:marRight w:val="0"/>
      <w:marTop w:val="0"/>
      <w:marBottom w:val="0"/>
      <w:divBdr>
        <w:top w:val="none" w:sz="0" w:space="0" w:color="auto"/>
        <w:left w:val="none" w:sz="0" w:space="0" w:color="auto"/>
        <w:bottom w:val="none" w:sz="0" w:space="0" w:color="auto"/>
        <w:right w:val="none" w:sz="0" w:space="0" w:color="auto"/>
      </w:divBdr>
    </w:div>
    <w:div w:id="1119177722">
      <w:bodyDiv w:val="1"/>
      <w:marLeft w:val="0"/>
      <w:marRight w:val="0"/>
      <w:marTop w:val="0"/>
      <w:marBottom w:val="0"/>
      <w:divBdr>
        <w:top w:val="none" w:sz="0" w:space="0" w:color="auto"/>
        <w:left w:val="none" w:sz="0" w:space="0" w:color="auto"/>
        <w:bottom w:val="none" w:sz="0" w:space="0" w:color="auto"/>
        <w:right w:val="none" w:sz="0" w:space="0" w:color="auto"/>
      </w:divBdr>
    </w:div>
    <w:div w:id="1470518624">
      <w:bodyDiv w:val="1"/>
      <w:marLeft w:val="0"/>
      <w:marRight w:val="0"/>
      <w:marTop w:val="0"/>
      <w:marBottom w:val="0"/>
      <w:divBdr>
        <w:top w:val="none" w:sz="0" w:space="0" w:color="auto"/>
        <w:left w:val="none" w:sz="0" w:space="0" w:color="auto"/>
        <w:bottom w:val="none" w:sz="0" w:space="0" w:color="auto"/>
        <w:right w:val="none" w:sz="0" w:space="0" w:color="auto"/>
      </w:divBdr>
    </w:div>
    <w:div w:id="165788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m88666n@pace.edu" TargetMode="External"/><Relationship Id="rId3" Type="http://schemas.openxmlformats.org/officeDocument/2006/relationships/settings" Target="settings.xml"/><Relationship Id="rId7" Type="http://schemas.openxmlformats.org/officeDocument/2006/relationships/hyperlink" Target="mailto:vn32831n@pac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k84879n@pace.edu" TargetMode="External"/><Relationship Id="rId11" Type="http://schemas.openxmlformats.org/officeDocument/2006/relationships/theme" Target="theme/theme1.xml"/><Relationship Id="rId5" Type="http://schemas.openxmlformats.org/officeDocument/2006/relationships/hyperlink" Target="mailto:mk17805@pace.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2415</Words>
  <Characters>13768</Characters>
  <Application>Microsoft Office Word</Application>
  <DocSecurity>0</DocSecurity>
  <Lines>114</Lines>
  <Paragraphs>32</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Cimahi</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Mhatre, Mr. Ankit Vilas</cp:lastModifiedBy>
  <cp:revision>2</cp:revision>
  <cp:lastPrinted>2024-04-11T23:18:00Z</cp:lastPrinted>
  <dcterms:created xsi:type="dcterms:W3CDTF">2024-04-11T23:21:00Z</dcterms:created>
  <dcterms:modified xsi:type="dcterms:W3CDTF">2024-04-11T23:21:00Z</dcterms:modified>
</cp:coreProperties>
</file>