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A9732D" w14:textId="77777777" w:rsidR="00974E4B" w:rsidRDefault="00000000">
      <w:pPr>
        <w:spacing w:after="200"/>
      </w:pPr>
      <w:r>
        <w:rPr>
          <w:b/>
          <w:bCs/>
          <w:sz w:val="32"/>
          <w:szCs w:val="32"/>
        </w:rPr>
        <w:t>Partners Page — Copy &amp; UI</w:t>
      </w:r>
    </w:p>
    <w:p w14:paraId="51B47BF5" w14:textId="77777777" w:rsidR="00974E4B" w:rsidRDefault="00000000">
      <w:pPr>
        <w:spacing w:after="120"/>
      </w:pPr>
      <w:r>
        <w:rPr>
          <w:i/>
          <w:iCs/>
        </w:rPr>
        <w:t>Nav placement: “Partners” as its own top-level nav item (or nested under a future “Ecosystem” dropdown if Distributors / Community pages are added later). Clicking it routes straight here; no sub-menu for now.</w:t>
      </w:r>
    </w:p>
    <w:p w14:paraId="14045487" w14:textId="77777777" w:rsidR="00974E4B" w:rsidRDefault="00000000">
      <w:pPr>
        <w:spacing w:before="280" w:after="120"/>
      </w:pPr>
      <w:r>
        <w:rPr>
          <w:b/>
          <w:bCs/>
          <w:sz w:val="26"/>
          <w:szCs w:val="26"/>
        </w:rPr>
        <w:t>Hero Section: The Promise</w:t>
      </w:r>
    </w:p>
    <w:p w14:paraId="052B6F73" w14:textId="77777777" w:rsidR="00974E4B" w:rsidRDefault="00000000">
      <w:pPr>
        <w:spacing w:after="120"/>
      </w:pPr>
      <w:r>
        <w:rPr>
          <w:b/>
          <w:bCs/>
        </w:rPr>
        <w:t xml:space="preserve">Headline: </w:t>
      </w:r>
      <w:r>
        <w:t>You bring the vision. Our partners help you build it.</w:t>
      </w:r>
    </w:p>
    <w:p w14:paraId="6E5F4F4A" w14:textId="3D7DEC91" w:rsidR="00974E4B" w:rsidRDefault="00000000">
      <w:pPr>
        <w:spacing w:after="120"/>
      </w:pPr>
      <w:r>
        <w:rPr>
          <w:b/>
          <w:bCs/>
        </w:rPr>
        <w:t xml:space="preserve">Sub-Heading: </w:t>
      </w:r>
      <w:r>
        <w:t>Building a</w:t>
      </w:r>
      <w:r w:rsidR="009F2899">
        <w:t xml:space="preserve">n AI </w:t>
      </w:r>
      <w:r>
        <w:t>product takes more than a breakthrough chip — it takes specialized algorithms, tuned firmware, custom hardware, and manufacturing at scale. Ambient’s partner ecosystem brings world-class expertise across the entire stack, already fluent in the GPX platform, wherever you build.</w:t>
      </w:r>
    </w:p>
    <w:p w14:paraId="5971B2C8" w14:textId="77777777" w:rsidR="00974E4B" w:rsidRDefault="00000000">
      <w:pPr>
        <w:spacing w:after="120"/>
      </w:pPr>
      <w:r>
        <w:rPr>
          <w:b/>
          <w:bCs/>
        </w:rPr>
        <w:t xml:space="preserve">UX/Visual Directive: </w:t>
      </w:r>
    </w:p>
    <w:p w14:paraId="79E487E2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Layout: </w:t>
      </w:r>
      <w:r>
        <w:t>Full-width deep-tech dark mode.</w:t>
      </w:r>
    </w:p>
    <w:p w14:paraId="4F3DD227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Visual: </w:t>
      </w:r>
      <w:r>
        <w:t>A central glowing GPX/CubicCore node with partner nodes connected around it in a living mesh — an ecosystem constellation. Distinct from the Homepage “Orbital Compute” hero: here the story is connection and support, not scale. A subtle pulse travels from the core out to each partner node and back, signaling “help flows both ways.”</w:t>
      </w:r>
    </w:p>
    <w:p w14:paraId="11B3EEF9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CTAs: </w:t>
      </w:r>
      <w:r>
        <w:t>Primary [ Find a Partner ] · quiet secondary [ Become a Partner ].</w:t>
      </w:r>
    </w:p>
    <w:p w14:paraId="3EE380E7" w14:textId="77777777" w:rsidR="00974E4B" w:rsidRDefault="00000000">
      <w:pPr>
        <w:spacing w:before="280" w:after="120"/>
      </w:pPr>
      <w:r>
        <w:rPr>
          <w:b/>
          <w:bCs/>
          <w:sz w:val="26"/>
          <w:szCs w:val="26"/>
        </w:rPr>
        <w:t>Section 1: The Why — A Production AI Product Is a Full-Stack Challenge</w:t>
      </w:r>
    </w:p>
    <w:p w14:paraId="38D4EB78" w14:textId="77777777" w:rsidR="00974E4B" w:rsidRDefault="00000000">
      <w:pPr>
        <w:spacing w:after="120"/>
      </w:pPr>
      <w:r>
        <w:rPr>
          <w:b/>
          <w:bCs/>
        </w:rPr>
        <w:t xml:space="preserve">Heading: </w:t>
      </w:r>
      <w:r>
        <w:t>A breakthrough processor is the start, not the finish.</w:t>
      </w:r>
    </w:p>
    <w:p w14:paraId="5B5A345B" w14:textId="0E334EA5" w:rsidR="00974E4B" w:rsidRDefault="00000000">
      <w:pPr>
        <w:spacing w:after="120"/>
      </w:pPr>
      <w:r>
        <w:rPr>
          <w:b/>
          <w:bCs/>
        </w:rPr>
        <w:t xml:space="preserve">Sub-Heading: </w:t>
      </w:r>
      <w:r w:rsidR="006233FD">
        <w:t>From algorithms to manufacturing, a great AI product spans the whole stack. Bring your strengths; our partners bring theirs — so every layer moves at full speed.</w:t>
      </w:r>
    </w:p>
    <w:p w14:paraId="2E977820" w14:textId="77777777" w:rsidR="00974E4B" w:rsidRDefault="00000000">
      <w:pPr>
        <w:spacing w:after="120"/>
      </w:pPr>
      <w:r>
        <w:rPr>
          <w:b/>
          <w:bCs/>
        </w:rPr>
        <w:t xml:space="preserve">Body Copy: </w:t>
      </w:r>
      <w:r>
        <w:t xml:space="preserve">The hard part of an AI product was never just the chip. It’s the specialized model that </w:t>
      </w:r>
      <w:proofErr w:type="gramStart"/>
      <w:r>
        <w:t>has to</w:t>
      </w:r>
      <w:proofErr w:type="gramEnd"/>
      <w:r>
        <w:t xml:space="preserve"> run inside a microwatt budget, the firmware tuned to squeeze out </w:t>
      </w:r>
      <w:proofErr w:type="gramStart"/>
      <w:r>
        <w:t>every last</w:t>
      </w:r>
      <w:proofErr w:type="gramEnd"/>
      <w:r>
        <w:t xml:space="preserve"> drop of efficiency, the board designed around tight power and space constraints, and the manufacturing partner who can build it at volume without surprises. A gap in any one of these can cost a roadmap </w:t>
      </w:r>
      <w:proofErr w:type="gramStart"/>
      <w:r>
        <w:t>months</w:t>
      </w:r>
      <w:proofErr w:type="gramEnd"/>
      <w:r>
        <w:t>. You shouldn’t have to master all of them to ship.</w:t>
      </w:r>
    </w:p>
    <w:p w14:paraId="03E84124" w14:textId="77777777" w:rsidR="00974E4B" w:rsidRDefault="00000000">
      <w:pPr>
        <w:spacing w:after="120"/>
      </w:pPr>
      <w:r>
        <w:rPr>
          <w:b/>
          <w:bCs/>
        </w:rPr>
        <w:t xml:space="preserve">UX/Visual Directive: </w:t>
      </w:r>
    </w:p>
    <w:p w14:paraId="0017A992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Layout: </w:t>
      </w:r>
      <w:r>
        <w:t>A horizontal “product journey” band — Model → Firmware → Hardware / Board → Manufacturing → Product.</w:t>
      </w:r>
    </w:p>
    <w:p w14:paraId="26D0EEF4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Visual: </w:t>
      </w:r>
      <w:r>
        <w:t>Some links in the chain glow brand green (a team’s in-house strengths); others sit dim or broken (the gaps). The point lands instantly: almost everyone has gaps somewhere in the chain.</w:t>
      </w:r>
    </w:p>
    <w:p w14:paraId="18D2A492" w14:textId="77777777" w:rsidR="00974E4B" w:rsidRDefault="00000000">
      <w:pPr>
        <w:spacing w:before="280" w:after="120"/>
      </w:pPr>
      <w:r>
        <w:rPr>
          <w:b/>
          <w:bCs/>
          <w:sz w:val="26"/>
          <w:szCs w:val="26"/>
        </w:rPr>
        <w:t xml:space="preserve">Section 2: The Payoff — Why Build </w:t>
      </w:r>
      <w:proofErr w:type="gramStart"/>
      <w:r>
        <w:rPr>
          <w:b/>
          <w:bCs/>
          <w:sz w:val="26"/>
          <w:szCs w:val="26"/>
        </w:rPr>
        <w:t>With</w:t>
      </w:r>
      <w:proofErr w:type="gramEnd"/>
      <w:r>
        <w:rPr>
          <w:b/>
          <w:bCs/>
          <w:sz w:val="26"/>
          <w:szCs w:val="26"/>
        </w:rPr>
        <w:t xml:space="preserve"> a Partner</w:t>
      </w:r>
    </w:p>
    <w:p w14:paraId="6400370D" w14:textId="77777777" w:rsidR="00974E4B" w:rsidRDefault="00000000">
      <w:pPr>
        <w:spacing w:after="120"/>
      </w:pPr>
      <w:r>
        <w:rPr>
          <w:b/>
          <w:bCs/>
        </w:rPr>
        <w:t xml:space="preserve">Heading: </w:t>
      </w:r>
      <w:r>
        <w:t>Ship faster. De-risk everything. Stay focused on what makes you, you.</w:t>
      </w:r>
    </w:p>
    <w:p w14:paraId="774CC888" w14:textId="77777777" w:rsidR="00974E4B" w:rsidRDefault="00000000">
      <w:pPr>
        <w:spacing w:after="120"/>
      </w:pPr>
      <w:r>
        <w:rPr>
          <w:b/>
          <w:bCs/>
        </w:rPr>
        <w:t xml:space="preserve">Sub-Heading: </w:t>
      </w:r>
      <w:r>
        <w:t>A partner who already knows the GPX platform turns months of trial-and-error into a running start.</w:t>
      </w:r>
    </w:p>
    <w:p w14:paraId="57B60F4D" w14:textId="77777777" w:rsidR="00974E4B" w:rsidRDefault="00000000">
      <w:pPr>
        <w:spacing w:after="120"/>
      </w:pPr>
      <w:r>
        <w:rPr>
          <w:b/>
          <w:bCs/>
        </w:rPr>
        <w:t xml:space="preserve">UX/Visual Directive: </w:t>
      </w:r>
      <w:r>
        <w:t>Four benefit cards, mirroring the Homepage “Measured proof in silicon” pattern — minimalist geometric wireframe icon above each, benefit-led heading, one supporting line.</w:t>
      </w:r>
    </w:p>
    <w:p w14:paraId="7E75ED96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Faster time to market. </w:t>
      </w:r>
      <w:r>
        <w:t>Skip the learning curve. Partners who already build on GPX take you from concept to production in a fraction of the time.</w:t>
      </w:r>
    </w:p>
    <w:p w14:paraId="0D2893EC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Higher success rate. </w:t>
      </w:r>
      <w:r>
        <w:t>Proven expertise and battle-tested reference designs mean fewer dead-ends and fewer costly re-spins.</w:t>
      </w:r>
    </w:p>
    <w:p w14:paraId="68BF84F2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De-risked development. </w:t>
      </w:r>
      <w:r>
        <w:t>Lean on specialists for the parts outside your core — from analog-aware model tuning to RF layout and volume manufacturing.</w:t>
      </w:r>
    </w:p>
    <w:p w14:paraId="165C2B4E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Focus on your differentiation. </w:t>
      </w:r>
      <w:r>
        <w:t>Spend your energy on the product only you can build. Let partners handle the rest of the stack.</w:t>
      </w:r>
    </w:p>
    <w:p w14:paraId="68F61EAF" w14:textId="77777777" w:rsidR="00974E4B" w:rsidRDefault="00000000">
      <w:pPr>
        <w:spacing w:after="120"/>
      </w:pPr>
      <w:r>
        <w:rPr>
          <w:b/>
          <w:bCs/>
        </w:rPr>
        <w:t xml:space="preserve">Bridge line: </w:t>
      </w:r>
      <w:r>
        <w:t>One ecosystem, engineered to get you to market — not to slow you down.</w:t>
      </w:r>
    </w:p>
    <w:p w14:paraId="45040720" w14:textId="77777777" w:rsidR="00974E4B" w:rsidRDefault="00000000">
      <w:pPr>
        <w:spacing w:before="280" w:after="120"/>
      </w:pPr>
      <w:r>
        <w:rPr>
          <w:b/>
          <w:bCs/>
          <w:sz w:val="26"/>
          <w:szCs w:val="26"/>
        </w:rPr>
        <w:t>Section 3: The Ecosystem, by Capability</w:t>
      </w:r>
    </w:p>
    <w:p w14:paraId="46923183" w14:textId="77777777" w:rsidR="00974E4B" w:rsidRDefault="00000000">
      <w:pPr>
        <w:spacing w:after="120"/>
      </w:pPr>
      <w:r>
        <w:rPr>
          <w:b/>
          <w:bCs/>
        </w:rPr>
        <w:t xml:space="preserve">Heading: </w:t>
      </w:r>
      <w:r>
        <w:t>Expertise across the entire stack.</w:t>
      </w:r>
    </w:p>
    <w:p w14:paraId="71825517" w14:textId="77777777" w:rsidR="00974E4B" w:rsidRDefault="00000000">
      <w:pPr>
        <w:spacing w:after="120"/>
      </w:pPr>
      <w:r>
        <w:rPr>
          <w:b/>
          <w:bCs/>
        </w:rPr>
        <w:t xml:space="preserve">Sub-Heading: </w:t>
      </w:r>
      <w:r>
        <w:t>Whatever piece you’re missing, there’s a partner who has already solved it on GPX.</w:t>
      </w:r>
    </w:p>
    <w:p w14:paraId="30073FC7" w14:textId="77777777" w:rsidR="00974E4B" w:rsidRDefault="00000000">
      <w:pPr>
        <w:spacing w:after="120"/>
      </w:pPr>
      <w:r>
        <w:rPr>
          <w:b/>
          <w:bCs/>
        </w:rPr>
        <w:t xml:space="preserve">UX/Visual Directive: </w:t>
      </w:r>
      <w:r>
        <w:t xml:space="preserve">An interactive stack — each capability is a </w:t>
      </w:r>
      <w:proofErr w:type="spellStart"/>
      <w:r>
        <w:t>glassmorphic</w:t>
      </w:r>
      <w:proofErr w:type="spellEnd"/>
      <w:r>
        <w:t xml:space="preserve"> card that expands on hover/click to reveal what that partner type does. Green edge illuminates on hover. Cards map to the layers of the “product journey” from Section 1, reinforcing the full-stack story.</w:t>
      </w:r>
    </w:p>
    <w:p w14:paraId="212688D7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&amp; Algorithm Partners — </w:t>
      </w:r>
      <w:r>
        <w:t>Specialized model development and power-optimized algorithms built for the A-Cube architecture — from custom CNNs, RNNs, and LSTMs to analog-aware quantization.</w:t>
      </w:r>
    </w:p>
    <w:p w14:paraId="5E5C67E3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Firmware &amp; Software Partners — </w:t>
      </w:r>
      <w:r>
        <w:t>Embedded firmware, RTOS integration, and application software tuned to extract maximum efficiency from GPX silicon.</w:t>
      </w:r>
    </w:p>
    <w:p w14:paraId="1A0A49C2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Hardware &amp; Board Design Partners — </w:t>
      </w:r>
      <w:r>
        <w:t>Custom board and system design around GPX10 — power, layout, sensor integration, and signal integrity.</w:t>
      </w:r>
    </w:p>
    <w:p w14:paraId="17BC463C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Design Houses &amp; ODMs — </w:t>
      </w:r>
      <w:r>
        <w:t>End-to-end product design that takes a concept to a manufacturable product built around the GPX platform.</w:t>
      </w:r>
    </w:p>
    <w:p w14:paraId="2CDF2C76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EMS &amp; Manufacturing Partners — </w:t>
      </w:r>
      <w:r>
        <w:t>Volume manufacturing and assembly, ready to build GPX-based hardware at scale.</w:t>
      </w:r>
    </w:p>
    <w:p w14:paraId="4EBD9597" w14:textId="77777777" w:rsidR="00974E4B" w:rsidRDefault="00000000">
      <w:pPr>
        <w:spacing w:after="120"/>
      </w:pPr>
      <w:r>
        <w:rPr>
          <w:b/>
          <w:bCs/>
        </w:rPr>
        <w:t xml:space="preserve">Bridge line: </w:t>
      </w:r>
      <w:r>
        <w:t>Enter the ecosystem at any layer — and get the collaborative support to accelerate your roadmap.</w:t>
      </w:r>
    </w:p>
    <w:p w14:paraId="326611CA" w14:textId="77777777" w:rsidR="00974E4B" w:rsidRDefault="00000000">
      <w:pPr>
        <w:spacing w:before="280" w:after="120"/>
      </w:pPr>
      <w:r>
        <w:rPr>
          <w:b/>
          <w:bCs/>
          <w:sz w:val="26"/>
          <w:szCs w:val="26"/>
        </w:rPr>
        <w:t>Section 4: GPX-Native Proof (the differentiator)</w:t>
      </w:r>
    </w:p>
    <w:p w14:paraId="10C55059" w14:textId="77777777" w:rsidR="00974E4B" w:rsidRDefault="00000000">
      <w:pPr>
        <w:spacing w:after="120"/>
      </w:pPr>
      <w:r>
        <w:rPr>
          <w:b/>
          <w:bCs/>
        </w:rPr>
        <w:t xml:space="preserve">Heading: </w:t>
      </w:r>
      <w:r>
        <w:t>Not generalists. GPX-native.</w:t>
      </w:r>
    </w:p>
    <w:p w14:paraId="7CA81143" w14:textId="77777777" w:rsidR="00974E4B" w:rsidRDefault="00000000">
      <w:pPr>
        <w:spacing w:after="120"/>
      </w:pPr>
      <w:r>
        <w:rPr>
          <w:b/>
          <w:bCs/>
        </w:rPr>
        <w:t xml:space="preserve">Sub-Heading: </w:t>
      </w:r>
      <w:r>
        <w:t>These aren’t firms we found in a directory. They’ve already built on the Ambient platform — and the proof is live.</w:t>
      </w:r>
    </w:p>
    <w:p w14:paraId="56AB3A9D" w14:textId="77777777" w:rsidR="00974E4B" w:rsidRDefault="00000000">
      <w:pPr>
        <w:spacing w:after="120"/>
      </w:pPr>
      <w:r>
        <w:rPr>
          <w:b/>
          <w:bCs/>
        </w:rPr>
        <w:t xml:space="preserve">UX/Visual Directive: </w:t>
      </w:r>
      <w:r>
        <w:t>A proof band. Each point is a concrete, artifact-based statement (existence proof), ideally linking to the live artifact. The same facts become directory badges in Section 5 (“Published Reference Design,” “Model Zoo Contributor,” “Volume Manufacturing”).</w:t>
      </w:r>
    </w:p>
    <w:p w14:paraId="01F47BDF" w14:textId="4357A50A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Reference designs, not blank pages. </w:t>
      </w:r>
      <w:r>
        <w:t xml:space="preserve">GPX10 reference designs </w:t>
      </w:r>
      <w:r w:rsidR="00863F1E">
        <w:t xml:space="preserve">from partners </w:t>
      </w:r>
      <w:r>
        <w:t xml:space="preserve">your team can </w:t>
      </w:r>
      <w:r w:rsidR="00863F1E">
        <w:t>rely on</w:t>
      </w:r>
      <w:r>
        <w:t xml:space="preserve"> instead of starting from scratch.</w:t>
      </w:r>
    </w:p>
    <w:p w14:paraId="1B40BD88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Models proven on A-Cube. </w:t>
      </w:r>
      <w:r>
        <w:t>Partner-built models ship in the Ambient Model Zoo — real, deployable networks, already running on the architecture.</w:t>
      </w:r>
    </w:p>
    <w:p w14:paraId="1DB3C1A2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Hardware built for the silicon. </w:t>
      </w:r>
      <w:r>
        <w:t>Partners have designed production hardware around GPX10 — boards engineered for its exact power and space envelope.</w:t>
      </w:r>
    </w:p>
    <w:p w14:paraId="14182950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Proven at volume. </w:t>
      </w:r>
      <w:r>
        <w:t>That hardware has gone into volume manufacturing — GPX-based products built at scale, not just prototyped.</w:t>
      </w:r>
    </w:p>
    <w:p w14:paraId="7DF5A425" w14:textId="77777777" w:rsidR="00974E4B" w:rsidRDefault="00000000">
      <w:pPr>
        <w:spacing w:after="120"/>
      </w:pPr>
      <w:r>
        <w:rPr>
          <w:b/>
          <w:bCs/>
        </w:rPr>
        <w:t xml:space="preserve">Proof links: </w:t>
      </w:r>
      <w:r>
        <w:t>[ Explore Partner Reference Designs -&gt; ] · [ Browse the Model Zoo -&gt; ]</w:t>
      </w:r>
    </w:p>
    <w:p w14:paraId="4EA680FB" w14:textId="77777777" w:rsidR="00974E4B" w:rsidRDefault="00000000">
      <w:pPr>
        <w:spacing w:before="280" w:after="120"/>
      </w:pPr>
      <w:r>
        <w:rPr>
          <w:b/>
          <w:bCs/>
          <w:sz w:val="26"/>
          <w:szCs w:val="26"/>
        </w:rPr>
        <w:t>Section 5: Partner Directory + Global Coverage (merged)</w:t>
      </w:r>
    </w:p>
    <w:p w14:paraId="64AEEEB4" w14:textId="77777777" w:rsidR="00974E4B" w:rsidRDefault="00000000">
      <w:pPr>
        <w:spacing w:after="120"/>
      </w:pPr>
      <w:r>
        <w:rPr>
          <w:b/>
          <w:bCs/>
        </w:rPr>
        <w:t xml:space="preserve">Heading: </w:t>
      </w:r>
      <w:r>
        <w:t>Find your partner.</w:t>
      </w:r>
    </w:p>
    <w:p w14:paraId="26086135" w14:textId="77777777" w:rsidR="00974E4B" w:rsidRDefault="00000000">
      <w:pPr>
        <w:spacing w:after="120"/>
      </w:pPr>
      <w:r>
        <w:rPr>
          <w:b/>
          <w:bCs/>
        </w:rPr>
        <w:t xml:space="preserve">Sub-Heading: </w:t>
      </w:r>
      <w:r>
        <w:t>World-class teams, experienced on GPX, across every region you build in.</w:t>
      </w:r>
    </w:p>
    <w:p w14:paraId="2A8604B9" w14:textId="77777777" w:rsidR="00974E4B" w:rsidRDefault="00000000">
      <w:pPr>
        <w:spacing w:after="120"/>
      </w:pPr>
      <w:r>
        <w:rPr>
          <w:b/>
          <w:bCs/>
        </w:rPr>
        <w:t xml:space="preserve">UX/Visual Directive: </w:t>
      </w:r>
    </w:p>
    <w:p w14:paraId="726FF835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Lead-in visual (Global Coverage): </w:t>
      </w:r>
      <w:r>
        <w:t>An abstract node map matching the “Engineering Grid” texture from the Contact page. Glowing green nodes mark regions with partner presence — North America, EMEA, APAC / India. Communicates “wherever you are, help is close” without naming who’s where until hovered. Do not place a node on any region we can’t back with a named partner.</w:t>
      </w:r>
    </w:p>
    <w:p w14:paraId="4C9202A3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directory: </w:t>
      </w:r>
      <w:r>
        <w:t xml:space="preserve">Below the map, a filterable </w:t>
      </w:r>
      <w:proofErr w:type="spellStart"/>
      <w:r>
        <w:t>glassmorphic</w:t>
      </w:r>
      <w:proofErr w:type="spellEnd"/>
      <w:r>
        <w:t xml:space="preserve"> card grid with two filter axes — [ Filter by Capability ] and [ Filter by Region ]. Cards illuminate a green edge on hover.</w:t>
      </w:r>
    </w:p>
    <w:p w14:paraId="187C0AF2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Each partner card: </w:t>
      </w:r>
      <w:r>
        <w:t>Logo, name, one-line capability summary, region tag, GPX-native badge(s) (from Section 4), and a link/CTA to learn more or connect.</w:t>
      </w:r>
    </w:p>
    <w:p w14:paraId="69BCB6AF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Hybrid rule (important — ~5–6 partners today): </w:t>
      </w:r>
      <w:r>
        <w:t>Show named partners prominently. Where a capability category or region has no named partner yet, do NOT show an empty slot — use a subtle “Expanding — more partners joining” tile, or fold that area into a qualitative statement. Never claim a region on the map without a named partner behind it.</w:t>
      </w:r>
    </w:p>
    <w:p w14:paraId="07B95070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No-match state: </w:t>
      </w:r>
      <w:r>
        <w:t>If a customer filters to a combination with no match: “Don’t see the right fit yet? Tell us what you need — we’ll connect you.” Routes to Section 6 (Get Matched).</w:t>
      </w:r>
    </w:p>
    <w:p w14:paraId="6B4F8BA3" w14:textId="03904385" w:rsidR="00974E4B" w:rsidRDefault="00000000">
      <w:pPr>
        <w:spacing w:after="120"/>
      </w:pPr>
      <w:r>
        <w:rPr>
          <w:b/>
          <w:bCs/>
        </w:rPr>
        <w:t xml:space="preserve">[PLACEHOLDER — Partners 1–6]: </w:t>
      </w:r>
      <w:r>
        <w:t xml:space="preserve">For each: logo, name, capability category, region, applicable GPX-native badge(s), short one-liner. </w:t>
      </w:r>
    </w:p>
    <w:p w14:paraId="65ACD9D5" w14:textId="77777777" w:rsidR="00974E4B" w:rsidRDefault="00000000">
      <w:pPr>
        <w:spacing w:after="120"/>
      </w:pPr>
      <w:r>
        <w:rPr>
          <w:b/>
          <w:bCs/>
        </w:rPr>
        <w:t xml:space="preserve">Bridge line: </w:t>
      </w:r>
      <w:r>
        <w:t>One ecosystem. Global reach. Local support.</w:t>
      </w:r>
    </w:p>
    <w:p w14:paraId="332DB6B1" w14:textId="77777777" w:rsidR="00974E4B" w:rsidRDefault="00000000">
      <w:pPr>
        <w:spacing w:before="280" w:after="120"/>
      </w:pPr>
      <w:r>
        <w:rPr>
          <w:b/>
          <w:bCs/>
          <w:sz w:val="26"/>
          <w:szCs w:val="26"/>
        </w:rPr>
        <w:t>Section 6: Get Matched</w:t>
      </w:r>
    </w:p>
    <w:p w14:paraId="7BC676DE" w14:textId="77777777" w:rsidR="00974E4B" w:rsidRDefault="00000000">
      <w:pPr>
        <w:spacing w:after="120"/>
      </w:pPr>
      <w:r>
        <w:rPr>
          <w:b/>
          <w:bCs/>
        </w:rPr>
        <w:t xml:space="preserve">Heading: </w:t>
      </w:r>
      <w:r>
        <w:t>Not sure who you need? We’ll connect you.</w:t>
      </w:r>
    </w:p>
    <w:p w14:paraId="07CB294C" w14:textId="77777777" w:rsidR="00974E4B" w:rsidRDefault="00000000">
      <w:pPr>
        <w:spacing w:after="120"/>
      </w:pPr>
      <w:r>
        <w:rPr>
          <w:b/>
          <w:bCs/>
        </w:rPr>
        <w:t xml:space="preserve">Sub-Heading: </w:t>
      </w:r>
      <w:r>
        <w:t>Tell us where you need help, and we’ll introduce you to the right partner on the GPX platform.</w:t>
      </w:r>
    </w:p>
    <w:p w14:paraId="17FC0BD3" w14:textId="77777777" w:rsidR="00974E4B" w:rsidRDefault="00000000">
      <w:pPr>
        <w:spacing w:after="120"/>
      </w:pPr>
      <w:r>
        <w:rPr>
          <w:b/>
          <w:bCs/>
        </w:rPr>
        <w:t xml:space="preserve">UX/Visual Directive: </w:t>
      </w:r>
      <w:r>
        <w:t>A low-friction routing form — don’t make the customer cold-email a partner.</w:t>
      </w:r>
    </w:p>
    <w:p w14:paraId="3B5E4E82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Fields (minimal): </w:t>
      </w:r>
      <w:r>
        <w:t>First name, last name, company, corporate email (block casual domains), region, “Where do you need help?” (multi-select of the Section 3 capability categories), and a short “Tell us about your project” box.</w:t>
      </w:r>
    </w:p>
    <w:p w14:paraId="2BF69530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Confirmation: </w:t>
      </w:r>
      <w:r>
        <w:t>Branded confirmation with the subtle “Ambient pulse” animation: “Got it. We’ll connect you with the right partner shortly.”</w:t>
      </w:r>
    </w:p>
    <w:p w14:paraId="2DC6229D" w14:textId="77777777" w:rsidR="00974E4B" w:rsidRDefault="00000000">
      <w:pPr>
        <w:spacing w:after="120"/>
      </w:pPr>
      <w:r>
        <w:rPr>
          <w:b/>
          <w:bCs/>
        </w:rPr>
        <w:t xml:space="preserve">CTA: </w:t>
      </w:r>
      <w:r>
        <w:t>[ Request an Introduction ]</w:t>
      </w:r>
    </w:p>
    <w:p w14:paraId="252AA226" w14:textId="77777777" w:rsidR="00974E4B" w:rsidRDefault="00000000">
      <w:pPr>
        <w:spacing w:after="120"/>
      </w:pPr>
      <w:r>
        <w:rPr>
          <w:b/>
          <w:bCs/>
        </w:rPr>
        <w:lastRenderedPageBreak/>
        <w:t xml:space="preserve">Note: </w:t>
      </w:r>
      <w:r>
        <w:t>This is the customer-side ask — kept deliberately distinct from the partner application in Section 7.</w:t>
      </w:r>
    </w:p>
    <w:p w14:paraId="6F9B5FB9" w14:textId="77777777" w:rsidR="00974E4B" w:rsidRDefault="00000000">
      <w:pPr>
        <w:spacing w:before="280" w:after="120"/>
      </w:pPr>
      <w:r>
        <w:rPr>
          <w:b/>
          <w:bCs/>
          <w:sz w:val="26"/>
          <w:szCs w:val="26"/>
        </w:rPr>
        <w:t>Section 7: Become a Partner (Daylight Break)</w:t>
      </w:r>
    </w:p>
    <w:p w14:paraId="36B426D5" w14:textId="77777777" w:rsidR="00974E4B" w:rsidRDefault="00000000">
      <w:pPr>
        <w:spacing w:after="120"/>
      </w:pPr>
      <w:r>
        <w:rPr>
          <w:b/>
          <w:bCs/>
        </w:rPr>
        <w:t xml:space="preserve">Heading: </w:t>
      </w:r>
      <w:r>
        <w:t>Build with us. Grow with the platform.</w:t>
      </w:r>
    </w:p>
    <w:p w14:paraId="38427F23" w14:textId="77777777" w:rsidR="00974E4B" w:rsidRDefault="00000000">
      <w:pPr>
        <w:spacing w:after="120"/>
      </w:pPr>
      <w:r>
        <w:rPr>
          <w:b/>
          <w:bCs/>
        </w:rPr>
        <w:t xml:space="preserve">Sub-Heading: </w:t>
      </w:r>
      <w:r>
        <w:t>Join a growing ecosystem building the future of AI on Ambient — and get in front of customers actively looking for your expertise.</w:t>
      </w:r>
    </w:p>
    <w:p w14:paraId="6A143FAC" w14:textId="77777777" w:rsidR="00974E4B" w:rsidRDefault="00000000">
      <w:pPr>
        <w:spacing w:after="120"/>
      </w:pPr>
      <w:r>
        <w:rPr>
          <w:b/>
          <w:bCs/>
        </w:rPr>
        <w:t xml:space="preserve">UX/Visual Directive: </w:t>
      </w:r>
      <w:r>
        <w:t>“Daylight Break” — shift to a stark white / light background. This visual break is what cleanly separates the two audiences: everything above is for customers; this is for prospective partners. No explanation needed — the change in mode does the work.</w:t>
      </w:r>
    </w:p>
    <w:p w14:paraId="25DBA126" w14:textId="77777777" w:rsidR="00974E4B" w:rsidRDefault="00000000">
      <w:pPr>
        <w:spacing w:after="120"/>
      </w:pPr>
      <w:r>
        <w:rPr>
          <w:b/>
          <w:bCs/>
        </w:rPr>
        <w:t xml:space="preserve">Body — what partners get: </w:t>
      </w:r>
    </w:p>
    <w:p w14:paraId="75C1E559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Reach the right customers. </w:t>
      </w:r>
      <w:r>
        <w:t>Get discovered by teams building on GPX who need exactly what you do.</w:t>
      </w:r>
    </w:p>
    <w:p w14:paraId="2A889087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Early access &amp; enablement. </w:t>
      </w:r>
      <w:r>
        <w:t>Get early access to Ambient silicon, tools, and hands-on technical enablement.</w:t>
      </w:r>
    </w:p>
    <w:p w14:paraId="541D54FF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Showcase your work. </w:t>
      </w:r>
      <w:r>
        <w:t>Co-develop reference designs and Model Zoo contributions that put your expertise on display.</w:t>
      </w:r>
    </w:p>
    <w:p w14:paraId="04529F32" w14:textId="77777777" w:rsidR="00974E4B" w:rsidRDefault="00000000">
      <w:pPr>
        <w:spacing w:after="120"/>
      </w:pPr>
      <w:r>
        <w:rPr>
          <w:b/>
          <w:bCs/>
        </w:rPr>
        <w:t xml:space="preserve">Who we’re looking for: </w:t>
      </w:r>
      <w:r>
        <w:t>AI and algorithm teams, firmware and software houses, hardware and board designers, ODMs, EMS providers, and system integrators ready to build on the Ambient platform.</w:t>
      </w:r>
    </w:p>
    <w:p w14:paraId="70B1EB7F" w14:textId="77777777" w:rsidR="00974E4B" w:rsidRDefault="00000000">
      <w:pPr>
        <w:spacing w:after="120"/>
      </w:pPr>
      <w:r>
        <w:rPr>
          <w:b/>
          <w:bCs/>
        </w:rPr>
        <w:t xml:space="preserve">Application flow: </w:t>
      </w:r>
      <w:r>
        <w:t>Frictionless, like the Careers apply flow — name, company, website, capability area(s), region, a short “what you’d bring / relevant experience,” and contact. Branded confirmation on submit.</w:t>
      </w:r>
    </w:p>
    <w:p w14:paraId="74A45906" w14:textId="77777777" w:rsidR="00974E4B" w:rsidRDefault="00000000">
      <w:pPr>
        <w:spacing w:after="120"/>
      </w:pPr>
      <w:r>
        <w:rPr>
          <w:b/>
          <w:bCs/>
        </w:rPr>
        <w:t xml:space="preserve">CTAs: </w:t>
      </w:r>
      <w:r>
        <w:t>Primary [ Apply to Become a Partner ] · secondary [ Talk to Our Partnerships Team ]</w:t>
      </w:r>
    </w:p>
    <w:p w14:paraId="5FF83EFA" w14:textId="77777777" w:rsidR="00974E4B" w:rsidRDefault="00000000">
      <w:pPr>
        <w:spacing w:before="280" w:after="120"/>
      </w:pPr>
      <w:r>
        <w:rPr>
          <w:b/>
          <w:bCs/>
          <w:sz w:val="26"/>
          <w:szCs w:val="26"/>
        </w:rPr>
        <w:t>Section 8: Footer CTAs</w:t>
      </w:r>
    </w:p>
    <w:p w14:paraId="5194EA24" w14:textId="77777777" w:rsidR="00974E4B" w:rsidRDefault="00000000">
      <w:pPr>
        <w:spacing w:after="120"/>
      </w:pPr>
      <w:r>
        <w:rPr>
          <w:b/>
          <w:bCs/>
        </w:rPr>
        <w:t xml:space="preserve">UX/Visual Directive: </w:t>
      </w:r>
      <w:r>
        <w:t>A dedicated block anchoring the bottom of the page, echoing the hero.</w:t>
      </w:r>
    </w:p>
    <w:p w14:paraId="58E74171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PRIMARY: </w:t>
      </w:r>
      <w:r>
        <w:t>[ Find a Partner ] (solid brand green, routes to the directory).</w:t>
      </w:r>
    </w:p>
    <w:p w14:paraId="3AC66823" w14:textId="77777777" w:rsidR="00974E4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SECONDARY: </w:t>
      </w:r>
      <w:r>
        <w:t>[ Become a Partner ] (hollow / ghost button with a green outline, routes to the partner application).</w:t>
      </w:r>
    </w:p>
    <w:p w14:paraId="299440F6" w14:textId="6153954B" w:rsidR="00974E4B" w:rsidRDefault="00974E4B" w:rsidP="00E52D61">
      <w:pPr>
        <w:pStyle w:val="ListParagraph"/>
        <w:spacing w:after="80"/>
        <w:ind w:left="460"/>
      </w:pPr>
    </w:p>
    <w:sectPr w:rsidR="00974E4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8F6640"/>
    <w:multiLevelType w:val="hybridMultilevel"/>
    <w:tmpl w:val="03588C72"/>
    <w:lvl w:ilvl="0" w:tplc="565694C6">
      <w:start w:val="1"/>
      <w:numFmt w:val="bullet"/>
      <w:lvlText w:val="●"/>
      <w:lvlJc w:val="left"/>
      <w:pPr>
        <w:ind w:left="720" w:hanging="360"/>
      </w:pPr>
    </w:lvl>
    <w:lvl w:ilvl="1" w:tplc="F70656FC">
      <w:start w:val="1"/>
      <w:numFmt w:val="bullet"/>
      <w:lvlText w:val="○"/>
      <w:lvlJc w:val="left"/>
      <w:pPr>
        <w:ind w:left="1440" w:hanging="360"/>
      </w:pPr>
    </w:lvl>
    <w:lvl w:ilvl="2" w:tplc="7898EE1A">
      <w:start w:val="1"/>
      <w:numFmt w:val="bullet"/>
      <w:lvlText w:val="■"/>
      <w:lvlJc w:val="left"/>
      <w:pPr>
        <w:ind w:left="2160" w:hanging="360"/>
      </w:pPr>
    </w:lvl>
    <w:lvl w:ilvl="3" w:tplc="1166CAEA">
      <w:start w:val="1"/>
      <w:numFmt w:val="bullet"/>
      <w:lvlText w:val="●"/>
      <w:lvlJc w:val="left"/>
      <w:pPr>
        <w:ind w:left="2880" w:hanging="360"/>
      </w:pPr>
    </w:lvl>
    <w:lvl w:ilvl="4" w:tplc="F66C1A08">
      <w:start w:val="1"/>
      <w:numFmt w:val="bullet"/>
      <w:lvlText w:val="○"/>
      <w:lvlJc w:val="left"/>
      <w:pPr>
        <w:ind w:left="3600" w:hanging="360"/>
      </w:pPr>
    </w:lvl>
    <w:lvl w:ilvl="5" w:tplc="F4ECCA5E">
      <w:start w:val="1"/>
      <w:numFmt w:val="bullet"/>
      <w:lvlText w:val="■"/>
      <w:lvlJc w:val="left"/>
      <w:pPr>
        <w:ind w:left="4320" w:hanging="360"/>
      </w:pPr>
    </w:lvl>
    <w:lvl w:ilvl="6" w:tplc="F65CD812">
      <w:start w:val="1"/>
      <w:numFmt w:val="bullet"/>
      <w:lvlText w:val="●"/>
      <w:lvlJc w:val="left"/>
      <w:pPr>
        <w:ind w:left="5040" w:hanging="360"/>
      </w:pPr>
    </w:lvl>
    <w:lvl w:ilvl="7" w:tplc="CD84DCC8">
      <w:start w:val="1"/>
      <w:numFmt w:val="bullet"/>
      <w:lvlText w:val="●"/>
      <w:lvlJc w:val="left"/>
      <w:pPr>
        <w:ind w:left="5760" w:hanging="360"/>
      </w:pPr>
    </w:lvl>
    <w:lvl w:ilvl="8" w:tplc="6F7200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A1564A"/>
    <w:multiLevelType w:val="hybridMultilevel"/>
    <w:tmpl w:val="4D9025A4"/>
    <w:lvl w:ilvl="0" w:tplc="67046E70">
      <w:start w:val="1"/>
      <w:numFmt w:val="bullet"/>
      <w:lvlText w:val="•"/>
      <w:lvlJc w:val="left"/>
      <w:pPr>
        <w:ind w:left="460" w:hanging="260"/>
      </w:pPr>
    </w:lvl>
    <w:lvl w:ilvl="1" w:tplc="45207060">
      <w:start w:val="1"/>
      <w:numFmt w:val="bullet"/>
      <w:lvlText w:val="◦"/>
      <w:lvlJc w:val="left"/>
      <w:pPr>
        <w:ind w:left="900" w:hanging="260"/>
      </w:pPr>
    </w:lvl>
    <w:lvl w:ilvl="2" w:tplc="6D222456">
      <w:numFmt w:val="decimal"/>
      <w:lvlText w:val=""/>
      <w:lvlJc w:val="left"/>
    </w:lvl>
    <w:lvl w:ilvl="3" w:tplc="50C85C3A">
      <w:numFmt w:val="decimal"/>
      <w:lvlText w:val=""/>
      <w:lvlJc w:val="left"/>
    </w:lvl>
    <w:lvl w:ilvl="4" w:tplc="89A622FC">
      <w:numFmt w:val="decimal"/>
      <w:lvlText w:val=""/>
      <w:lvlJc w:val="left"/>
    </w:lvl>
    <w:lvl w:ilvl="5" w:tplc="67C46730">
      <w:numFmt w:val="decimal"/>
      <w:lvlText w:val=""/>
      <w:lvlJc w:val="left"/>
    </w:lvl>
    <w:lvl w:ilvl="6" w:tplc="3152679C">
      <w:numFmt w:val="decimal"/>
      <w:lvlText w:val=""/>
      <w:lvlJc w:val="left"/>
    </w:lvl>
    <w:lvl w:ilvl="7" w:tplc="6A3A97E6">
      <w:numFmt w:val="decimal"/>
      <w:lvlText w:val=""/>
      <w:lvlJc w:val="left"/>
    </w:lvl>
    <w:lvl w:ilvl="8" w:tplc="CC1CCAA6">
      <w:numFmt w:val="decimal"/>
      <w:lvlText w:val=""/>
      <w:lvlJc w:val="left"/>
    </w:lvl>
  </w:abstractNum>
  <w:num w:numId="1" w16cid:durableId="1914195006">
    <w:abstractNumId w:val="0"/>
    <w:lvlOverride w:ilvl="0">
      <w:startOverride w:val="1"/>
    </w:lvlOverride>
  </w:num>
  <w:num w:numId="2" w16cid:durableId="1560031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4B"/>
    <w:rsid w:val="000248E1"/>
    <w:rsid w:val="0007051B"/>
    <w:rsid w:val="006233FD"/>
    <w:rsid w:val="00863F1E"/>
    <w:rsid w:val="008F2616"/>
    <w:rsid w:val="00974E4B"/>
    <w:rsid w:val="0098091E"/>
    <w:rsid w:val="009F2899"/>
    <w:rsid w:val="00AA48DC"/>
    <w:rsid w:val="00CA2745"/>
    <w:rsid w:val="00E5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E3FBA"/>
  <w15:docId w15:val="{292338E8-A8CB-1F48-8077-3B47200F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1368</Words>
  <Characters>8305</Characters>
  <Application>Microsoft Office Word</Application>
  <DocSecurity>0</DocSecurity>
  <Lines>237</Lines>
  <Paragraphs>140</Paragraphs>
  <ScaleCrop>false</ScaleCrop>
  <Company/>
  <LinksUpToDate>false</LinksUpToDate>
  <CharactersWithSpaces>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10</cp:revision>
  <dcterms:created xsi:type="dcterms:W3CDTF">2026-07-29T16:44:00Z</dcterms:created>
  <dcterms:modified xsi:type="dcterms:W3CDTF">2026-07-29T16:53:00Z</dcterms:modified>
</cp:coreProperties>
</file>