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Nirmala UI" w:eastAsia="Arial" w:hAnsi="Arial"/>
          <w:b/>
          <w:bCs/>
          <w:sz w:val="28"/>
          <w:szCs w:val="28"/>
        </w:rPr>
        <w:t xml:space="preserve">A MINI PROJECT REPORT ON</w:t>
      </w:r>
    </w:p>
    <w:p>
      <w:pPr>
        <w:spacing w:after="0" w:before="120"/>
        <w:jc w:val="center"/>
      </w:pPr>
      <w:r>
        <w:rPr>
          <w:rFonts w:ascii="Arial" w:cs="Nirmala UI" w:eastAsia="Arial" w:hAnsi="Arial"/>
          <w:b/>
          <w:bCs/>
          <w:sz w:val="38"/>
          <w:szCs w:val="38"/>
        </w:rPr>
        <w:t xml:space="preserve">EXPLAINABLE MULTILINGUAL LEGAL MEANING</w:t>
      </w:r>
    </w:p>
    <w:p>
      <w:pPr>
        <w:spacing w:after="200"/>
        <w:jc w:val="center"/>
      </w:pPr>
      <w:r>
        <w:rPr>
          <w:rFonts w:ascii="Arial" w:cs="Nirmala UI" w:eastAsia="Arial" w:hAnsi="Arial"/>
          <w:b/>
          <w:bCs/>
          <w:sz w:val="38"/>
          <w:szCs w:val="38"/>
        </w:rPr>
        <w:t xml:space="preserve">PRESERVATION USING JUDGEBERT</w:t>
      </w:r>
    </w:p>
    <w:p>
      <w:pPr>
        <w:spacing w:after="200"/>
        <w:jc w:val="left"/>
      </w:pPr>
      <w:r>
        <w:rPr>
          <w:rFonts w:ascii="Arial" w:cs="Nirmala UI" w:eastAsia="Arial" w:hAnsi="Arial"/>
          <w:b/>
          <w:bCs/>
          <w:sz w:val="24"/>
          <w:szCs w:val="24"/>
        </w:rPr>
        <w:t xml:space="preserve">Scoring, Deciding and Explaining Whether Simplified English and Hindi Legal Text Keeps Its Legal Meaning</w:t>
      </w:r>
    </w:p>
    <w:p>
      <w:pPr>
        <w:spacing w:after="40"/>
      </w:pPr>
      <w:r>
        <w:rPr>
          <w:rFonts w:ascii="Arial" w:cs="Nirmala UI" w:eastAsia="Arial" w:hAnsi="Arial"/>
          <w:b/>
          <w:bCs/>
          <w:sz w:val="24"/>
          <w:szCs w:val="24"/>
        </w:rPr>
        <w:t xml:space="preserve">Submitted in partial fulfilment of the requirements of the course</w:t>
      </w:r>
    </w:p>
    <w:p>
      <w:pPr>
        <w:spacing w:after="40"/>
      </w:pPr>
      <w:r>
        <w:rPr>
          <w:rFonts w:ascii="Arial" w:cs="Nirmala UI" w:eastAsia="Arial" w:hAnsi="Arial"/>
          <w:b/>
          <w:bCs/>
          <w:sz w:val="24"/>
          <w:szCs w:val="24"/>
        </w:rPr>
        <w:t xml:space="preserve">CSET346: Natural Language Processing</w:t>
      </w:r>
    </w:p>
    <w:p>
      <w:pPr>
        <w:spacing w:after="40"/>
      </w:pPr>
      <w:r>
        <w:rPr>
          <w:rFonts w:ascii="Arial" w:cs="Nirmala UI" w:eastAsia="Arial" w:hAnsi="Arial"/>
          <w:b/>
          <w:bCs/>
          <w:sz w:val="24"/>
          <w:szCs w:val="24"/>
        </w:rPr>
        <w:t xml:space="preserve">Bachelor of Technology in Computer Science and Engineering</w:t>
      </w:r>
    </w:p>
    <w:p>
      <w:pPr>
        <w:spacing w:after="120" w:before="360"/>
      </w:pPr>
      <w:r>
        <w:rPr>
          <w:rFonts w:ascii="Arial" w:cs="Nirmala UI" w:eastAsia="Arial" w:hAnsi="Arial"/>
          <w:b/>
          <w:bCs/>
          <w:i/>
          <w:iCs/>
          <w:sz w:val="24"/>
          <w:szCs w:val="24"/>
        </w:rPr>
        <w:t xml:space="preserve">Submitted by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2513"/>
        <w:gridCol w:w="2233"/>
        <w:gridCol w:w="3722"/>
      </w:tblGrid>
      <w:tr>
        <w:trPr>
          <w:cantSplit/>
          <w:tblHeader/>
        </w:trPr>
        <w:tc>
          <w:tcPr>
            <w:tcW w:type="dxa" w:w="83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20"/>
                <w:szCs w:val="20"/>
              </w:rPr>
              <w:t xml:space="preserve">No.</w:t>
            </w:r>
          </w:p>
        </w:tc>
        <w:tc>
          <w:tcPr>
            <w:tcW w:type="dxa" w:w="2513"/>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20"/>
                <w:szCs w:val="20"/>
              </w:rPr>
              <w:t xml:space="preserve">Name</w:t>
            </w:r>
          </w:p>
        </w:tc>
        <w:tc>
          <w:tcPr>
            <w:tcW w:type="dxa" w:w="2233"/>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20"/>
                <w:szCs w:val="20"/>
              </w:rPr>
              <w:t xml:space="preserve">Roll number</w:t>
            </w:r>
          </w:p>
        </w:tc>
        <w:tc>
          <w:tcPr>
            <w:tcW w:type="dxa" w:w="372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20"/>
                <w:szCs w:val="20"/>
              </w:rPr>
              <w:t xml:space="preserve">Role</w:t>
            </w:r>
          </w:p>
        </w:tc>
      </w:tr>
      <w:tr>
        <w:trPr>
          <w:cantSplit/>
          <w:tblHeader w:val="false"/>
        </w:trPr>
        <w:tc>
          <w:tcPr>
            <w:tcW w:type="dxa" w:w="83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1</w:t>
            </w:r>
          </w:p>
        </w:tc>
        <w:tc>
          <w:tcPr>
            <w:tcW w:type="dxa" w:w="251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Student Name 1</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S24CSEU____</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Project Lead, Data and Annotation</w:t>
            </w:r>
          </w:p>
        </w:tc>
      </w:tr>
      <w:tr>
        <w:trPr>
          <w:cantSplit/>
          <w:tblHeader w:val="false"/>
        </w:trPr>
        <w:tc>
          <w:tcPr>
            <w:tcW w:type="dxa" w:w="83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2</w:t>
            </w:r>
          </w:p>
        </w:tc>
        <w:tc>
          <w:tcPr>
            <w:tcW w:type="dxa" w:w="251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Student Name 2</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S24CSEU____</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NLP / Machine Learning Engineer</w:t>
            </w:r>
          </w:p>
        </w:tc>
      </w:tr>
      <w:tr>
        <w:trPr>
          <w:cantSplit/>
          <w:tblHeader w:val="false"/>
        </w:trPr>
        <w:tc>
          <w:tcPr>
            <w:tcW w:type="dxa" w:w="83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3</w:t>
            </w:r>
          </w:p>
        </w:tc>
        <w:tc>
          <w:tcPr>
            <w:tcW w:type="dxa" w:w="251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Student Name 3</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S24CSEU____</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20"/>
                <w:szCs w:val="20"/>
              </w:rPr>
              <w:t xml:space="preserve">Evaluation, Explainability and Documentation</w:t>
            </w:r>
          </w:p>
        </w:tc>
      </w:tr>
    </w:tbl>
    <w:p>
      <w:pPr>
        <w:spacing w:after="40" w:before="300"/>
      </w:pPr>
      <w:r>
        <w:rPr>
          <w:rFonts w:ascii="Arial" w:cs="Nirmala UI" w:eastAsia="Arial" w:hAnsi="Arial"/>
          <w:b/>
          <w:bCs/>
          <w:sz w:val="24"/>
          <w:szCs w:val="24"/>
        </w:rPr>
        <w:t xml:space="preserve">Project ID (PID): __</w:t>
      </w:r>
    </w:p>
    <w:p>
      <w:pPr>
        <w:spacing w:after="40" w:before="0"/>
      </w:pPr>
      <w:r>
        <w:rPr>
          <w:rFonts w:ascii="Arial" w:cs="Nirmala UI" w:eastAsia="Arial" w:hAnsi="Arial"/>
          <w:b/>
          <w:bCs/>
          <w:sz w:val="24"/>
          <w:szCs w:val="24"/>
        </w:rPr>
        <w:t xml:space="preserve">Under the guidance of:</w:t>
      </w:r>
    </w:p>
    <w:p>
      <w:pPr>
        <w:spacing w:after="40" w:before="0"/>
      </w:pPr>
      <w:r>
        <w:rPr>
          <w:rFonts w:ascii="Arial" w:cs="Nirmala UI" w:eastAsia="Arial" w:hAnsi="Arial"/>
          <w:b/>
          <w:bCs/>
          <w:sz w:val="24"/>
          <w:szCs w:val="24"/>
        </w:rPr>
        <w:t xml:space="preserve">Dr. Surabhi Solanki</w:t>
      </w:r>
    </w:p>
    <w:p>
      <w:pPr>
        <w:spacing w:after="40" w:before="0"/>
      </w:pPr>
      <w:r>
        <w:rPr>
          <w:rFonts w:ascii="Arial" w:cs="Nirmala UI" w:eastAsia="Arial" w:hAnsi="Arial"/>
          <w:b w:val="false"/>
          <w:bCs w:val="false"/>
          <w:sz w:val="24"/>
          <w:szCs w:val="24"/>
        </w:rPr>
        <w:t xml:space="preserve">Project Instructor, SCSET</w:t>
      </w:r>
    </w:p>
    <w:p>
      <w:pPr>
        <w:spacing w:after="40" w:before="200"/>
      </w:pPr>
      <w:r>
        <w:rPr>
          <w:rFonts w:ascii="Arial" w:cs="Nirmala UI" w:eastAsia="Arial" w:hAnsi="Arial"/>
          <w:b/>
          <w:bCs/>
          <w:sz w:val="24"/>
          <w:szCs w:val="24"/>
        </w:rPr>
        <w:t xml:space="preserve">School of Computer Science Engineering and Technology</w:t>
      </w:r>
    </w:p>
    <w:p>
      <w:pPr>
        <w:spacing w:after="40" w:before="0"/>
      </w:pPr>
      <w:r>
        <w:rPr>
          <w:rFonts w:ascii="Arial" w:cs="Nirmala UI" w:eastAsia="Arial" w:hAnsi="Arial"/>
          <w:b/>
          <w:bCs/>
          <w:sz w:val="24"/>
          <w:szCs w:val="24"/>
        </w:rPr>
        <w:t xml:space="preserve">Bennett University, Greater Noida</w:t>
      </w:r>
    </w:p>
    <w:p>
      <w:pPr>
        <w:spacing w:after="40" w:before="0"/>
      </w:pPr>
      <w:r>
        <w:rPr>
          <w:rFonts w:ascii="Arial" w:cs="Nirmala UI" w:eastAsia="Arial" w:hAnsi="Arial"/>
          <w:b/>
          <w:bCs/>
          <w:sz w:val="24"/>
          <w:szCs w:val="24"/>
        </w:rPr>
        <w:t xml:space="preserve">October 2026</w:t>
      </w:r>
    </w:p>
    <w:p>
      <w:pPr>
        <w:sectPr>
          <w:pgSz w:w="11906" w:h="16838" w:orient="portrait"/>
          <w:pgMar w:top="1300" w:right="1300" w:bottom="1300" w:left="1300" w:header="708" w:footer="708" w:gutter="0"/>
          <w:pgNumType/>
          <w:docGrid w:linePitch="360"/>
        </w:sectPr>
      </w:pPr>
    </w:p>
    <w:p>
      <w:pPr>
        <w:spacing w:after="240"/>
        <w:jc w:val="center"/>
      </w:pPr>
      <w:r>
        <w:rPr>
          <w:rFonts w:ascii="Arial" w:cs="Nirmala UI" w:eastAsia="Arial" w:hAnsi="Arial"/>
          <w:b/>
          <w:bCs/>
          <w:sz w:val="30"/>
          <w:szCs w:val="30"/>
        </w:rPr>
        <w:t xml:space="preserve">ABSTRACT</w:t>
      </w:r>
    </w:p>
    <w:p>
      <w:pPr>
        <w:spacing w:after="140" w:line="300"/>
        <w:jc w:val="both"/>
      </w:pPr>
      <w:r>
        <w:rPr>
          <w:rFonts w:ascii="Arial" w:cs="Nirmala UI" w:eastAsia="Arial" w:hAnsi="Arial"/>
          <w:sz w:val="23"/>
          <w:szCs w:val="23"/>
        </w:rPr>
        <w:t xml:space="preserve">Insurance policies, rent agreements and other legal documents are increasingly rewritten in plain language, often with the help of AI, so that ordinary citizens can understand them. A simplified sentence is useful only if it keeps the legal meaning of the original: who must do what, under which conditions, with which exceptions, by when and for how much. A single-word edit can silently reverse that meaning. In our motivating example, a faithful rewrite and a rewrite that drops the word “not” receive almost identical sentence-embedding similarity (0.85 and 0.84), although one preserves the law and the other contradicts it.</w:t>
      </w:r>
    </w:p>
    <w:p>
      <w:pPr>
        <w:spacing w:after="140" w:line="300"/>
        <w:jc w:val="both"/>
      </w:pPr>
      <w:r>
        <w:rPr>
          <w:rFonts w:ascii="Arial" w:cs="Nirmala UI" w:eastAsia="Arial" w:hAnsi="Arial"/>
          <w:sz w:val="23"/>
          <w:szCs w:val="23"/>
        </w:rPr>
        <w:t xml:space="preserve">The reference paper, JUDGEBERT (EMNLP 2025), defined this task as Legal Meaning Preservation (LMP) and trained a model on 297 French insurance sentence pairs. It covers only one language and one legal domain, uses a small dataset, has no out-of-domain test and gives no explanation of its scores. This project extends it to English and Hindi and to tenancy law. We built </w:t>
      </w:r>
      <w:r>
        <w:rPr>
          <w:rFonts w:ascii="Arial" w:cs="Nirmala UI" w:eastAsia="Arial" w:hAnsi="Arial"/>
          <w:b/>
          <w:bCs/>
          <w:sz w:val="23"/>
          <w:szCs w:val="23"/>
        </w:rPr>
        <w:t xml:space="preserve">EnHi-LMP</w:t>
      </w:r>
      <w:r>
        <w:rPr>
          <w:rFonts w:ascii="Arial" w:cs="Nirmala UI" w:eastAsia="Arial" w:hAnsi="Arial"/>
          <w:sz w:val="23"/>
          <w:szCs w:val="23"/>
        </w:rPr>
        <w:t xml:space="preserve">, 320 parallel English–Hindi pairs with ten typed legal errors and 320 sanity pairs; </w:t>
      </w:r>
      <w:r>
        <w:rPr>
          <w:rFonts w:ascii="Arial" w:cs="Nirmala UI" w:eastAsia="Arial" w:hAnsi="Arial"/>
          <w:b/>
          <w:bCs/>
          <w:sz w:val="23"/>
          <w:szCs w:val="23"/>
        </w:rPr>
        <w:t xml:space="preserve">LegalDiff</w:t>
      </w:r>
      <w:r>
        <w:rPr>
          <w:rFonts w:ascii="Arial" w:cs="Nirmala UI" w:eastAsia="Arial" w:hAnsi="Arial"/>
          <w:sz w:val="23"/>
          <w:szCs w:val="23"/>
        </w:rPr>
        <w:t xml:space="preserve">, 19 bilingual legal-difference features with a rule-based explainer; and </w:t>
      </w:r>
      <w:r>
        <w:rPr>
          <w:rFonts w:ascii="Arial" w:cs="Nirmala UI" w:eastAsia="Arial" w:hAnsi="Arial"/>
          <w:b/>
          <w:bCs/>
          <w:sz w:val="23"/>
          <w:szCs w:val="23"/>
        </w:rPr>
        <w:t xml:space="preserve">ML-JudgeBERT</w:t>
      </w:r>
      <w:r>
        <w:rPr>
          <w:rFonts w:ascii="Arial" w:cs="Nirmala UI" w:eastAsia="Arial" w:hAnsi="Arial"/>
          <w:sz w:val="23"/>
          <w:szCs w:val="23"/>
        </w:rPr>
        <w:t xml:space="preserve">, a JUDGEBERT-style cross-encoder regressor that predicts an LMP score from 1 to 10, a three-way decision and an error type with a one-line rationale.</w:t>
      </w:r>
    </w:p>
    <w:p>
      <w:pPr>
        <w:spacing w:after="140" w:line="300"/>
        <w:jc w:val="both"/>
      </w:pPr>
      <w:r>
        <w:rPr>
          <w:rFonts w:ascii="Arial" w:cs="Nirmala UI" w:eastAsia="Arial" w:hAnsi="Arial"/>
          <w:sz w:val="23"/>
          <w:szCs w:val="23"/>
        </w:rPr>
        <w:t xml:space="preserve">Across five experiments, generic similarity correlates weakly with legal meaning (best Pearson r = 0.37) and degrades on Hindi, while the legal-aware model reaches </w:t>
      </w:r>
      <w:r>
        <w:rPr>
          <w:rFonts w:ascii="Arial" w:cs="Nirmala UI" w:eastAsia="Arial" w:hAnsi="Arial"/>
          <w:b/>
          <w:bCs/>
          <w:sz w:val="23"/>
          <w:szCs w:val="23"/>
        </w:rPr>
        <w:t xml:space="preserve">r = 0.60</w:t>
      </w:r>
      <w:r>
        <w:rPr>
          <w:rFonts w:ascii="Arial" w:cs="Nirmala UI" w:eastAsia="Arial" w:hAnsi="Arial"/>
          <w:sz w:val="23"/>
          <w:szCs w:val="23"/>
        </w:rPr>
        <w:t xml:space="preserve">, transfers across languages (0.48–0.54) and domains (0.55–0.57), scores </w:t>
      </w:r>
      <w:r>
        <w:rPr>
          <w:rFonts w:ascii="Arial" w:cs="Nirmala UI" w:eastAsia="Arial" w:hAnsi="Arial"/>
          <w:b/>
          <w:bCs/>
          <w:sz w:val="23"/>
          <w:szCs w:val="23"/>
        </w:rPr>
        <w:t xml:space="preserve">0.56–0.59 on human-labelled French data</w:t>
      </w:r>
      <w:r>
        <w:rPr>
          <w:rFonts w:ascii="Arial" w:cs="Nirmala UI" w:eastAsia="Arial" w:hAnsi="Arial"/>
          <w:sz w:val="23"/>
          <w:szCs w:val="23"/>
        </w:rPr>
        <w:t xml:space="preserve"> without seeing any French training pair, passes both sanity checks and detects legal errors with </w:t>
      </w:r>
      <w:r>
        <w:rPr>
          <w:rFonts w:ascii="Arial" w:cs="Nirmala UI" w:eastAsia="Arial" w:hAnsi="Arial"/>
          <w:b/>
          <w:bCs/>
          <w:sz w:val="23"/>
          <w:szCs w:val="23"/>
        </w:rPr>
        <w:t xml:space="preserve">F1 = 0.79</w:t>
      </w:r>
      <w:r>
        <w:rPr>
          <w:rFonts w:ascii="Arial" w:cs="Nirmala UI" w:eastAsia="Arial" w:hAnsi="Arial"/>
          <w:sz w:val="23"/>
          <w:szCs w:val="23"/>
        </w:rPr>
        <w:t xml:space="preserve">. A transformer trained from scratch is weak on its own (r = 0.12), which motivates the planned fine-tuning of pretrained multilingual encoders (XLM-R, MuRIL). Labels in this version are rubric-based silver labels; a two-annotator protocol and toolkit are ready for the final submission.</w:t>
      </w:r>
    </w:p>
    <w:p>
      <w:pPr>
        <w:spacing w:after="140" w:line="300"/>
        <w:jc w:val="both"/>
      </w:pPr>
      <w:r>
        <w:rPr>
          <w:rFonts w:ascii="Arial" w:cs="Nirmala UI" w:eastAsia="Arial" w:hAnsi="Arial"/>
          <w:b/>
          <w:bCs/>
          <w:sz w:val="23"/>
          <w:szCs w:val="23"/>
        </w:rPr>
        <w:t xml:space="preserve">Keywords:</w:t>
      </w:r>
      <w:r>
        <w:rPr>
          <w:rFonts w:ascii="Arial" w:cs="Nirmala UI" w:eastAsia="Arial" w:hAnsi="Arial"/>
          <w:sz w:val="23"/>
          <w:szCs w:val="23"/>
        </w:rPr>
        <w:t xml:space="preserve"> legal meaning preservation, text simplification, JUDGEBERT, Hindi NLP, explainable evaluation, cross-lingual transfer.</w:t>
      </w:r>
    </w:p>
    <w:p>
      <w:r>
        <w:br w:type="page"/>
      </w:r>
    </w:p>
    <w:p>
      <w:pPr>
        <w:pStyle w:val="Heading1"/>
        <w:spacing w:after="260" w:before="120"/>
        <w:jc w:val="center"/>
      </w:pPr>
      <w:r>
        <w:rPr>
          <w:rFonts w:ascii="Arial" w:cs="Nirmala UI" w:eastAsia="Arial" w:hAnsi="Arial"/>
          <w:b/>
          <w:bCs/>
          <w:sz w:val="30"/>
          <w:szCs w:val="30"/>
        </w:rPr>
        <w:t xml:space="preserve">CHAPTER 1: INTRODUCTION</w:t>
      </w:r>
    </w:p>
    <w:p>
      <w:pPr>
        <w:pStyle w:val="Heading2"/>
        <w:keepNext/>
        <w:spacing w:after="120" w:before="260"/>
      </w:pPr>
      <w:r>
        <w:rPr>
          <w:rFonts w:ascii="Arial" w:cs="Nirmala UI" w:eastAsia="Arial" w:hAnsi="Arial"/>
          <w:b/>
          <w:bCs/>
          <w:sz w:val="26"/>
          <w:szCs w:val="26"/>
        </w:rPr>
        <w:t xml:space="preserve">1.1 Background</w:t>
      </w:r>
    </w:p>
    <w:p>
      <w:pPr>
        <w:spacing w:after="140" w:line="300"/>
        <w:jc w:val="both"/>
      </w:pPr>
      <w:r>
        <w:rPr>
          <w:rFonts w:ascii="Arial" w:cs="Nirmala UI" w:eastAsia="Arial" w:hAnsi="Arial"/>
          <w:sz w:val="23"/>
          <w:szCs w:val="23"/>
        </w:rPr>
        <w:t xml:space="preserve">Legal language is long, formal and full of conditions, exceptions and cross-references. In India, most people read and speak Indian languages, and Hindi alone was reported by about 52.8 crore people as their mother tongue in the 2011 Census. Plain-language versions of insurance policies, loan documents and rent agreements are therefore essential for access to justice, and AI tools are now commonly used to produce them.</w:t>
      </w:r>
    </w:p>
    <w:p>
      <w:pPr>
        <w:spacing w:after="140" w:line="300"/>
        <w:jc w:val="both"/>
      </w:pPr>
      <w:r>
        <w:rPr>
          <w:rFonts w:ascii="Arial" w:cs="Nirmala UI" w:eastAsia="Arial" w:hAnsi="Arial"/>
          <w:sz w:val="23"/>
          <w:szCs w:val="23"/>
        </w:rPr>
        <w:t xml:space="preserve">The danger is that AI-generated or human-written simplifications can change the law while looking almost the same as the original. Turning “must” into “may” converts a duty into an option; removing “not” turns an exclusion into coverage; changing “7 days” into “30 days” moves a deadline. Generic similarity measures, which compare surface words or general meaning, are almost blind to these edits. A dedicated legal-meaning metric is needed, and it must work in Indian languages and explain what changed.</w:t>
      </w:r>
    </w:p>
    <w:p>
      <w:pPr>
        <w:pStyle w:val="Heading2"/>
        <w:keepNext/>
        <w:spacing w:after="120" w:before="260"/>
      </w:pPr>
      <w:r>
        <w:rPr>
          <w:rFonts w:ascii="Arial" w:cs="Nirmala UI" w:eastAsia="Arial" w:hAnsi="Arial"/>
          <w:b/>
          <w:bCs/>
          <w:sz w:val="26"/>
          <w:szCs w:val="26"/>
        </w:rPr>
        <w:t xml:space="preserve">1.2 Problem Statement</w:t>
      </w:r>
    </w:p>
    <w:p>
      <w:pPr>
        <w:spacing w:after="140" w:line="300"/>
        <w:jc w:val="both"/>
      </w:pPr>
      <w:r>
        <w:rPr>
          <w:rFonts w:ascii="Arial" w:cs="Nirmala UI" w:eastAsia="Arial" w:hAnsi="Arial"/>
          <w:sz w:val="23"/>
          <w:szCs w:val="23"/>
        </w:rPr>
        <w:t xml:space="preserve">To reliably assess whether a simplified legal sentence preserves the legal meaning of its original when the JUDGEBERT approach is extended beyond French insurance text to English, Hindi and a new legal domain, and to explain every judgement by naming the legal change and giving a short rationale.</w:t>
      </w:r>
    </w:p>
    <w:p>
      <w:pPr>
        <w:spacing w:after="140" w:line="300"/>
        <w:jc w:val="both"/>
      </w:pPr>
      <w:r>
        <w:rPr>
          <w:rFonts w:ascii="Arial" w:cs="Nirmala UI" w:eastAsia="Arial" w:hAnsi="Arial"/>
          <w:b/>
          <w:bCs/>
          <w:sz w:val="23"/>
          <w:szCs w:val="23"/>
        </w:rPr>
        <w:t xml:space="preserve">Research question:</w:t>
      </w:r>
      <w:r>
        <w:rPr>
          <w:rFonts w:ascii="Arial" w:cs="Nirmala UI" w:eastAsia="Arial" w:hAnsi="Arial"/>
          <w:sz w:val="23"/>
          <w:szCs w:val="23"/>
        </w:rPr>
        <w:t xml:space="preserve"> How effectively can a JUDGEBERT-based model assess legal meaning preservation in a new language (Hindi) and a new legal domain (tenancy), and does it outperform generic semantic-similarity approaches?</w:t>
      </w:r>
    </w:p>
    <w:p>
      <w:pPr>
        <w:pStyle w:val="Heading2"/>
        <w:keepNext/>
        <w:spacing w:after="120" w:before="260"/>
      </w:pPr>
      <w:r>
        <w:rPr>
          <w:rFonts w:ascii="Arial" w:cs="Nirmala UI" w:eastAsia="Arial" w:hAnsi="Arial"/>
          <w:b/>
          <w:bCs/>
          <w:sz w:val="26"/>
          <w:szCs w:val="26"/>
        </w:rPr>
        <w:t xml:space="preserve">1.3 Scope</w:t>
      </w:r>
    </w:p>
    <w:p>
      <w:pPr>
        <w:pStyle w:val="ListParagraph"/>
        <w:numPr>
          <w:ilvl w:val="0"/>
          <w:numId w:val="2"/>
        </w:numPr>
        <w:spacing w:after="70" w:line="290"/>
        <w:jc w:val="both"/>
      </w:pPr>
      <w:r>
        <w:rPr>
          <w:rFonts w:ascii="Arial" w:cs="Nirmala UI" w:eastAsia="Arial" w:hAnsi="Arial"/>
          <w:b/>
          <w:bCs/>
          <w:sz w:val="23"/>
          <w:szCs w:val="23"/>
        </w:rPr>
        <w:t xml:space="preserve">Languages:</w:t>
      </w:r>
      <w:r>
        <w:rPr>
          <w:rFonts w:ascii="Arial" w:cs="Nirmala UI" w:eastAsia="Arial" w:hAnsi="Arial"/>
          <w:sz w:val="23"/>
          <w:szCs w:val="23"/>
        </w:rPr>
        <w:t xml:space="preserve"> English and Hindi (Devanagari script), as parallel versions of the same clauses.</w:t>
      </w:r>
    </w:p>
    <w:p>
      <w:pPr>
        <w:pStyle w:val="ListParagraph"/>
        <w:numPr>
          <w:ilvl w:val="0"/>
          <w:numId w:val="2"/>
        </w:numPr>
        <w:spacing w:after="70" w:line="290"/>
        <w:jc w:val="both"/>
      </w:pPr>
      <w:r>
        <w:rPr>
          <w:rFonts w:ascii="Arial" w:cs="Nirmala UI" w:eastAsia="Arial" w:hAnsi="Arial"/>
          <w:b/>
          <w:bCs/>
          <w:sz w:val="23"/>
          <w:szCs w:val="23"/>
        </w:rPr>
        <w:t xml:space="preserve">Legal domains:</w:t>
      </w:r>
      <w:r>
        <w:rPr>
          <w:rFonts w:ascii="Arial" w:cs="Nirmala UI" w:eastAsia="Arial" w:hAnsi="Arial"/>
          <w:sz w:val="23"/>
          <w:szCs w:val="23"/>
        </w:rPr>
        <w:t xml:space="preserve"> insurance (motor, health, property) and tenancy (residential rent agreements).</w:t>
      </w:r>
    </w:p>
    <w:p>
      <w:pPr>
        <w:pStyle w:val="ListParagraph"/>
        <w:numPr>
          <w:ilvl w:val="0"/>
          <w:numId w:val="2"/>
        </w:numPr>
        <w:spacing w:after="70" w:line="290"/>
        <w:jc w:val="both"/>
      </w:pPr>
      <w:r>
        <w:rPr>
          <w:rFonts w:ascii="Arial" w:cs="Nirmala UI" w:eastAsia="Arial" w:hAnsi="Arial"/>
          <w:b/>
          <w:bCs/>
          <w:sz w:val="23"/>
          <w:szCs w:val="23"/>
        </w:rPr>
        <w:t xml:space="preserve">Data:</w:t>
      </w:r>
      <w:r>
        <w:rPr>
          <w:rFonts w:ascii="Arial" w:cs="Nirmala UI" w:eastAsia="Arial" w:hAnsi="Arial"/>
          <w:sz w:val="23"/>
          <w:szCs w:val="23"/>
        </w:rPr>
        <w:t xml:space="preserve"> 80 source clauses × 2 languages × 2 simplifications (one faithful, one with a single legal error) = 320 pairs, plus 320 held-out sanity pairs; FrJUDGE (French, human-labelled) for transfer.</w:t>
      </w:r>
    </w:p>
    <w:p>
      <w:pPr>
        <w:pStyle w:val="ListParagraph"/>
        <w:numPr>
          <w:ilvl w:val="0"/>
          <w:numId w:val="2"/>
        </w:numPr>
        <w:spacing w:after="70" w:line="290"/>
        <w:jc w:val="both"/>
      </w:pPr>
      <w:r>
        <w:rPr>
          <w:rFonts w:ascii="Arial" w:cs="Nirmala UI" w:eastAsia="Arial" w:hAnsi="Arial"/>
          <w:b/>
          <w:bCs/>
          <w:sz w:val="23"/>
          <w:szCs w:val="23"/>
        </w:rPr>
        <w:t xml:space="preserve">Outputs per pair:</w:t>
      </w:r>
      <w:r>
        <w:rPr>
          <w:rFonts w:ascii="Arial" w:cs="Nirmala UI" w:eastAsia="Arial" w:hAnsi="Arial"/>
          <w:sz w:val="23"/>
          <w:szCs w:val="23"/>
        </w:rPr>
        <w:t xml:space="preserve"> LMP score (1–10), decision (Preserved / Partially Preserved / Not Preserved), legal error type and a one-line explanation.</w:t>
      </w:r>
    </w:p>
    <w:p>
      <w:pPr>
        <w:pStyle w:val="ListParagraph"/>
        <w:numPr>
          <w:ilvl w:val="0"/>
          <w:numId w:val="2"/>
        </w:numPr>
        <w:spacing w:after="70" w:line="290"/>
        <w:jc w:val="both"/>
      </w:pPr>
      <w:r>
        <w:rPr>
          <w:rFonts w:ascii="Arial" w:cs="Nirmala UI" w:eastAsia="Arial" w:hAnsi="Arial"/>
          <w:b/>
          <w:bCs/>
          <w:sz w:val="23"/>
          <w:szCs w:val="23"/>
        </w:rPr>
        <w:t xml:space="preserve">Out of scope (this milestone):</w:t>
      </w:r>
      <w:r>
        <w:rPr>
          <w:rFonts w:ascii="Arial" w:cs="Nirmala UI" w:eastAsia="Arial" w:hAnsi="Arial"/>
          <w:sz w:val="23"/>
          <w:szCs w:val="23"/>
        </w:rPr>
        <w:t xml:space="preserve"> document-level context, multi-error simplifications, and fine-tuning of large pretrained encoders, which are planned next.</w:t>
      </w:r>
    </w:p>
    <w:p>
      <w:pPr>
        <w:pStyle w:val="Heading2"/>
        <w:keepNext/>
        <w:spacing w:after="120" w:before="260"/>
      </w:pPr>
      <w:r>
        <w:rPr>
          <w:rFonts w:ascii="Arial" w:cs="Nirmala UI" w:eastAsia="Arial" w:hAnsi="Arial"/>
          <w:b/>
          <w:bCs/>
          <w:sz w:val="26"/>
          <w:szCs w:val="26"/>
        </w:rPr>
        <w:t xml:space="preserve">1.4 Report Map to the Rubric</w:t>
      </w:r>
    </w:p>
    <w:p>
      <w:pPr>
        <w:keepNext/>
        <w:spacing w:after="80" w:before="200"/>
        <w:jc w:val="center"/>
      </w:pPr>
      <w:r>
        <w:rPr>
          <w:rFonts w:ascii="Arial" w:cs="Nirmala UI" w:eastAsia="Arial" w:hAnsi="Arial"/>
          <w:b/>
          <w:bCs/>
          <w:sz w:val="21"/>
          <w:szCs w:val="21"/>
        </w:rPr>
        <w:t xml:space="preserve">Table 1.1: Where each rubric criterion is covered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70"/>
        <w:gridCol w:w="3536"/>
      </w:tblGrid>
      <w:tr>
        <w:trPr>
          <w:cantSplit/>
          <w:tblHeader/>
        </w:trPr>
        <w:tc>
          <w:tcPr>
            <w:tcW w:type="dxa" w:w="577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Criterion</w:t>
            </w:r>
          </w:p>
        </w:tc>
        <w:tc>
          <w:tcPr>
            <w:tcW w:type="dxa" w:w="353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Section</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Problem domain identification and analysis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2.1 to 2.3</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Review of existing systems and feasibility</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2.4 to 2.6, Chapter 3</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Objectives and methodology</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4.1, 4.2</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Relevance of algorithms and techniques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4.3, 4.4</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Synchronization of design and implementation</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5.2</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Implementation and demonstration of modules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5.3, 5.4, Chapter 6</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Contribution by each team member</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Chapter 9</w:t>
            </w:r>
          </w:p>
        </w:tc>
      </w:tr>
      <w:tr>
        <w:trPr>
          <w:cantSplit/>
          <w:tblHeader w:val="false"/>
        </w:trPr>
        <w:tc>
          <w:tcPr>
            <w:tcW w:type="dxa" w:w="577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Presentation plan</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Appendix A</w:t>
            </w:r>
          </w:p>
        </w:tc>
      </w:tr>
    </w:tbl>
    <w:p>
      <w:pPr>
        <w:spacing w:after="160"/>
      </w:pPr>
    </w:p>
    <w:p>
      <w:r>
        <w:br w:type="page"/>
      </w:r>
    </w:p>
    <w:p>
      <w:pPr>
        <w:pStyle w:val="Heading1"/>
        <w:spacing w:after="260" w:before="120"/>
        <w:jc w:val="center"/>
      </w:pPr>
      <w:r>
        <w:rPr>
          <w:rFonts w:ascii="Arial" w:cs="Nirmala UI" w:eastAsia="Arial" w:hAnsi="Arial"/>
          <w:b/>
          <w:bCs/>
          <w:sz w:val="30"/>
          <w:szCs w:val="30"/>
        </w:rPr>
        <w:t xml:space="preserve">CHAPTER 2: PROBLEM ANALYSIS</w:t>
      </w:r>
    </w:p>
    <w:p>
      <w:pPr>
        <w:pStyle w:val="Heading2"/>
        <w:keepNext/>
        <w:spacing w:after="120" w:before="260"/>
      </w:pPr>
      <w:r>
        <w:rPr>
          <w:rFonts w:ascii="Arial" w:cs="Nirmala UI" w:eastAsia="Arial" w:hAnsi="Arial"/>
          <w:b/>
          <w:bCs/>
          <w:sz w:val="26"/>
          <w:szCs w:val="26"/>
        </w:rPr>
        <w:t xml:space="preserve">2.1 Problem Domain Analysis</w:t>
      </w:r>
    </w:p>
    <w:p>
      <w:pPr>
        <w:spacing w:after="140" w:line="300"/>
        <w:jc w:val="both"/>
      </w:pPr>
      <w:r>
        <w:rPr>
          <w:rFonts w:ascii="Arial" w:cs="Nirmala UI" w:eastAsia="Arial" w:hAnsi="Arial"/>
          <w:b/>
          <w:bCs/>
          <w:sz w:val="23"/>
          <w:szCs w:val="23"/>
        </w:rPr>
        <w:t xml:space="preserve">Domain:</w:t>
      </w:r>
      <w:r>
        <w:rPr>
          <w:rFonts w:ascii="Arial" w:cs="Nirmala UI" w:eastAsia="Arial" w:hAnsi="Arial"/>
          <w:sz w:val="23"/>
          <w:szCs w:val="23"/>
        </w:rPr>
        <w:t xml:space="preserve"> the project sits where natural language processing, legal informatics and multilingual computing meet. It treats legal meaning as a set of checkable elements (parties, duties, permissions, conditions, exceptions, amounts and time limits) rather than as general similarity.</w:t>
      </w:r>
    </w:p>
    <w:p>
      <w:pPr>
        <w:spacing w:after="140" w:line="300"/>
        <w:jc w:val="both"/>
      </w:pPr>
      <w:r>
        <w:rPr>
          <w:rFonts w:ascii="Arial" w:cs="Nirmala UI" w:eastAsia="Arial" w:hAnsi="Arial"/>
          <w:b/>
          <w:bCs/>
          <w:sz w:val="23"/>
          <w:szCs w:val="23"/>
        </w:rPr>
        <w:t xml:space="preserve">Scale:</w:t>
      </w:r>
      <w:r>
        <w:rPr>
          <w:rFonts w:ascii="Arial" w:cs="Nirmala UI" w:eastAsia="Arial" w:hAnsi="Arial"/>
          <w:sz w:val="23"/>
          <w:szCs w:val="23"/>
        </w:rPr>
        <w:t xml:space="preserve"> plain-language legal content is produced for millions of policyholders and tenants, increasingly by AI. Manual legal review of every rewritten sentence does not scale, so an automatic checker is needed to flag risky rewrites for a human.</w:t>
      </w:r>
    </w:p>
    <w:p>
      <w:pPr>
        <w:spacing w:after="140" w:line="300"/>
        <w:jc w:val="both"/>
      </w:pPr>
      <w:r>
        <w:rPr>
          <w:rFonts w:ascii="Arial" w:cs="Nirmala UI" w:eastAsia="Arial" w:hAnsi="Arial"/>
          <w:b/>
          <w:bCs/>
          <w:sz w:val="23"/>
          <w:szCs w:val="23"/>
        </w:rPr>
        <w:t xml:space="preserve">Hidden danger:</w:t>
      </w:r>
      <w:r>
        <w:rPr>
          <w:rFonts w:ascii="Arial" w:cs="Nirmala UI" w:eastAsia="Arial" w:hAnsi="Arial"/>
          <w:sz w:val="23"/>
          <w:szCs w:val="23"/>
        </w:rPr>
        <w:t xml:space="preserve"> the errors that matter most are the smallest. A one-word negation or modal change keeps more than 90% of the words, so both people skimming and similarity tools miss it.</w:t>
      </w:r>
    </w:p>
    <w:p>
      <w:pPr>
        <w:spacing w:after="140" w:line="300"/>
        <w:jc w:val="both"/>
      </w:pPr>
      <w:r>
        <w:rPr>
          <w:rFonts w:ascii="Arial" w:cs="Nirmala UI" w:eastAsia="Arial" w:hAnsi="Arial"/>
          <w:b/>
          <w:bCs/>
          <w:sz w:val="23"/>
          <w:szCs w:val="23"/>
        </w:rPr>
        <w:t xml:space="preserve">Language gap:</w:t>
      </w:r>
      <w:r>
        <w:rPr>
          <w:rFonts w:ascii="Arial" w:cs="Nirmala UI" w:eastAsia="Arial" w:hAnsi="Arial"/>
          <w:sz w:val="23"/>
          <w:szCs w:val="23"/>
        </w:rPr>
        <w:t xml:space="preserve"> existing legal-meaning work is French-only. English-centric tools also break Hindi into single characters, which makes unrelated Hindi sentences look similar.</w:t>
      </w:r>
    </w:p>
    <w:p>
      <w:pPr>
        <w:keepNext/>
        <w:spacing w:after="80" w:before="200"/>
        <w:jc w:val="center"/>
      </w:pPr>
      <w:r>
        <w:rPr>
          <w:rFonts w:ascii="Arial" w:cs="Nirmala UI" w:eastAsia="Arial" w:hAnsi="Arial"/>
          <w:b/>
          <w:bCs/>
          <w:sz w:val="21"/>
          <w:szCs w:val="21"/>
        </w:rPr>
        <w:t xml:space="preserve">Table 2.1: Key figures behind the problem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584"/>
        <w:gridCol w:w="3722"/>
      </w:tblGrid>
      <w:tr>
        <w:trPr>
          <w:cantSplit/>
          <w:tblHeader/>
        </w:trPr>
        <w:tc>
          <w:tcPr>
            <w:tcW w:type="dxa" w:w="5584"/>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Figure</w:t>
            </w:r>
          </w:p>
        </w:tc>
        <w:tc>
          <w:tcPr>
            <w:tcW w:type="dxa" w:w="372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Value</w:t>
            </w:r>
          </w:p>
        </w:tc>
      </w:tr>
      <w:tr>
        <w:trPr>
          <w:cantSplit/>
          <w:tblHeader w:val="false"/>
        </w:trPr>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Embedding similarity: faithful vs contradictory rewrite (English)</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0.85 vs 0.84 (legal score 10 vs 1)</w:t>
            </w:r>
          </w:p>
        </w:tc>
      </w:tr>
      <w:tr>
        <w:trPr>
          <w:cantSplit/>
          <w:tblHeader w:val="false"/>
        </w:trPr>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Same pair in Hindi</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0.92 vs 0.92</w:t>
            </w:r>
          </w:p>
        </w:tc>
      </w:tr>
      <w:tr>
        <w:trPr>
          <w:cantSplit/>
          <w:tblHeader w:val="false"/>
        </w:trPr>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Size of the only legal-meaning dataset (FrJUDGE)</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297 French pairs, 5 annotators each [1]</w:t>
            </w:r>
          </w:p>
        </w:tc>
      </w:tr>
      <w:tr>
        <w:trPr>
          <w:cantSplit/>
          <w:tblHeader w:val="false"/>
        </w:trPr>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Hindi mother-tongue speakers, Census 2011</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about 52.8 crore</w:t>
            </w:r>
          </w:p>
        </w:tc>
      </w:tr>
    </w:tbl>
    <w:p>
      <w:pPr>
        <w:spacing w:after="160"/>
      </w:pPr>
    </w:p>
    <w:p>
      <w:pPr>
        <w:pStyle w:val="Heading2"/>
        <w:keepNext/>
        <w:spacing w:after="120" w:before="260"/>
      </w:pPr>
      <w:r>
        <w:rPr>
          <w:rFonts w:ascii="Arial" w:cs="Nirmala UI" w:eastAsia="Arial" w:hAnsi="Arial"/>
          <w:b/>
          <w:bCs/>
          <w:sz w:val="26"/>
          <w:szCs w:val="26"/>
        </w:rPr>
        <w:t xml:space="preserve">2.2 Sociotechnical Analysis</w:t>
      </w:r>
    </w:p>
    <w:p>
      <w:pPr>
        <w:keepNext/>
        <w:spacing w:after="80" w:before="160"/>
      </w:pPr>
      <w:r>
        <w:rPr>
          <w:rFonts w:ascii="Arial" w:cs="Nirmala UI" w:eastAsia="Arial" w:hAnsi="Arial"/>
          <w:b/>
          <w:bCs/>
          <w:sz w:val="23"/>
          <w:szCs w:val="23"/>
        </w:rPr>
        <w:t xml:space="preserve">1. Access to justice</w:t>
      </w:r>
    </w:p>
    <w:p>
      <w:pPr>
        <w:spacing w:after="140" w:line="300"/>
        <w:jc w:val="both"/>
      </w:pPr>
      <w:r>
        <w:rPr>
          <w:rFonts w:ascii="Arial" w:cs="Nirmala UI" w:eastAsia="Arial" w:hAnsi="Arial"/>
          <w:sz w:val="23"/>
          <w:szCs w:val="23"/>
        </w:rPr>
        <w:t xml:space="preserve">Citizens sign insurance and rent contracts they cannot fully read. Simplification helps only if it is faithful; an unfaithful simplification can make people give up rights they do not know they have.</w:t>
      </w:r>
    </w:p>
    <w:p>
      <w:pPr>
        <w:keepNext/>
        <w:spacing w:after="80" w:before="160"/>
      </w:pPr>
      <w:r>
        <w:rPr>
          <w:rFonts w:ascii="Arial" w:cs="Nirmala UI" w:eastAsia="Arial" w:hAnsi="Arial"/>
          <w:b/>
          <w:bCs/>
          <w:sz w:val="23"/>
          <w:szCs w:val="23"/>
        </w:rPr>
        <w:t xml:space="preserve">2. Mis-selling and liability</w:t>
      </w:r>
    </w:p>
    <w:p>
      <w:pPr>
        <w:spacing w:after="140" w:line="300"/>
        <w:jc w:val="both"/>
      </w:pPr>
      <w:r>
        <w:rPr>
          <w:rFonts w:ascii="Arial" w:cs="Nirmala UI" w:eastAsia="Arial" w:hAnsi="Arial"/>
          <w:sz w:val="23"/>
          <w:szCs w:val="23"/>
        </w:rPr>
        <w:t xml:space="preserve">If a simplified policy says something is covered when the legal text excludes it, the customer is misled and the provider faces disputes. Automatic checks reduce this risk before documents are published.</w:t>
      </w:r>
    </w:p>
    <w:p>
      <w:pPr>
        <w:keepNext/>
        <w:spacing w:after="80" w:before="160"/>
      </w:pPr>
      <w:r>
        <w:rPr>
          <w:rFonts w:ascii="Arial" w:cs="Nirmala UI" w:eastAsia="Arial" w:hAnsi="Arial"/>
          <w:b/>
          <w:bCs/>
          <w:sz w:val="23"/>
          <w:szCs w:val="23"/>
        </w:rPr>
        <w:t xml:space="preserve">3. Language equity</w:t>
      </w:r>
    </w:p>
    <w:p>
      <w:pPr>
        <w:spacing w:after="140" w:line="300"/>
        <w:jc w:val="both"/>
      </w:pPr>
      <w:r>
        <w:rPr>
          <w:rFonts w:ascii="Arial" w:cs="Nirmala UI" w:eastAsia="Arial" w:hAnsi="Arial"/>
          <w:sz w:val="23"/>
          <w:szCs w:val="23"/>
        </w:rPr>
        <w:t xml:space="preserve">Tools that work well only in English leave Hindi readers with weaker protection. A checker must perform equally well in both languages.</w:t>
      </w:r>
    </w:p>
    <w:p>
      <w:pPr>
        <w:keepNext/>
        <w:spacing w:after="80" w:before="160"/>
      </w:pPr>
      <w:r>
        <w:rPr>
          <w:rFonts w:ascii="Arial" w:cs="Nirmala UI" w:eastAsia="Arial" w:hAnsi="Arial"/>
          <w:b/>
          <w:bCs/>
          <w:sz w:val="23"/>
          <w:szCs w:val="23"/>
        </w:rPr>
        <w:t xml:space="preserve">4. Trust in automation</w:t>
      </w:r>
    </w:p>
    <w:p>
      <w:pPr>
        <w:spacing w:after="140" w:line="300"/>
        <w:jc w:val="both"/>
      </w:pPr>
      <w:r>
        <w:rPr>
          <w:rFonts w:ascii="Arial" w:cs="Nirmala UI" w:eastAsia="Arial" w:hAnsi="Arial"/>
          <w:sz w:val="23"/>
          <w:szCs w:val="23"/>
        </w:rPr>
        <w:t xml:space="preserve">A bare score is hard to trust. Reviewers need to see which legal element changed, so every judgement must come with an explanation that a non-expert can verify.</w:t>
      </w:r>
    </w:p>
    <w:p>
      <w:pPr>
        <w:pStyle w:val="Heading2"/>
        <w:keepNext/>
        <w:spacing w:after="120" w:before="260"/>
      </w:pPr>
      <w:r>
        <w:rPr>
          <w:rFonts w:ascii="Arial" w:cs="Nirmala UI" w:eastAsia="Arial" w:hAnsi="Arial"/>
          <w:b/>
          <w:bCs/>
          <w:sz w:val="26"/>
          <w:szCs w:val="26"/>
        </w:rPr>
        <w:t xml:space="preserve">2.3 Stakeholders</w:t>
      </w:r>
    </w:p>
    <w:p>
      <w:pPr>
        <w:pStyle w:val="ListParagraph"/>
        <w:numPr>
          <w:ilvl w:val="0"/>
          <w:numId w:val="2"/>
        </w:numPr>
        <w:spacing w:after="70" w:line="290"/>
        <w:jc w:val="both"/>
      </w:pPr>
      <w:r>
        <w:rPr>
          <w:rFonts w:ascii="Arial" w:cs="Nirmala UI" w:eastAsia="Arial" w:hAnsi="Arial"/>
          <w:sz w:val="23"/>
          <w:szCs w:val="23"/>
        </w:rPr>
        <w:t xml:space="preserve">Citizens: policyholders, tenants and borrowers</w:t>
      </w:r>
    </w:p>
    <w:p>
      <w:pPr>
        <w:pStyle w:val="ListParagraph"/>
        <w:numPr>
          <w:ilvl w:val="0"/>
          <w:numId w:val="2"/>
        </w:numPr>
        <w:spacing w:after="70" w:line="290"/>
        <w:jc w:val="both"/>
      </w:pPr>
      <w:r>
        <w:rPr>
          <w:rFonts w:ascii="Arial" w:cs="Nirmala UI" w:eastAsia="Arial" w:hAnsi="Arial"/>
          <w:sz w:val="23"/>
          <w:szCs w:val="23"/>
        </w:rPr>
        <w:t xml:space="preserve">Insurers, landlords and lenders who publish plain-language documents</w:t>
      </w:r>
    </w:p>
    <w:p>
      <w:pPr>
        <w:pStyle w:val="ListParagraph"/>
        <w:numPr>
          <w:ilvl w:val="0"/>
          <w:numId w:val="2"/>
        </w:numPr>
        <w:spacing w:after="70" w:line="290"/>
        <w:jc w:val="both"/>
      </w:pPr>
      <w:r>
        <w:rPr>
          <w:rFonts w:ascii="Arial" w:cs="Nirmala UI" w:eastAsia="Arial" w:hAnsi="Arial"/>
          <w:sz w:val="23"/>
          <w:szCs w:val="23"/>
        </w:rPr>
        <w:t xml:space="preserve">Legal reviewers and compliance teams</w:t>
      </w:r>
    </w:p>
    <w:p>
      <w:pPr>
        <w:pStyle w:val="ListParagraph"/>
        <w:numPr>
          <w:ilvl w:val="0"/>
          <w:numId w:val="2"/>
        </w:numPr>
        <w:spacing w:after="70" w:line="290"/>
        <w:jc w:val="both"/>
      </w:pPr>
      <w:r>
        <w:rPr>
          <w:rFonts w:ascii="Arial" w:cs="Nirmala UI" w:eastAsia="Arial" w:hAnsi="Arial"/>
          <w:sz w:val="23"/>
          <w:szCs w:val="23"/>
        </w:rPr>
        <w:t xml:space="preserve">Regulators and consumer-protection bodies</w:t>
      </w:r>
    </w:p>
    <w:p>
      <w:pPr>
        <w:pStyle w:val="ListParagraph"/>
        <w:numPr>
          <w:ilvl w:val="0"/>
          <w:numId w:val="2"/>
        </w:numPr>
        <w:spacing w:after="70" w:line="290"/>
        <w:jc w:val="both"/>
      </w:pPr>
      <w:r>
        <w:rPr>
          <w:rFonts w:ascii="Arial" w:cs="Nirmala UI" w:eastAsia="Arial" w:hAnsi="Arial"/>
          <w:sz w:val="23"/>
          <w:szCs w:val="23"/>
        </w:rPr>
        <w:t xml:space="preserve">Developers of AI simplification tools</w:t>
      </w:r>
    </w:p>
    <w:p>
      <w:pPr>
        <w:pStyle w:val="Heading2"/>
        <w:keepNext/>
        <w:spacing w:after="120" w:before="260"/>
      </w:pPr>
      <w:r>
        <w:rPr>
          <w:rFonts w:ascii="Arial" w:cs="Nirmala UI" w:eastAsia="Arial" w:hAnsi="Arial"/>
          <w:b/>
          <w:bCs/>
          <w:sz w:val="26"/>
          <w:szCs w:val="26"/>
        </w:rPr>
        <w:t xml:space="preserve">2.4 Review of Existing Systems</w:t>
      </w:r>
    </w:p>
    <w:p>
      <w:pPr>
        <w:spacing w:after="140" w:line="300"/>
        <w:jc w:val="both"/>
      </w:pPr>
      <w:r>
        <w:rPr>
          <w:rFonts w:ascii="Arial" w:cs="Nirmala UI" w:eastAsia="Arial" w:hAnsi="Arial"/>
          <w:sz w:val="23"/>
          <w:szCs w:val="23"/>
        </w:rPr>
        <w:t xml:space="preserve">Existing evaluation methods either measure surface overlap, measure general meaning, or (in one case) measure legal meaning only for French. None of them explains its scores in legal terms or covers Hindi.</w:t>
      </w:r>
    </w:p>
    <w:p>
      <w:pPr>
        <w:keepNext/>
        <w:spacing w:after="80" w:before="200"/>
        <w:jc w:val="center"/>
      </w:pPr>
      <w:r>
        <w:rPr>
          <w:rFonts w:ascii="Arial" w:cs="Nirmala UI" w:eastAsia="Arial" w:hAnsi="Arial"/>
          <w:b/>
          <w:bCs/>
          <w:sz w:val="21"/>
          <w:szCs w:val="21"/>
        </w:rPr>
        <w:t xml:space="preserve">Table 2.2: Existing systems and their gaps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3071"/>
        <w:gridCol w:w="3443"/>
      </w:tblGrid>
      <w:tr>
        <w:trPr>
          <w:cantSplit/>
          <w:tblHeader/>
        </w:trPr>
        <w:tc>
          <w:tcPr>
            <w:tcW w:type="dxa" w:w="279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System</w:t>
            </w:r>
          </w:p>
        </w:tc>
        <w:tc>
          <w:tcPr>
            <w:tcW w:type="dxa" w:w="307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Method</w:t>
            </w:r>
          </w:p>
        </w:tc>
        <w:tc>
          <w:tcPr>
            <w:tcW w:type="dxa" w:w="3443"/>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Gap for legal meaning</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BLEU (2002) [2]</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n-gram precision vs reference</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Rewards copying; ignores a lost “not”</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chrF (2015) [3]</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Character n-gram F-score</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Surface only; no legal awareness</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SARI (2016) [4]</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Add/keep/delete vs references</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Measures simplicity, needs references</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SBERT, BERTScore (2019–20) [5,6]</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Contextual embedding similarity</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“covers” ≈ “does not cover”</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MeaningBERT (2023) [7]</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Learned meaning regressor</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General domain; no legal categories</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LLM-as-judge, G-Eval (2023) [8]</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Prompted LLM rating</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Costly, uncalibrated, not reproducible</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JUDGEBERT (2025) [1]</w:t>
            </w:r>
          </w:p>
        </w:tc>
        <w:tc>
          <w:tcPr>
            <w:tcW w:type="dxa" w:w="307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BERT regressor on FrJUDGE</w:t>
            </w:r>
          </w:p>
        </w:tc>
        <w:tc>
          <w:tcPr>
            <w:tcW w:type="dxa" w:w="344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French insurance only; no explanations</w:t>
            </w:r>
          </w:p>
        </w:tc>
      </w:tr>
    </w:tbl>
    <w:p>
      <w:pPr>
        <w:spacing w:after="160"/>
      </w:pPr>
    </w:p>
    <w:p>
      <w:pPr>
        <w:pStyle w:val="Heading2"/>
        <w:keepNext/>
        <w:spacing w:after="120" w:before="260"/>
      </w:pPr>
      <w:r>
        <w:rPr>
          <w:rFonts w:ascii="Arial" w:cs="Nirmala UI" w:eastAsia="Arial" w:hAnsi="Arial"/>
          <w:b/>
          <w:bCs/>
          <w:sz w:val="26"/>
          <w:szCs w:val="26"/>
        </w:rPr>
        <w:t xml:space="preserve">2.5 Research Gaps</w:t>
      </w:r>
    </w:p>
    <w:p>
      <w:pPr>
        <w:pStyle w:val="ListParagraph"/>
        <w:numPr>
          <w:ilvl w:val="0"/>
          <w:numId w:val="3"/>
        </w:numPr>
        <w:spacing w:after="70" w:line="290"/>
        <w:jc w:val="both"/>
      </w:pPr>
      <w:r>
        <w:rPr>
          <w:rFonts w:ascii="Arial" w:cs="Nirmala UI" w:eastAsia="Arial" w:hAnsi="Arial"/>
          <w:b/>
          <w:bCs/>
          <w:sz w:val="23"/>
          <w:szCs w:val="23"/>
        </w:rPr>
        <w:t xml:space="preserve">Single language:</w:t>
      </w:r>
      <w:r>
        <w:rPr>
          <w:rFonts w:ascii="Arial" w:cs="Nirmala UI" w:eastAsia="Arial" w:hAnsi="Arial"/>
          <w:sz w:val="23"/>
          <w:szCs w:val="23"/>
        </w:rPr>
        <w:t xml:space="preserve"> legal meaning preservation has only been studied for French.</w:t>
      </w:r>
    </w:p>
    <w:p>
      <w:pPr>
        <w:pStyle w:val="ListParagraph"/>
        <w:numPr>
          <w:ilvl w:val="0"/>
          <w:numId w:val="3"/>
        </w:numPr>
        <w:spacing w:after="70" w:line="290"/>
        <w:jc w:val="both"/>
      </w:pPr>
      <w:r>
        <w:rPr>
          <w:rFonts w:ascii="Arial" w:cs="Nirmala UI" w:eastAsia="Arial" w:hAnsi="Arial"/>
          <w:b/>
          <w:bCs/>
          <w:sz w:val="23"/>
          <w:szCs w:val="23"/>
        </w:rPr>
        <w:t xml:space="preserve">Single domain:</w:t>
      </w:r>
      <w:r>
        <w:rPr>
          <w:rFonts w:ascii="Arial" w:cs="Nirmala UI" w:eastAsia="Arial" w:hAnsi="Arial"/>
          <w:sz w:val="23"/>
          <w:szCs w:val="23"/>
        </w:rPr>
        <w:t xml:space="preserve"> only property-damage insurance is covered.</w:t>
      </w:r>
    </w:p>
    <w:p>
      <w:pPr>
        <w:pStyle w:val="ListParagraph"/>
        <w:numPr>
          <w:ilvl w:val="0"/>
          <w:numId w:val="3"/>
        </w:numPr>
        <w:spacing w:after="70" w:line="290"/>
        <w:jc w:val="both"/>
      </w:pPr>
      <w:r>
        <w:rPr>
          <w:rFonts w:ascii="Arial" w:cs="Nirmala UI" w:eastAsia="Arial" w:hAnsi="Arial"/>
          <w:b/>
          <w:bCs/>
          <w:sz w:val="23"/>
          <w:szCs w:val="23"/>
        </w:rPr>
        <w:t xml:space="preserve">Small data:</w:t>
      </w:r>
      <w:r>
        <w:rPr>
          <w:rFonts w:ascii="Arial" w:cs="Nirmala UI" w:eastAsia="Arial" w:hAnsi="Arial"/>
          <w:sz w:val="23"/>
          <w:szCs w:val="23"/>
        </w:rPr>
        <w:t xml:space="preserve"> 297 annotated pairs are too few to train or test a robust model.</w:t>
      </w:r>
    </w:p>
    <w:p>
      <w:pPr>
        <w:pStyle w:val="ListParagraph"/>
        <w:numPr>
          <w:ilvl w:val="0"/>
          <w:numId w:val="3"/>
        </w:numPr>
        <w:spacing w:after="70" w:line="290"/>
        <w:jc w:val="both"/>
      </w:pPr>
      <w:r>
        <w:rPr>
          <w:rFonts w:ascii="Arial" w:cs="Nirmala UI" w:eastAsia="Arial" w:hAnsi="Arial"/>
          <w:b/>
          <w:bCs/>
          <w:sz w:val="23"/>
          <w:szCs w:val="23"/>
        </w:rPr>
        <w:t xml:space="preserve">No context:</w:t>
      </w:r>
      <w:r>
        <w:rPr>
          <w:rFonts w:ascii="Arial" w:cs="Nirmala UI" w:eastAsia="Arial" w:hAnsi="Arial"/>
          <w:sz w:val="23"/>
          <w:szCs w:val="23"/>
        </w:rPr>
        <w:t xml:space="preserve"> sentences are judged without the surrounding document.</w:t>
      </w:r>
    </w:p>
    <w:p>
      <w:pPr>
        <w:pStyle w:val="ListParagraph"/>
        <w:numPr>
          <w:ilvl w:val="0"/>
          <w:numId w:val="3"/>
        </w:numPr>
        <w:spacing w:after="70" w:line="290"/>
        <w:jc w:val="both"/>
      </w:pPr>
      <w:r>
        <w:rPr>
          <w:rFonts w:ascii="Arial" w:cs="Nirmala UI" w:eastAsia="Arial" w:hAnsi="Arial"/>
          <w:b/>
          <w:bCs/>
          <w:sz w:val="23"/>
          <w:szCs w:val="23"/>
        </w:rPr>
        <w:t xml:space="preserve">No out-of-domain test:</w:t>
      </w:r>
      <w:r>
        <w:rPr>
          <w:rFonts w:ascii="Arial" w:cs="Nirmala UI" w:eastAsia="Arial" w:hAnsi="Arial"/>
          <w:sz w:val="23"/>
          <w:szCs w:val="23"/>
        </w:rPr>
        <w:t xml:space="preserve"> generalisation beyond the training data is unknown.</w:t>
      </w:r>
    </w:p>
    <w:p>
      <w:pPr>
        <w:pStyle w:val="ListParagraph"/>
        <w:numPr>
          <w:ilvl w:val="0"/>
          <w:numId w:val="3"/>
        </w:numPr>
        <w:spacing w:after="70" w:line="290"/>
        <w:jc w:val="both"/>
      </w:pPr>
      <w:r>
        <w:rPr>
          <w:rFonts w:ascii="Arial" w:cs="Nirmala UI" w:eastAsia="Arial" w:hAnsi="Arial"/>
          <w:b/>
          <w:bCs/>
          <w:sz w:val="23"/>
          <w:szCs w:val="23"/>
        </w:rPr>
        <w:t xml:space="preserve">Score only:</w:t>
      </w:r>
      <w:r>
        <w:rPr>
          <w:rFonts w:ascii="Arial" w:cs="Nirmala UI" w:eastAsia="Arial" w:hAnsi="Arial"/>
          <w:sz w:val="23"/>
          <w:szCs w:val="23"/>
        </w:rPr>
        <w:t xml:space="preserve"> no explanation of what changed.</w:t>
      </w:r>
    </w:p>
    <w:p>
      <w:pPr>
        <w:pStyle w:val="ListParagraph"/>
        <w:numPr>
          <w:ilvl w:val="0"/>
          <w:numId w:val="3"/>
        </w:numPr>
        <w:spacing w:after="70" w:line="290"/>
        <w:jc w:val="both"/>
      </w:pPr>
      <w:r>
        <w:rPr>
          <w:rFonts w:ascii="Arial" w:cs="Nirmala UI" w:eastAsia="Arial" w:hAnsi="Arial"/>
          <w:b/>
          <w:bCs/>
          <w:sz w:val="23"/>
          <w:szCs w:val="23"/>
        </w:rPr>
        <w:t xml:space="preserve">No typed legal errors:</w:t>
      </w:r>
      <w:r>
        <w:rPr>
          <w:rFonts w:ascii="Arial" w:cs="Nirmala UI" w:eastAsia="Arial" w:hAnsi="Arial"/>
          <w:sz w:val="23"/>
          <w:szCs w:val="23"/>
        </w:rPr>
        <w:t xml:space="preserve"> negation, modality or number changes cannot be measured separately.</w:t>
      </w:r>
    </w:p>
    <w:p>
      <w:pPr>
        <w:pStyle w:val="ListParagraph"/>
        <w:numPr>
          <w:ilvl w:val="0"/>
          <w:numId w:val="3"/>
        </w:numPr>
        <w:spacing w:after="70" w:line="290"/>
        <w:jc w:val="both"/>
      </w:pPr>
      <w:r>
        <w:rPr>
          <w:rFonts w:ascii="Arial" w:cs="Nirmala UI" w:eastAsia="Arial" w:hAnsi="Arial"/>
          <w:b/>
          <w:bCs/>
          <w:sz w:val="23"/>
          <w:szCs w:val="23"/>
        </w:rPr>
        <w:t xml:space="preserve">No Hindi test of generic metrics:</w:t>
      </w:r>
      <w:r>
        <w:rPr>
          <w:rFonts w:ascii="Arial" w:cs="Nirmala UI" w:eastAsia="Arial" w:hAnsi="Arial"/>
          <w:sz w:val="23"/>
          <w:szCs w:val="23"/>
        </w:rPr>
        <w:t xml:space="preserve"> their failure on Indian-language legal text was not measured.</w:t>
      </w:r>
    </w:p>
    <w:p>
      <w:pPr>
        <w:pStyle w:val="ListParagraph"/>
        <w:numPr>
          <w:ilvl w:val="0"/>
          <w:numId w:val="3"/>
        </w:numPr>
        <w:spacing w:after="70" w:line="290"/>
        <w:jc w:val="both"/>
      </w:pPr>
      <w:r>
        <w:rPr>
          <w:rFonts w:ascii="Arial" w:cs="Nirmala UI" w:eastAsia="Arial" w:hAnsi="Arial"/>
          <w:b/>
          <w:bCs/>
          <w:sz w:val="23"/>
          <w:szCs w:val="23"/>
        </w:rPr>
        <w:t xml:space="preserve">No English–Hindi legal dataset</w:t>
      </w:r>
      <w:r>
        <w:rPr>
          <w:rFonts w:ascii="Arial" w:cs="Nirmala UI" w:eastAsia="Arial" w:hAnsi="Arial"/>
          <w:sz w:val="23"/>
          <w:szCs w:val="23"/>
        </w:rPr>
        <w:t xml:space="preserve"> exists for this task.</w:t>
      </w:r>
    </w:p>
    <w:p>
      <w:pPr>
        <w:pStyle w:val="Heading2"/>
        <w:keepNext/>
        <w:spacing w:after="120" w:before="260"/>
      </w:pPr>
      <w:r>
        <w:rPr>
          <w:rFonts w:ascii="Arial" w:cs="Nirmala UI" w:eastAsia="Arial" w:hAnsi="Arial"/>
          <w:b/>
          <w:bCs/>
          <w:sz w:val="26"/>
          <w:szCs w:val="26"/>
        </w:rPr>
        <w:t xml:space="preserve">2.6 Project Feasibility</w:t>
      </w:r>
    </w:p>
    <w:p>
      <w:pPr>
        <w:spacing w:after="140" w:line="300"/>
        <w:jc w:val="both"/>
      </w:pPr>
      <w:r>
        <w:rPr>
          <w:rFonts w:ascii="Arial" w:cs="Nirmala UI" w:eastAsia="Arial" w:hAnsi="Arial"/>
          <w:b/>
          <w:bCs/>
          <w:sz w:val="23"/>
          <w:szCs w:val="23"/>
        </w:rPr>
        <w:t xml:space="preserve">Technical:</w:t>
      </w:r>
      <w:r>
        <w:rPr>
          <w:rFonts w:ascii="Arial" w:cs="Nirmala UI" w:eastAsia="Arial" w:hAnsi="Arial"/>
          <w:sz w:val="23"/>
          <w:szCs w:val="23"/>
        </w:rPr>
        <w:t xml:space="preserve"> all experiments run on an ordinary laptop CPU; the full E1–E5 suite completed in about 1.5 hours on two CPU cores. Pretrained encoders (XLM-R, MuRIL) can be fine-tuned on a free Google Colab T4 GPU.</w:t>
      </w:r>
    </w:p>
    <w:p>
      <w:pPr>
        <w:spacing w:after="140" w:line="300"/>
        <w:jc w:val="both"/>
      </w:pPr>
      <w:r>
        <w:rPr>
          <w:rFonts w:ascii="Arial" w:cs="Nirmala UI" w:eastAsia="Arial" w:hAnsi="Arial"/>
          <w:b/>
          <w:bCs/>
          <w:sz w:val="23"/>
          <w:szCs w:val="23"/>
        </w:rPr>
        <w:t xml:space="preserve">Economic:</w:t>
      </w:r>
      <w:r>
        <w:rPr>
          <w:rFonts w:ascii="Arial" w:cs="Nirmala UI" w:eastAsia="Arial" w:hAnsi="Arial"/>
          <w:sz w:val="23"/>
          <w:szCs w:val="23"/>
        </w:rPr>
        <w:t xml:space="preserve"> the project uses only open-source software (Python, PyTorch, scikit-learn) and free compute. No paid API or licensed dataset is needed.</w:t>
      </w:r>
    </w:p>
    <w:p>
      <w:pPr>
        <w:spacing w:after="140" w:line="300"/>
        <w:jc w:val="both"/>
      </w:pPr>
      <w:r>
        <w:rPr>
          <w:rFonts w:ascii="Arial" w:cs="Nirmala UI" w:eastAsia="Arial" w:hAnsi="Arial"/>
          <w:b/>
          <w:bCs/>
          <w:sz w:val="23"/>
          <w:szCs w:val="23"/>
        </w:rPr>
        <w:t xml:space="preserve">Risks:</w:t>
      </w:r>
      <w:r>
        <w:rPr>
          <w:rFonts w:ascii="Arial" w:cs="Nirmala UI" w:eastAsia="Arial" w:hAnsi="Arial"/>
          <w:sz w:val="23"/>
          <w:szCs w:val="23"/>
        </w:rPr>
        <w:t xml:space="preserve"> labels are currently rubric-based silver labels, and the dataset is small. Both are mitigated by the two-annotator protocol, augmentation, grouped cross-validation and testing on independent human-labelled French data.</w:t>
      </w:r>
    </w:p>
    <w:p>
      <w:pPr>
        <w:spacing w:after="140" w:line="300"/>
        <w:jc w:val="both"/>
      </w:pPr>
      <w:r>
        <w:rPr>
          <w:rFonts w:ascii="Arial" w:cs="Nirmala UI" w:eastAsia="Arial" w:hAnsi="Arial"/>
          <w:b/>
          <w:bCs/>
          <w:sz w:val="23"/>
          <w:szCs w:val="23"/>
        </w:rPr>
        <w:t xml:space="preserve">Legal and ethical:</w:t>
      </w:r>
      <w:r>
        <w:rPr>
          <w:rFonts w:ascii="Arial" w:cs="Nirmala UI" w:eastAsia="Arial" w:hAnsi="Arial"/>
          <w:sz w:val="23"/>
          <w:szCs w:val="23"/>
        </w:rPr>
        <w:t xml:space="preserve"> the clauses are written for this project in standard contract style and contain no personal data. FrJUDGE is used under its CC BY-NC-SA 4.0 licence for non-commercial research. The system is a reviewer aid, not legal advice.</w:t>
      </w:r>
    </w:p>
    <w:p>
      <w:pPr>
        <w:spacing w:after="140" w:line="300"/>
        <w:jc w:val="both"/>
      </w:pPr>
      <w:r>
        <w:rPr>
          <w:rFonts w:ascii="Arial" w:cs="Nirmala UI" w:eastAsia="Arial" w:hAnsi="Arial"/>
          <w:b/>
          <w:bCs/>
          <w:sz w:val="23"/>
          <w:szCs w:val="23"/>
        </w:rPr>
        <w:t xml:space="preserve">Operational:</w:t>
      </w:r>
      <w:r>
        <w:rPr>
          <w:rFonts w:ascii="Arial" w:cs="Nirmala UI" w:eastAsia="Arial" w:hAnsi="Arial"/>
          <w:sz w:val="23"/>
          <w:szCs w:val="23"/>
        </w:rPr>
        <w:t xml:space="preserve"> one PowerShell script sets up and trains everything on Windows, a Colab notebook runs the GPU models, and all code, data and results are versioned on GitHub.</w:t>
      </w:r>
    </w:p>
    <w:p>
      <w:r>
        <w:br w:type="page"/>
      </w:r>
    </w:p>
    <w:p>
      <w:pPr>
        <w:pStyle w:val="Heading1"/>
        <w:spacing w:after="260" w:before="120"/>
        <w:jc w:val="center"/>
      </w:pPr>
      <w:r>
        <w:rPr>
          <w:rFonts w:ascii="Arial" w:cs="Nirmala UI" w:eastAsia="Arial" w:hAnsi="Arial"/>
          <w:b/>
          <w:bCs/>
          <w:sz w:val="30"/>
          <w:szCs w:val="30"/>
        </w:rPr>
        <w:t xml:space="preserve">CHAPTER 3: DATASETS</w:t>
      </w:r>
    </w:p>
    <w:p>
      <w:pPr>
        <w:spacing w:after="140" w:line="300"/>
        <w:jc w:val="both"/>
      </w:pPr>
      <w:r>
        <w:rPr>
          <w:rFonts w:ascii="Arial" w:cs="Nirmala UI" w:eastAsia="Arial" w:hAnsi="Arial"/>
          <w:sz w:val="23"/>
          <w:szCs w:val="23"/>
        </w:rPr>
        <w:t xml:space="preserve">The project needed parallel English–Hindi legal sentence pairs with known legal errors, which did not exist. We therefore built EnHi-LMP and combined it with the public FrJUDGE dataset for out-of-language testing.</w:t>
      </w:r>
    </w:p>
    <w:p>
      <w:pPr>
        <w:keepNext/>
        <w:spacing w:after="80" w:before="200"/>
        <w:jc w:val="center"/>
      </w:pPr>
      <w:r>
        <w:rPr>
          <w:rFonts w:ascii="Arial" w:cs="Nirmala UI" w:eastAsia="Arial" w:hAnsi="Arial"/>
          <w:b/>
          <w:bCs/>
          <w:sz w:val="21"/>
          <w:szCs w:val="21"/>
        </w:rPr>
        <w:t xml:space="preserve">Table 3.1: Datasets used</w:t>
      </w:r>
    </w:p>
    <w:tbl>
      <w:tblPr>
        <w:tblW w:type="dxa" w:w="9305"/>
        <w:tblBorders>
          <w:top w:val="single" w:color="auto" w:sz="4"/>
          <w:left w:val="single" w:color="auto" w:sz="4"/>
          <w:bottom w:val="single" w:color="auto" w:sz="4"/>
          <w:right w:val="single" w:color="auto" w:sz="4"/>
          <w:insideH w:val="single" w:color="auto" w:sz="4"/>
          <w:insideV w:val="single" w:color="auto" w:sz="4"/>
        </w:tblBorders>
      </w:tblPr>
      <w:tblGrid>
        <w:gridCol w:w="3350"/>
        <w:gridCol w:w="3722"/>
        <w:gridCol w:w="2233"/>
      </w:tblGrid>
      <w:tr>
        <w:trPr>
          <w:cantSplit/>
          <w:tblHeader/>
        </w:trPr>
        <w:tc>
          <w:tcPr>
            <w:tcW w:type="dxa" w:w="335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Dataset</w:t>
            </w:r>
          </w:p>
        </w:tc>
        <w:tc>
          <w:tcPr>
            <w:tcW w:type="dxa" w:w="372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Used for</w:t>
            </w:r>
          </w:p>
        </w:tc>
        <w:tc>
          <w:tcPr>
            <w:tcW w:type="dxa" w:w="2233"/>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Size</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EnHi-LMP – English insurance</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Training and testing</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80 pairs (40 clauses × 2)</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EnHi-LMP – English tenancy</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Training and testing; new domain</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80 pairs</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EnHi-LMP – Hindi insurance</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Training and testing; new language</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80 pairs</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EnHi-LMP – Hindi tenancy</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Training and testing</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80 pairs</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Sanity – identical pairs</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Sanity check (gold 10); never trained on</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160 pairs</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Sanity – unrelated pairs</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Sanity check (gold 1); never trained on</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160 pairs</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FrJUDGE [1] (train + dev / test)</w:t>
            </w:r>
          </w:p>
        </w:tc>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Out-of-language transfer, human labels</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207 / 90 pairs</w:t>
            </w:r>
          </w:p>
        </w:tc>
      </w:tr>
    </w:tbl>
    <w:p>
      <w:pPr>
        <w:spacing w:after="160"/>
      </w:pPr>
    </w:p>
    <w:p>
      <w:pPr>
        <w:pStyle w:val="Heading2"/>
        <w:keepNext/>
        <w:spacing w:after="120" w:before="260"/>
      </w:pPr>
      <w:r>
        <w:rPr>
          <w:rFonts w:ascii="Arial" w:cs="Nirmala UI" w:eastAsia="Arial" w:hAnsi="Arial"/>
          <w:b/>
          <w:bCs/>
          <w:sz w:val="26"/>
          <w:szCs w:val="26"/>
        </w:rPr>
        <w:t xml:space="preserve">3.1 Construction</w:t>
      </w:r>
    </w:p>
    <w:p>
      <w:pPr>
        <w:spacing w:after="140" w:line="300"/>
        <w:jc w:val="both"/>
      </w:pPr>
      <w:r>
        <w:rPr>
          <w:rFonts w:ascii="Arial" w:cs="Nirmala UI" w:eastAsia="Arial" w:hAnsi="Arial"/>
          <w:sz w:val="23"/>
          <w:szCs w:val="23"/>
        </w:rPr>
        <w:t xml:space="preserve">We wrote 80 source clauses in standard Indian insurance and rent-agreement wording and translated each into Hindi. For every clause and language we wrote one faithful plain-language simplification and one simplification with exactly one legally significant change from a ten-type taxonomy.</w:t>
      </w:r>
    </w:p>
    <w:p>
      <w:pPr>
        <w:keepNext/>
        <w:spacing w:after="80" w:before="200"/>
        <w:jc w:val="center"/>
      </w:pPr>
      <w:r>
        <w:rPr>
          <w:rFonts w:ascii="Arial" w:cs="Nirmala UI" w:eastAsia="Arial" w:hAnsi="Arial"/>
          <w:b/>
          <w:bCs/>
          <w:sz w:val="21"/>
          <w:szCs w:val="21"/>
        </w:rPr>
        <w:t xml:space="preserve">Table 3.2: Legal error types (EN + HI)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4839"/>
        <w:gridCol w:w="1675"/>
      </w:tblGrid>
      <w:tr>
        <w:trPr>
          <w:cantSplit/>
          <w:tblHeader/>
        </w:trPr>
        <w:tc>
          <w:tcPr>
            <w:tcW w:type="dxa" w:w="279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Error type</w:t>
            </w:r>
          </w:p>
        </w:tc>
        <w:tc>
          <w:tcPr>
            <w:tcW w:type="dxa" w:w="483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Example</w:t>
            </w:r>
          </w:p>
        </w:tc>
        <w:tc>
          <w:tcPr>
            <w:tcW w:type="dxa" w:w="1675"/>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9"/>
                <w:szCs w:val="19"/>
              </w:rPr>
              <w:t xml:space="preserve">Pairs</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None (faithful)</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meaning kept, wording simplified</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160</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Scope change</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third party → anyone</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22</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Omitted condition</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“if licensed” removed</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20</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Date / time limit</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7 days → 30 days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20</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Modality</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must → may</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Minor omission</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non-essential detail dropped</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Hallucination</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adds a new penalty</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Party swap</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tenant pays → landlord pays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Negation</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does not cover → covers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14</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Exception removed</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“except day-care” removed</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12</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Number</w:t>
            </w:r>
          </w:p>
        </w:tc>
        <w:tc>
          <w:tcPr>
            <w:tcW w:type="dxa" w:w="483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Rs 5,000 → Rs 50,000</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8</w:t>
            </w:r>
          </w:p>
        </w:tc>
      </w:tr>
    </w:tbl>
    <w:p>
      <w:pPr>
        <w:spacing w:after="160"/>
      </w:pPr>
    </w:p>
    <w:p>
      <w:pPr>
        <w:pStyle w:val="Heading2"/>
        <w:keepNext/>
        <w:spacing w:after="120" w:before="260"/>
      </w:pPr>
      <w:r>
        <w:rPr>
          <w:rFonts w:ascii="Arial" w:cs="Nirmala UI" w:eastAsia="Arial" w:hAnsi="Arial"/>
          <w:b/>
          <w:bCs/>
          <w:sz w:val="26"/>
          <w:szCs w:val="26"/>
        </w:rPr>
        <w:t xml:space="preserve">3.2 Labelling Rubric</w:t>
      </w:r>
    </w:p>
    <w:p>
      <w:pPr>
        <w:keepNext/>
        <w:spacing w:after="80" w:before="200"/>
        <w:jc w:val="center"/>
      </w:pPr>
      <w:r>
        <w:rPr>
          <w:rFonts w:ascii="Arial" w:cs="Nirmala UI" w:eastAsia="Arial" w:hAnsi="Arial"/>
          <w:b/>
          <w:bCs/>
          <w:sz w:val="21"/>
          <w:szCs w:val="21"/>
        </w:rPr>
        <w:t xml:space="preserve">Table 3.3: LMP scoring rubric (1–10)</w:t>
      </w:r>
    </w:p>
    <w:tbl>
      <w:tblPr>
        <w:tblW w:type="dxa" w:w="9307"/>
        <w:tblBorders>
          <w:top w:val="single" w:color="auto" w:sz="4"/>
          <w:left w:val="single" w:color="auto" w:sz="4"/>
          <w:bottom w:val="single" w:color="auto" w:sz="4"/>
          <w:right w:val="single" w:color="auto" w:sz="4"/>
          <w:insideH w:val="single" w:color="auto" w:sz="4"/>
          <w:insideV w:val="single" w:color="auto" w:sz="4"/>
        </w:tblBorders>
      </w:tblPr>
      <w:tblGrid>
        <w:gridCol w:w="1117"/>
        <w:gridCol w:w="5584"/>
        <w:gridCol w:w="2606"/>
      </w:tblGrid>
      <w:tr>
        <w:trPr>
          <w:cantSplit/>
          <w:tblHeader/>
        </w:trPr>
        <w:tc>
          <w:tcPr>
            <w:tcW w:type="dxa" w:w="111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9"/>
                <w:szCs w:val="19"/>
              </w:rPr>
              <w:t xml:space="preserve">Score</w:t>
            </w:r>
          </w:p>
        </w:tc>
        <w:tc>
          <w:tcPr>
            <w:tcW w:type="dxa" w:w="5584"/>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Meaning</w:t>
            </w:r>
          </w:p>
        </w:tc>
        <w:tc>
          <w:tcPr>
            <w:tcW w:type="dxa" w:w="260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Decision</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9–10</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Identical legal effect; only wording changed</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Preserved</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8</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Preserved; trivial non-legal nuance lost</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Preserved</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6–7</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Minor secondary detail omitted</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Partially preserved</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4–5</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Secondary condition dropped or scope shifted</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Partially / Not preserved</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2–3</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Core condition, exception, number, date, party or modality changed</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Not preserved</w:t>
            </w:r>
          </w:p>
        </w:tc>
      </w:tr>
      <w:tr>
        <w:trPr>
          <w:cantSplit/>
          <w:tblHeader w:val="false"/>
        </w:trPr>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w:t>
            </w:r>
          </w:p>
        </w:tc>
        <w:tc>
          <w:tcPr>
            <w:tcW w:type="dxa" w:w="558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Rule reversed or unrelated</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Not preserved</w:t>
            </w:r>
          </w:p>
        </w:tc>
      </w:tr>
    </w:tbl>
    <w:p>
      <w:pPr>
        <w:spacing w:after="160"/>
      </w:pPr>
    </w:p>
    <w:p>
      <w:pPr>
        <w:spacing w:after="140" w:line="300"/>
        <w:jc w:val="both"/>
      </w:pPr>
      <w:r>
        <w:rPr>
          <w:rFonts w:ascii="Arial" w:cs="Nirmala UI" w:eastAsia="Arial" w:hAnsi="Arial"/>
          <w:sz w:val="23"/>
          <w:szCs w:val="23"/>
        </w:rPr>
        <w:t xml:space="preserve">The final split is 160 Preserved, 20 Partially Preserved and 140 Not Preserved pairs. In this version the scores are rubric-based silver labels. For the final version, two annotators score all 320 pairs independently in blinded, shuffled workbooks; differences of three points or more are adjudicated and agreement is reported with Krippendorff’s α [11].</w:t>
      </w:r>
    </w:p>
    <w:p>
      <w:pPr>
        <w:pStyle w:val="Heading2"/>
        <w:keepNext/>
        <w:spacing w:after="120" w:before="260"/>
      </w:pPr>
      <w:r>
        <w:rPr>
          <w:rFonts w:ascii="Arial" w:cs="Nirmala UI" w:eastAsia="Arial" w:hAnsi="Arial"/>
          <w:b/>
          <w:bCs/>
          <w:sz w:val="26"/>
          <w:szCs w:val="26"/>
        </w:rPr>
        <w:t xml:space="preserve">3.3 Data Quality and Leakage Control</w:t>
      </w:r>
    </w:p>
    <w:p>
      <w:pPr>
        <w:pStyle w:val="ListParagraph"/>
        <w:numPr>
          <w:ilvl w:val="0"/>
          <w:numId w:val="2"/>
        </w:numPr>
        <w:spacing w:after="70" w:line="290"/>
        <w:jc w:val="both"/>
      </w:pPr>
      <w:r>
        <w:rPr>
          <w:rFonts w:ascii="Arial" w:cs="Nirmala UI" w:eastAsia="Arial" w:hAnsi="Arial"/>
          <w:b/>
          <w:bCs/>
          <w:sz w:val="23"/>
          <w:szCs w:val="23"/>
        </w:rPr>
        <w:t xml:space="preserve">Grouped splits:</w:t>
      </w:r>
      <w:r>
        <w:rPr>
          <w:rFonts w:ascii="Arial" w:cs="Nirmala UI" w:eastAsia="Arial" w:hAnsi="Arial"/>
          <w:sz w:val="23"/>
          <w:szCs w:val="23"/>
        </w:rPr>
        <w:t xml:space="preserve"> the English and Hindi versions of a clause and both of its simplifications always stay in the same fold, so no test clause is seen in training in either language.</w:t>
      </w:r>
    </w:p>
    <w:p>
      <w:pPr>
        <w:pStyle w:val="ListParagraph"/>
        <w:numPr>
          <w:ilvl w:val="0"/>
          <w:numId w:val="2"/>
        </w:numPr>
        <w:spacing w:after="70" w:line="290"/>
        <w:jc w:val="both"/>
      </w:pPr>
      <w:r>
        <w:rPr>
          <w:rFonts w:ascii="Arial" w:cs="Nirmala UI" w:eastAsia="Arial" w:hAnsi="Arial"/>
          <w:b/>
          <w:bCs/>
          <w:sz w:val="23"/>
          <w:szCs w:val="23"/>
        </w:rPr>
        <w:t xml:space="preserve">Held-out sanity sets:</w:t>
      </w:r>
      <w:r>
        <w:rPr>
          <w:rFonts w:ascii="Arial" w:cs="Nirmala UI" w:eastAsia="Arial" w:hAnsi="Arial"/>
          <w:sz w:val="23"/>
          <w:szCs w:val="23"/>
        </w:rPr>
        <w:t xml:space="preserve"> identical and unrelated pairs are used only for testing.</w:t>
      </w:r>
    </w:p>
    <w:p>
      <w:pPr>
        <w:pStyle w:val="ListParagraph"/>
        <w:numPr>
          <w:ilvl w:val="0"/>
          <w:numId w:val="2"/>
        </w:numPr>
        <w:spacing w:after="70" w:line="290"/>
        <w:jc w:val="both"/>
      </w:pPr>
      <w:r>
        <w:rPr>
          <w:rFonts w:ascii="Arial" w:cs="Nirmala UI" w:eastAsia="Arial" w:hAnsi="Arial"/>
          <w:b/>
          <w:bCs/>
          <w:sz w:val="23"/>
          <w:szCs w:val="23"/>
        </w:rPr>
        <w:t xml:space="preserve">Blind annotation:</w:t>
      </w:r>
      <w:r>
        <w:rPr>
          <w:rFonts w:ascii="Arial" w:cs="Nirmala UI" w:eastAsia="Arial" w:hAnsi="Arial"/>
          <w:sz w:val="23"/>
          <w:szCs w:val="23"/>
        </w:rPr>
        <w:t xml:space="preserve"> workbooks show shuffled codes, never the error type or the silver score.</w:t>
      </w:r>
    </w:p>
    <w:p>
      <w:pPr>
        <w:pStyle w:val="ListParagraph"/>
        <w:numPr>
          <w:ilvl w:val="0"/>
          <w:numId w:val="2"/>
        </w:numPr>
        <w:spacing w:after="70" w:line="290"/>
        <w:jc w:val="both"/>
      </w:pPr>
      <w:r>
        <w:rPr>
          <w:rFonts w:ascii="Arial" w:cs="Nirmala UI" w:eastAsia="Arial" w:hAnsi="Arial"/>
          <w:b/>
          <w:bCs/>
          <w:sz w:val="23"/>
          <w:szCs w:val="23"/>
        </w:rPr>
        <w:t xml:space="preserve">Normalisation:</w:t>
      </w:r>
      <w:r>
        <w:rPr>
          <w:rFonts w:ascii="Arial" w:cs="Nirmala UI" w:eastAsia="Arial" w:hAnsi="Arial"/>
          <w:sz w:val="23"/>
          <w:szCs w:val="23"/>
        </w:rPr>
        <w:t xml:space="preserve"> Unicode NFC, Devanagari digits and Indian formats (“15,00,000”, “15 lakh”) are normalised before comparison.</w:t>
      </w:r>
    </w:p>
    <w:p>
      <w:r>
        <w:br w:type="page"/>
      </w:r>
    </w:p>
    <w:p>
      <w:pPr>
        <w:pStyle w:val="Heading1"/>
        <w:spacing w:after="260" w:before="120"/>
        <w:jc w:val="center"/>
      </w:pPr>
      <w:r>
        <w:rPr>
          <w:rFonts w:ascii="Arial" w:cs="Nirmala UI" w:eastAsia="Arial" w:hAnsi="Arial"/>
          <w:b/>
          <w:bCs/>
          <w:sz w:val="30"/>
          <w:szCs w:val="30"/>
        </w:rPr>
        <w:t xml:space="preserve">CHAPTER 4: REQUIREMENTS AND DESIGN OF THE PROJECT</w:t>
      </w:r>
    </w:p>
    <w:p>
      <w:pPr>
        <w:pStyle w:val="Heading2"/>
        <w:keepNext/>
        <w:spacing w:after="120" w:before="260"/>
      </w:pPr>
      <w:r>
        <w:rPr>
          <w:rFonts w:ascii="Arial" w:cs="Nirmala UI" w:eastAsia="Arial" w:hAnsi="Arial"/>
          <w:b/>
          <w:bCs/>
          <w:sz w:val="26"/>
          <w:szCs w:val="26"/>
        </w:rPr>
        <w:t xml:space="preserve">4.1 Measurable Objectives</w:t>
      </w:r>
    </w:p>
    <w:p>
      <w:pPr>
        <w:keepNext/>
        <w:spacing w:after="80" w:before="200"/>
        <w:jc w:val="center"/>
      </w:pPr>
      <w:r>
        <w:rPr>
          <w:rFonts w:ascii="Arial" w:cs="Nirmala UI" w:eastAsia="Arial" w:hAnsi="Arial"/>
          <w:b/>
          <w:bCs/>
          <w:sz w:val="21"/>
          <w:szCs w:val="21"/>
        </w:rPr>
        <w:t xml:space="preserve">Table 4.1: Measurable objectives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2978"/>
        <w:gridCol w:w="2606"/>
        <w:gridCol w:w="2978"/>
      </w:tblGrid>
      <w:tr>
        <w:trPr>
          <w:cantSplit/>
          <w:tblHeader/>
        </w:trPr>
        <w:tc>
          <w:tcPr>
            <w:tcW w:type="dxa" w:w="744"/>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No.</w:t>
            </w:r>
          </w:p>
        </w:tc>
        <w:tc>
          <w:tcPr>
            <w:tcW w:type="dxa" w:w="297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Objective</w:t>
            </w:r>
          </w:p>
        </w:tc>
        <w:tc>
          <w:tcPr>
            <w:tcW w:type="dxa" w:w="260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Target</w:t>
            </w:r>
          </w:p>
        </w:tc>
        <w:tc>
          <w:tcPr>
            <w:tcW w:type="dxa" w:w="297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Result</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O1</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Build EnHi-LMP dataset</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 300 pairs, 2 domains</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320 pairs + 320 sanity pairs</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O2</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Benchmark generic baselines</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 2 baselines</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3 baselines (best r 0.37)</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O3</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Beat generic similarity</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 above best baseline</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 0.60 (LegalDiff-GBR)</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O4</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Transfer to new language</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within 0.10 of in-language</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EN→HI 0.48 vs HI→HI 0.50</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O5</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Transfer to new domain</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small drop</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 0.06 drop (0.55 / 0.57)</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O6</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Pass sanity checks</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identical ≥ 9, unrelated ≤ 2</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9.99 and 1.22</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O7</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Explain each score</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error-detection F1 ≥ 0.70</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F1 0.79; type correct 40%</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O8</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Run without a GPU</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laptop CPU</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E1–E5 in about 1.5 h on 2 cores</w:t>
            </w:r>
          </w:p>
        </w:tc>
      </w:tr>
      <w:tr>
        <w:trPr>
          <w:cantSplit/>
          <w:tblHeader w:val="false"/>
        </w:trPr>
        <w:tc>
          <w:tcPr>
            <w:tcW w:type="dxa" w:w="74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O9</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Human double annotation</w:t>
            </w:r>
          </w:p>
        </w:tc>
        <w:tc>
          <w:tcPr>
            <w:tcW w:type="dxa" w:w="260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Krippendorff α ≥ 0.67</w:t>
            </w:r>
          </w:p>
        </w:tc>
        <w:tc>
          <w:tcPr>
            <w:tcW w:type="dxa" w:w="297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Toolkit ready; scoring pending</w:t>
            </w:r>
          </w:p>
        </w:tc>
      </w:tr>
    </w:tbl>
    <w:p>
      <w:pPr>
        <w:spacing w:after="160"/>
      </w:pPr>
    </w:p>
    <w:p>
      <w:pPr>
        <w:pStyle w:val="Heading2"/>
        <w:keepNext/>
        <w:spacing w:after="120" w:before="260"/>
      </w:pPr>
      <w:r>
        <w:rPr>
          <w:rFonts w:ascii="Arial" w:cs="Nirmala UI" w:eastAsia="Arial" w:hAnsi="Arial"/>
          <w:b/>
          <w:bCs/>
          <w:sz w:val="26"/>
          <w:szCs w:val="26"/>
        </w:rPr>
        <w:t xml:space="preserve">4.2 Methodology</w:t>
      </w:r>
    </w:p>
    <w:p>
      <w:pPr>
        <w:spacing w:after="140" w:line="300"/>
        <w:jc w:val="both"/>
      </w:pPr>
      <w:r>
        <w:rPr>
          <w:rFonts w:ascii="Arial" w:cs="Nirmala UI" w:eastAsia="Arial" w:hAnsi="Arial"/>
          <w:sz w:val="23"/>
          <w:szCs w:val="23"/>
        </w:rPr>
        <w:t xml:space="preserve">Each original–simplified pair passes through the pipeline in Figure 4.1. The pair is normalised, compared by LegalDiff and encoded jointly by the cross-encoder; the fusion head outputs a 1–10 score, the decision rule assigns a class, and the explainer names the error and writes a rationale. Models are trained offline with mean-squared error and JUDGEBERT’s identical/unrelated augmentation, and evaluated with grouped five-fold cross-validation and three random seeds.</w:t>
      </w:r>
    </w:p>
    <w:p>
      <w:pPr>
        <w:keepNext/>
        <w:spacing w:after="60" w:before="160"/>
        <w:jc w:val="center"/>
      </w:pPr>
      <w:r>
        <w:drawing>
          <wp:inline distT="0" distB="0" distL="0" distR="0">
            <wp:extent cx="57626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152650"/>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4.1: Per-pair processing pipeline</w:t>
      </w:r>
    </w:p>
    <w:p>
      <w:pPr>
        <w:pStyle w:val="Heading2"/>
        <w:keepNext/>
        <w:spacing w:after="120" w:before="260"/>
      </w:pPr>
      <w:r>
        <w:rPr>
          <w:rFonts w:ascii="Arial" w:cs="Nirmala UI" w:eastAsia="Arial" w:hAnsi="Arial"/>
          <w:b/>
          <w:bCs/>
          <w:sz w:val="26"/>
          <w:szCs w:val="26"/>
        </w:rPr>
        <w:t xml:space="preserve">4.3 Algorithms and Techniques</w:t>
      </w:r>
    </w:p>
    <w:p>
      <w:pPr>
        <w:keepNext/>
        <w:spacing w:after="80" w:before="200"/>
        <w:jc w:val="center"/>
      </w:pPr>
      <w:r>
        <w:rPr>
          <w:rFonts w:ascii="Arial" w:cs="Nirmala UI" w:eastAsia="Arial" w:hAnsi="Arial"/>
          <w:b/>
          <w:bCs/>
          <w:sz w:val="21"/>
          <w:szCs w:val="21"/>
        </w:rPr>
        <w:t xml:space="preserve">Table 4.2: Techniques and why they were chosen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3536"/>
        <w:gridCol w:w="3909"/>
      </w:tblGrid>
      <w:tr>
        <w:trPr>
          <w:cantSplit/>
          <w:tblHeader/>
        </w:trPr>
        <w:tc>
          <w:tcPr>
            <w:tcW w:type="dxa" w:w="186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Task</w:t>
            </w:r>
          </w:p>
        </w:tc>
        <w:tc>
          <w:tcPr>
            <w:tcW w:type="dxa" w:w="353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Technique</w:t>
            </w:r>
          </w:p>
        </w:tc>
        <w:tc>
          <w:tcPr>
            <w:tcW w:type="dxa" w:w="390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Why</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Lexical baseline</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chrF</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Character level, robust to Hindi inflection</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Semantic baselines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Embedding cosine, BERTScore-style F1</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Standard generic similarity the brief asks us to beat</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Legal signals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LegalDiff (19 features, EN/HI lexicons)</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Typed, auditable evidence for each error category</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Best regressor</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Gradient-boosted trees on LegalDiff</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Learns non-linear feature interactions from few examples</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JUDGEBERT-style model</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Cross-encoder Transformer + fusion head</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Attention aligns the two sentences token by token</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Scale anchoring</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Identical → 10, unrelated → 1 augmentation</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Method of the base paper; enables sanity tests</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Explanations</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Priority-ordered rule explainer</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Turns features into an error type and a rationale</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Evaluation</w:t>
            </w:r>
          </w:p>
        </w:tc>
        <w:tc>
          <w:tcPr>
            <w:tcW w:type="dxa" w:w="353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Grouped 5-fold CV, 3 seeds</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No leakage between language twins; stable estimates</w:t>
            </w:r>
          </w:p>
        </w:tc>
      </w:tr>
    </w:tbl>
    <w:p>
      <w:pPr>
        <w:spacing w:after="160"/>
      </w:pPr>
    </w:p>
    <w:p>
      <w:pPr>
        <w:keepNext/>
        <w:spacing w:after="80" w:before="160"/>
      </w:pPr>
      <w:r>
        <w:rPr>
          <w:rFonts w:ascii="Arial" w:cs="Nirmala UI" w:eastAsia="Arial" w:hAnsi="Arial"/>
          <w:b/>
          <w:bCs/>
          <w:sz w:val="23"/>
          <w:szCs w:val="23"/>
        </w:rPr>
        <w:t xml:space="preserve">Selection protocol</w:t>
      </w:r>
    </w:p>
    <w:p>
      <w:pPr>
        <w:spacing w:after="140" w:line="300"/>
        <w:jc w:val="both"/>
      </w:pPr>
      <w:r>
        <w:rPr>
          <w:rFonts w:ascii="Arial" w:cs="Nirmala UI" w:eastAsia="Arial" w:hAnsi="Arial"/>
          <w:sz w:val="23"/>
          <w:szCs w:val="23"/>
        </w:rPr>
        <w:t xml:space="preserve">All systems are compared on identical out-of-fold predictions. Baselines are calibrated to the 1–10 scale on training folds only. Hyperparameters were fixed before the final runs, every learned model is reported as the mean and standard deviation over three seeds, and test folds are never used for fitting.</w:t>
      </w:r>
    </w:p>
    <w:p>
      <w:pPr>
        <w:keepNext/>
        <w:spacing w:after="80" w:before="160"/>
      </w:pPr>
      <w:r>
        <w:rPr>
          <w:rFonts w:ascii="Arial" w:cs="Nirmala UI" w:eastAsia="Arial" w:hAnsi="Arial"/>
          <w:b/>
          <w:bCs/>
          <w:sz w:val="23"/>
          <w:szCs w:val="23"/>
        </w:rPr>
        <w:t xml:space="preserve">Key formulas</w:t>
      </w:r>
    </w:p>
    <w:p>
      <w:pPr>
        <w:spacing w:after="100"/>
        <w:jc w:val="left"/>
      </w:pPr>
      <w:r>
        <w:rPr>
          <w:rFonts w:ascii="Cambria Math" w:hAnsi="Cambria Math"/>
          <w:sz w:val="22"/>
          <w:szCs w:val="22"/>
        </w:rPr>
        <w:t xml:space="preserve">ŷ = 1 + 9 · σ(z)   (fusion head output on the 1–10 LMP scale)</w:t>
      </w:r>
    </w:p>
    <w:p>
      <w:pPr>
        <w:spacing w:after="100"/>
        <w:jc w:val="left"/>
      </w:pPr>
      <w:r>
        <w:rPr>
          <w:rFonts w:ascii="Cambria Math" w:hAnsi="Cambria Math"/>
          <w:sz w:val="22"/>
          <w:szCs w:val="22"/>
        </w:rPr>
        <w:t xml:space="preserve">Loss = (1/n) Σ (ŷᵢ − yᵢ)²   (mean-squared error)</w:t>
      </w:r>
    </w:p>
    <w:p>
      <w:pPr>
        <w:spacing w:after="100"/>
        <w:jc w:val="left"/>
      </w:pPr>
      <w:r>
        <w:rPr>
          <w:rFonts w:ascii="Cambria Math" w:hAnsi="Cambria Math"/>
          <w:sz w:val="22"/>
          <w:szCs w:val="22"/>
        </w:rPr>
        <w:t xml:space="preserve">Decision: Preserved if ŷ ≥ 7.5;  Partially Preserved if 4.5 ≤ ŷ &lt; 7.5;  Not Preserved if ŷ &lt; 4.5</w:t>
      </w:r>
    </w:p>
    <w:p>
      <w:pPr>
        <w:spacing w:after="100"/>
        <w:jc w:val="left"/>
      </w:pPr>
      <w:r>
        <w:rPr>
          <w:rFonts w:ascii="Cambria Math" w:hAnsi="Cambria Math"/>
          <w:sz w:val="22"/>
          <w:szCs w:val="22"/>
        </w:rPr>
        <w:t xml:space="preserve">Pearson r = cov(ŷ, y) / (σŷ σy);   RMSE = [ Σ (ŷᵢ − yᵢ)² / n ]^(1/2);   F1 = 2PR / (P + R)</w:t>
      </w:r>
    </w:p>
    <w:p>
      <w:pPr>
        <w:spacing w:after="100"/>
        <w:jc w:val="left"/>
      </w:pPr>
      <w:r>
        <w:rPr>
          <w:rFonts w:ascii="Cambria Math" w:hAnsi="Cambria Math"/>
          <w:sz w:val="22"/>
          <w:szCs w:val="22"/>
        </w:rPr>
        <w:t xml:space="preserve">Krippendorff’s α = 1 − Dₒ / Dₑ   (observed vs expected disagreement between annotators)</w:t>
      </w:r>
    </w:p>
    <w:p>
      <w:pPr>
        <w:pStyle w:val="Heading2"/>
        <w:keepNext/>
        <w:spacing w:after="120" w:before="260"/>
      </w:pPr>
      <w:r>
        <w:rPr>
          <w:rFonts w:ascii="Arial" w:cs="Nirmala UI" w:eastAsia="Arial" w:hAnsi="Arial"/>
          <w:b/>
          <w:bCs/>
          <w:sz w:val="26"/>
          <w:szCs w:val="26"/>
        </w:rPr>
        <w:t xml:space="preserve">4.4 System Architecture</w:t>
      </w:r>
    </w:p>
    <w:p>
      <w:pPr>
        <w:spacing w:after="140" w:line="300"/>
        <w:jc w:val="both"/>
      </w:pPr>
      <w:r>
        <w:rPr>
          <w:rFonts w:ascii="Arial" w:cs="Nirmala UI" w:eastAsia="Arial" w:hAnsi="Arial"/>
          <w:sz w:val="23"/>
          <w:szCs w:val="23"/>
        </w:rPr>
        <w:t xml:space="preserve">Figure 4.2 shows the three layers of the system: the data layer (EnHi-LMP, sanity sets, FrJUDGE and the annotation kit), the model layer (baselines, LegalDiff, ML-JudgeBERT and LegalDiff-GBR) and the evaluation layer that produces scores, explanations, result files and the project deliverables.</w:t>
      </w:r>
    </w:p>
    <w:p>
      <w:pPr>
        <w:keepNext/>
        <w:spacing w:after="60" w:before="160"/>
        <w:jc w:val="center"/>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181350"/>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4.2: System architecture</w:t>
      </w:r>
    </w:p>
    <w:p>
      <w:r>
        <w:br w:type="page"/>
      </w:r>
    </w:p>
    <w:p>
      <w:pPr>
        <w:pStyle w:val="Heading1"/>
        <w:spacing w:after="260" w:before="120"/>
        <w:jc w:val="center"/>
      </w:pPr>
      <w:r>
        <w:rPr>
          <w:rFonts w:ascii="Arial" w:cs="Nirmala UI" w:eastAsia="Arial" w:hAnsi="Arial"/>
          <w:b/>
          <w:bCs/>
          <w:sz w:val="30"/>
          <w:szCs w:val="30"/>
        </w:rPr>
        <w:t xml:space="preserve">CHAPTER 5: PROJECT IMPLEMENTATION</w:t>
      </w:r>
    </w:p>
    <w:p>
      <w:pPr>
        <w:pStyle w:val="Heading2"/>
        <w:keepNext/>
        <w:spacing w:after="120" w:before="260"/>
      </w:pPr>
      <w:r>
        <w:rPr>
          <w:rFonts w:ascii="Arial" w:cs="Nirmala UI" w:eastAsia="Arial" w:hAnsi="Arial"/>
          <w:b/>
          <w:bCs/>
          <w:sz w:val="26"/>
          <w:szCs w:val="26"/>
        </w:rPr>
        <w:t xml:space="preserve">5.1 Tools and Technologies</w:t>
      </w:r>
    </w:p>
    <w:p>
      <w:pPr>
        <w:spacing w:after="140" w:line="300"/>
        <w:jc w:val="both"/>
      </w:pPr>
      <w:r>
        <w:rPr>
          <w:rFonts w:ascii="Arial" w:cs="Nirmala UI" w:eastAsia="Arial" w:hAnsi="Arial"/>
          <w:sz w:val="23"/>
          <w:szCs w:val="23"/>
        </w:rPr>
        <w:t xml:space="preserve">The system is written in Python 3.12. PyTorch implements the cross-encoder and its training loop; Hugging Face tokenizers builds the shared English–Hindi BPE vocabulary; scikit-learn provides gradient boosting and metrics; sacrebleu computes chrF; and WordLlama supplies the static embeddings used by the generic baselines. Hugging Face Transformers is used for the pretrained XLM-R and MuRIL version.</w:t>
      </w:r>
    </w:p>
    <w:p>
      <w:pPr>
        <w:spacing w:after="140" w:line="300"/>
        <w:jc w:val="both"/>
      </w:pPr>
      <w:r>
        <w:rPr>
          <w:rFonts w:ascii="Arial" w:cs="Nirmala UI" w:eastAsia="Arial" w:hAnsi="Arial"/>
          <w:sz w:val="23"/>
          <w:szCs w:val="23"/>
        </w:rPr>
        <w:t xml:space="preserve">For reproducibility, the repository includes a Windows PowerShell script that creates the environment and runs all experiments on a CPU, a Google Colab notebook for GPU fine-tuning, openpyxl-based annotation workbooks, and LaTeX and docx builders for the paper. All code, data, results and deliverables are versioned on GitHub.</w:t>
      </w:r>
    </w:p>
    <w:p>
      <w:pPr>
        <w:pStyle w:val="Heading2"/>
        <w:keepNext/>
        <w:spacing w:after="120" w:before="260"/>
      </w:pPr>
      <w:r>
        <w:rPr>
          <w:rFonts w:ascii="Arial" w:cs="Nirmala UI" w:eastAsia="Arial" w:hAnsi="Arial"/>
          <w:b/>
          <w:bCs/>
          <w:sz w:val="26"/>
          <w:szCs w:val="26"/>
        </w:rPr>
        <w:t xml:space="preserve">5.2 Synchronization of Design and Implementation</w:t>
      </w:r>
    </w:p>
    <w:p>
      <w:pPr>
        <w:keepNext/>
        <w:spacing w:after="80" w:before="200"/>
        <w:jc w:val="center"/>
      </w:pPr>
      <w:r>
        <w:rPr>
          <w:rFonts w:ascii="Arial" w:cs="Nirmala UI" w:eastAsia="Arial" w:hAnsi="Arial"/>
          <w:b/>
          <w:bCs/>
          <w:sz w:val="21"/>
          <w:szCs w:val="21"/>
        </w:rPr>
        <w:t xml:space="preserve">Table 5.1: Design element, code and evidence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4281"/>
        <w:gridCol w:w="2233"/>
      </w:tblGrid>
      <w:tr>
        <w:trPr>
          <w:cantSplit/>
          <w:tblHeader/>
        </w:trPr>
        <w:tc>
          <w:tcPr>
            <w:tcW w:type="dxa" w:w="279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Design element</w:t>
            </w:r>
          </w:p>
        </w:tc>
        <w:tc>
          <w:tcPr>
            <w:tcW w:type="dxa" w:w="428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Code</w:t>
            </w:r>
          </w:p>
        </w:tc>
        <w:tc>
          <w:tcPr>
            <w:tcW w:type="dxa" w:w="2233"/>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Evidence</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Dataset and sanity sets (O1)</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data/*.py, src/build_dataset.py</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320 + 320 pairs</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Generic baselines (O2)</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src/lmp_models.py (chrf, wl_cosine, wl_tokenscore)</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Table 6.1</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LegalDiff + explainer (O3, O7)</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src/legal_features.py</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r 0.60; F1 0.79</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 (O3)</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src/lmp_models.py (CrossEncoder, MLJudgeBERT)</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Table 6.1</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Experiments E1–E5 (O3–O7)</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src/run_experiments.py, src/select_cases.py</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results/*.json</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Pretrained encoders</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src/finetune_pretrained.py, Colab notebook</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end-to-end tested</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Human annotation (O9)</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src/make_annotation_kit.py, src/merge_annotations.py</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α script tested</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One-command training (O8)</w:t>
            </w:r>
          </w:p>
        </w:tc>
        <w:tc>
          <w:tcPr>
            <w:tcW w:type="dxa" w:w="428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train_enhi_lmp.ps1</w:t>
            </w:r>
          </w:p>
        </w:tc>
        <w:tc>
          <w:tcPr>
            <w:tcW w:type="dxa" w:w="2233"/>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tested end to end</w:t>
            </w:r>
          </w:p>
        </w:tc>
      </w:tr>
    </w:tbl>
    <w:p>
      <w:pPr>
        <w:spacing w:after="160"/>
      </w:pPr>
    </w:p>
    <w:p>
      <w:pPr>
        <w:pStyle w:val="Heading2"/>
        <w:keepNext/>
        <w:spacing w:after="120" w:before="260"/>
      </w:pPr>
      <w:r>
        <w:rPr>
          <w:rFonts w:ascii="Arial" w:cs="Nirmala UI" w:eastAsia="Arial" w:hAnsi="Arial"/>
          <w:b/>
          <w:bCs/>
          <w:sz w:val="26"/>
          <w:szCs w:val="26"/>
        </w:rPr>
        <w:t xml:space="preserve">5.3 Implemented Modules</w:t>
      </w:r>
    </w:p>
    <w:p>
      <w:pPr>
        <w:pStyle w:val="ListParagraph"/>
        <w:numPr>
          <w:ilvl w:val="0"/>
          <w:numId w:val="2"/>
        </w:numPr>
        <w:spacing w:after="70" w:line="290"/>
        <w:jc w:val="both"/>
      </w:pPr>
      <w:r>
        <w:rPr>
          <w:rFonts w:ascii="Arial" w:cs="Nirmala UI" w:eastAsia="Arial" w:hAnsi="Arial"/>
          <w:b/>
          <w:bCs/>
          <w:sz w:val="23"/>
          <w:szCs w:val="23"/>
        </w:rPr>
        <w:t xml:space="preserve">Dataset builder</w:t>
      </w:r>
      <w:r>
        <w:rPr>
          <w:rFonts w:ascii="Arial" w:cs="Nirmala UI" w:eastAsia="Arial" w:hAnsi="Arial"/>
          <w:sz w:val="23"/>
          <w:szCs w:val="23"/>
        </w:rPr>
        <w:t xml:space="preserve"> (src/build_dataset.py): assembles 320 pairs, sanity sets and FrJUDGE splits.</w:t>
      </w:r>
    </w:p>
    <w:p>
      <w:pPr>
        <w:pStyle w:val="ListParagraph"/>
        <w:numPr>
          <w:ilvl w:val="0"/>
          <w:numId w:val="2"/>
        </w:numPr>
        <w:spacing w:after="70" w:line="290"/>
        <w:jc w:val="both"/>
      </w:pPr>
      <w:r>
        <w:rPr>
          <w:rFonts w:ascii="Arial" w:cs="Nirmala UI" w:eastAsia="Arial" w:hAnsi="Arial"/>
          <w:b/>
          <w:bCs/>
          <w:sz w:val="23"/>
          <w:szCs w:val="23"/>
        </w:rPr>
        <w:t xml:space="preserve">LegalDiff</w:t>
      </w:r>
      <w:r>
        <w:rPr>
          <w:rFonts w:ascii="Arial" w:cs="Nirmala UI" w:eastAsia="Arial" w:hAnsi="Arial"/>
          <w:sz w:val="23"/>
          <w:szCs w:val="23"/>
        </w:rPr>
        <w:t xml:space="preserve"> (src/legal_features.py): bilingual legal-difference features and the rule-based explainer.</w:t>
      </w:r>
    </w:p>
    <w:p>
      <w:pPr>
        <w:pStyle w:val="ListParagraph"/>
        <w:numPr>
          <w:ilvl w:val="0"/>
          <w:numId w:val="2"/>
        </w:numPr>
        <w:spacing w:after="70" w:line="290"/>
        <w:jc w:val="both"/>
      </w:pPr>
      <w:r>
        <w:rPr>
          <w:rFonts w:ascii="Arial" w:cs="Nirmala UI" w:eastAsia="Arial" w:hAnsi="Arial"/>
          <w:b/>
          <w:bCs/>
          <w:sz w:val="23"/>
          <w:szCs w:val="23"/>
        </w:rPr>
        <w:t xml:space="preserve">Models</w:t>
      </w:r>
      <w:r>
        <w:rPr>
          <w:rFonts w:ascii="Arial" w:cs="Nirmala UI" w:eastAsia="Arial" w:hAnsi="Arial"/>
          <w:sz w:val="23"/>
          <w:szCs w:val="23"/>
        </w:rPr>
        <w:t xml:space="preserve"> (src/lmp_models.py): calibrated baselines, the ML-JudgeBERT cross-encoder and LegalDiff-GBR.</w:t>
      </w:r>
    </w:p>
    <w:p>
      <w:pPr>
        <w:pStyle w:val="ListParagraph"/>
        <w:numPr>
          <w:ilvl w:val="0"/>
          <w:numId w:val="2"/>
        </w:numPr>
        <w:spacing w:after="70" w:line="290"/>
        <w:jc w:val="both"/>
      </w:pPr>
      <w:r>
        <w:rPr>
          <w:rFonts w:ascii="Arial" w:cs="Nirmala UI" w:eastAsia="Arial" w:hAnsi="Arial"/>
          <w:b/>
          <w:bCs/>
          <w:sz w:val="23"/>
          <w:szCs w:val="23"/>
        </w:rPr>
        <w:t xml:space="preserve">Experiment runner</w:t>
      </w:r>
      <w:r>
        <w:rPr>
          <w:rFonts w:ascii="Arial" w:cs="Nirmala UI" w:eastAsia="Arial" w:hAnsi="Arial"/>
          <w:sz w:val="23"/>
          <w:szCs w:val="23"/>
        </w:rPr>
        <w:t xml:space="preserve"> (src/run_experiments.py): experiments E1–E5 with grouped cross-validation.</w:t>
      </w:r>
    </w:p>
    <w:p>
      <w:pPr>
        <w:pStyle w:val="ListParagraph"/>
        <w:numPr>
          <w:ilvl w:val="0"/>
          <w:numId w:val="2"/>
        </w:numPr>
        <w:spacing w:after="70" w:line="290"/>
        <w:jc w:val="both"/>
      </w:pPr>
      <w:r>
        <w:rPr>
          <w:rFonts w:ascii="Arial" w:cs="Nirmala UI" w:eastAsia="Arial" w:hAnsi="Arial"/>
          <w:b/>
          <w:bCs/>
          <w:sz w:val="23"/>
          <w:szCs w:val="23"/>
        </w:rPr>
        <w:t xml:space="preserve">Demo</w:t>
      </w:r>
      <w:r>
        <w:rPr>
          <w:rFonts w:ascii="Arial" w:cs="Nirmala UI" w:eastAsia="Arial" w:hAnsi="Arial"/>
          <w:sz w:val="23"/>
          <w:szCs w:val="23"/>
        </w:rPr>
        <w:t xml:space="preserve"> (src/demo.py): scores any new sentence pair from the command line.</w:t>
      </w:r>
    </w:p>
    <w:p>
      <w:pPr>
        <w:pStyle w:val="ListParagraph"/>
        <w:numPr>
          <w:ilvl w:val="0"/>
          <w:numId w:val="2"/>
        </w:numPr>
        <w:spacing w:after="70" w:line="290"/>
        <w:jc w:val="both"/>
      </w:pPr>
      <w:r>
        <w:rPr>
          <w:rFonts w:ascii="Arial" w:cs="Nirmala UI" w:eastAsia="Arial" w:hAnsi="Arial"/>
          <w:b/>
          <w:bCs/>
          <w:sz w:val="23"/>
          <w:szCs w:val="23"/>
        </w:rPr>
        <w:t xml:space="preserve">Annotation kit</w:t>
      </w:r>
      <w:r>
        <w:rPr>
          <w:rFonts w:ascii="Arial" w:cs="Nirmala UI" w:eastAsia="Arial" w:hAnsi="Arial"/>
          <w:sz w:val="23"/>
          <w:szCs w:val="23"/>
        </w:rPr>
        <w:t xml:space="preserve"> (src/make_annotation_kit.py, src/merge_annotations.py): blinded workbooks, agreement and adjudication.</w:t>
      </w:r>
    </w:p>
    <w:p>
      <w:pPr>
        <w:pStyle w:val="ListParagraph"/>
        <w:numPr>
          <w:ilvl w:val="0"/>
          <w:numId w:val="2"/>
        </w:numPr>
        <w:spacing w:after="70" w:line="290"/>
        <w:jc w:val="both"/>
      </w:pPr>
      <w:r>
        <w:rPr>
          <w:rFonts w:ascii="Arial" w:cs="Nirmala UI" w:eastAsia="Arial" w:hAnsi="Arial"/>
          <w:b/>
          <w:bCs/>
          <w:sz w:val="23"/>
          <w:szCs w:val="23"/>
        </w:rPr>
        <w:t xml:space="preserve">Pretrained fine-tuning</w:t>
      </w:r>
      <w:r>
        <w:rPr>
          <w:rFonts w:ascii="Arial" w:cs="Nirmala UI" w:eastAsia="Arial" w:hAnsi="Arial"/>
          <w:sz w:val="23"/>
          <w:szCs w:val="23"/>
        </w:rPr>
        <w:t xml:space="preserve"> (src/finetune_pretrained.py and the Colab notebook): XLM-R / MuRIL with late fusion.</w:t>
      </w:r>
    </w:p>
    <w:p>
      <w:pPr>
        <w:pStyle w:val="ListParagraph"/>
        <w:numPr>
          <w:ilvl w:val="0"/>
          <w:numId w:val="2"/>
        </w:numPr>
        <w:spacing w:after="70" w:line="290"/>
        <w:jc w:val="both"/>
      </w:pPr>
      <w:r>
        <w:rPr>
          <w:rFonts w:ascii="Arial" w:cs="Nirmala UI" w:eastAsia="Arial" w:hAnsi="Arial"/>
          <w:b/>
          <w:bCs/>
          <w:sz w:val="23"/>
          <w:szCs w:val="23"/>
        </w:rPr>
        <w:t xml:space="preserve">Automation</w:t>
      </w:r>
      <w:r>
        <w:rPr>
          <w:rFonts w:ascii="Arial" w:cs="Nirmala UI" w:eastAsia="Arial" w:hAnsi="Arial"/>
          <w:sz w:val="23"/>
          <w:szCs w:val="23"/>
        </w:rPr>
        <w:t xml:space="preserve"> (train_enhi_lmp.ps1, push_to_github.ps1): setup, training, summary and publishing on Windows.</w:t>
      </w:r>
    </w:p>
    <w:p>
      <w:pPr>
        <w:pStyle w:val="Heading2"/>
        <w:keepNext/>
        <w:spacing w:after="120" w:before="260"/>
      </w:pPr>
      <w:r>
        <w:rPr>
          <w:rFonts w:ascii="Arial" w:cs="Nirmala UI" w:eastAsia="Arial" w:hAnsi="Arial"/>
          <w:b/>
          <w:bCs/>
          <w:sz w:val="26"/>
          <w:szCs w:val="26"/>
        </w:rPr>
        <w:t xml:space="preserve">5.4 Demonstration of the Modules</w:t>
      </w:r>
    </w:p>
    <w:p>
      <w:pPr>
        <w:keepNext/>
        <w:spacing w:after="60" w:before="160"/>
        <w:jc w:val="center"/>
      </w:pPr>
      <w:r>
        <w:drawing>
          <wp:inline distT="0" distB="0" distL="0" distR="0">
            <wp:extent cx="57626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314700"/>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5.1: Blinded annotation workbook given to each annotator (score column F, 1–10)</w:t>
      </w:r>
    </w:p>
    <w:p>
      <w:pPr>
        <w:keepNext/>
        <w:spacing w:after="60" w:before="160"/>
        <w:jc w:val="center"/>
      </w:pPr>
      <w:r>
        <w:drawing>
          <wp:inline distT="0" distB="0" distL="0" distR="0">
            <wp:extent cx="57626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09875"/>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5.2: Demo scoring three new loan and lease clauses (score, decision, error type, explanation)</w:t>
      </w:r>
    </w:p>
    <w:p>
      <w:pPr>
        <w:spacing w:after="140" w:line="300"/>
        <w:jc w:val="both"/>
      </w:pPr>
      <w:r>
        <w:rPr>
          <w:rFonts w:ascii="Arial" w:cs="Nirmala UI" w:eastAsia="Arial" w:hAnsi="Arial"/>
          <w:sz w:val="23"/>
          <w:szCs w:val="23"/>
        </w:rPr>
        <w:t xml:space="preserve">The demo uses clauses from a loan and a lease, a domain that is not in the training data. It correctly rejects the obligation-to-permission change (1.0/10) and the lifted pet ban (2.2/10). It scores the faithful loan rewrite only 6.8, because “instalments” → “payments” and “twelve” → “12” look like omissions to the lexicon, which shows why a pretrained encoder is the next step.</w:t>
      </w:r>
    </w:p>
    <w:p>
      <w:pPr>
        <w:keepNext/>
        <w:spacing w:after="60" w:before="160"/>
        <w:jc w:val="center"/>
      </w:pPr>
      <w:r>
        <w:drawing>
          <wp:inline distT="0" distB="0" distL="0" distR="0">
            <wp:extent cx="576262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819275"/>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5.3: Results summary printed by the training script (step 6/6)</w:t>
      </w:r>
    </w:p>
    <w:p>
      <w:pPr>
        <w:pStyle w:val="Heading2"/>
        <w:keepNext/>
        <w:spacing w:after="120" w:before="260"/>
      </w:pPr>
      <w:r>
        <w:rPr>
          <w:rFonts w:ascii="Arial" w:cs="Nirmala UI" w:eastAsia="Arial" w:hAnsi="Arial"/>
          <w:b/>
          <w:bCs/>
          <w:sz w:val="26"/>
          <w:szCs w:val="26"/>
        </w:rPr>
        <w:t xml:space="preserve">5.5 Testing</w:t>
      </w:r>
    </w:p>
    <w:p>
      <w:pPr>
        <w:spacing w:after="140" w:line="300"/>
        <w:jc w:val="both"/>
      </w:pPr>
      <w:r>
        <w:rPr>
          <w:rFonts w:ascii="Arial" w:cs="Nirmala UI" w:eastAsia="Arial" w:hAnsi="Arial"/>
          <w:sz w:val="23"/>
          <w:szCs w:val="23"/>
        </w:rPr>
        <w:t xml:space="preserve">Testing covered the experiments and the tooling. Sanity sets test the scale ends in every run. Grouped folds were checked so that no clause appears on both sides of a split. The annotation-merging script was tested with simulated annotators (α = 0.95 on noisy copies of the labels). The pretrained fine-tuning script was tested end to end with a small local model, and the PowerShell training script was parsed and executed through the merge, fine-tune and summary stages. Every script reads and writes UTF-8 so that Hindi text is preserved on Windows.</w:t>
      </w:r>
    </w:p>
    <w:p>
      <w:r>
        <w:br w:type="page"/>
      </w:r>
    </w:p>
    <w:p>
      <w:pPr>
        <w:pStyle w:val="Heading1"/>
        <w:spacing w:after="260" w:before="120"/>
        <w:jc w:val="center"/>
      </w:pPr>
      <w:r>
        <w:rPr>
          <w:rFonts w:ascii="Arial" w:cs="Nirmala UI" w:eastAsia="Arial" w:hAnsi="Arial"/>
          <w:b/>
          <w:bCs/>
          <w:sz w:val="30"/>
          <w:szCs w:val="30"/>
        </w:rPr>
        <w:t xml:space="preserve">CHAPTER 6: RESULTS AND DISCUSSION</w:t>
      </w:r>
    </w:p>
    <w:p>
      <w:pPr>
        <w:pStyle w:val="Heading2"/>
        <w:keepNext/>
        <w:spacing w:after="120" w:before="260"/>
      </w:pPr>
      <w:r>
        <w:rPr>
          <w:rFonts w:ascii="Arial" w:cs="Nirmala UI" w:eastAsia="Arial" w:hAnsi="Arial"/>
          <w:b/>
          <w:bCs/>
          <w:sz w:val="26"/>
          <w:szCs w:val="26"/>
        </w:rPr>
        <w:t xml:space="preserve">6.1 E1 – Generic Similarity vs LMP Models</w:t>
      </w:r>
    </w:p>
    <w:p>
      <w:pPr>
        <w:keepNext/>
        <w:spacing w:after="60" w:before="160"/>
        <w:jc w:val="center"/>
      </w:pPr>
      <w:r>
        <w:drawing>
          <wp:inline distT="0" distB="0" distL="0" distR="0">
            <wp:extent cx="54864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590800"/>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6.1: Pearson correlation with LMP labels (5-fold grouped CV, n = 320)</w:t>
      </w:r>
    </w:p>
    <w:p>
      <w:pPr>
        <w:keepNext/>
        <w:spacing w:after="80" w:before="200"/>
        <w:jc w:val="center"/>
      </w:pPr>
      <w:r>
        <w:rPr>
          <w:rFonts w:ascii="Arial" w:cs="Nirmala UI" w:eastAsia="Arial" w:hAnsi="Arial"/>
          <w:b/>
          <w:bCs/>
          <w:sz w:val="21"/>
          <w:szCs w:val="21"/>
        </w:rPr>
        <w:t xml:space="preserve">Table 6.1: E1 – full comparison (learned models: mean ± s.d. over 3 seeds)</w:t>
      </w:r>
    </w:p>
    <w:tbl>
      <w:tblPr>
        <w:tblW w:type="dxa" w:w="9308"/>
        <w:tblBorders>
          <w:top w:val="single" w:color="auto" w:sz="4"/>
          <w:left w:val="single" w:color="auto" w:sz="4"/>
          <w:bottom w:val="single" w:color="auto" w:sz="4"/>
          <w:right w:val="single" w:color="auto" w:sz="4"/>
          <w:insideH w:val="single" w:color="auto" w:sz="4"/>
          <w:insideV w:val="single" w:color="auto" w:sz="4"/>
        </w:tblBorders>
      </w:tblPr>
      <w:tblGrid>
        <w:gridCol w:w="2792"/>
        <w:gridCol w:w="1210"/>
        <w:gridCol w:w="1117"/>
        <w:gridCol w:w="931"/>
        <w:gridCol w:w="931"/>
        <w:gridCol w:w="1210"/>
        <w:gridCol w:w="1117"/>
      </w:tblGrid>
      <w:tr>
        <w:trPr>
          <w:cantSplit/>
          <w:tblHeader/>
        </w:trPr>
        <w:tc>
          <w:tcPr>
            <w:tcW w:type="dxa" w:w="279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System</w:t>
            </w:r>
          </w:p>
        </w:tc>
        <w:tc>
          <w:tcPr>
            <w:tcW w:type="dxa" w:w="121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Pearson r</w:t>
            </w:r>
          </w:p>
        </w:tc>
        <w:tc>
          <w:tcPr>
            <w:tcW w:type="dxa" w:w="111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Spearman ρ</w:t>
            </w:r>
          </w:p>
        </w:tc>
        <w:tc>
          <w:tcPr>
            <w:tcW w:type="dxa" w:w="93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RMSE</w:t>
            </w:r>
          </w:p>
        </w:tc>
        <w:tc>
          <w:tcPr>
            <w:tcW w:type="dxa" w:w="93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MAE</w:t>
            </w:r>
          </w:p>
        </w:tc>
        <w:tc>
          <w:tcPr>
            <w:tcW w:type="dxa" w:w="121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Decision F1</w:t>
            </w:r>
          </w:p>
        </w:tc>
        <w:tc>
          <w:tcPr>
            <w:tcW w:type="dxa" w:w="111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NP-F1</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chrF</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0.36</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3.38</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3.00</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0.28</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0.25</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Embedding cosine</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0.18</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0.16</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3.58</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3.38</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0.06</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Token-align. F1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0.18</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0.19</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3.58</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3.39</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0.04</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0.00</w:t>
            </w:r>
          </w:p>
        </w:tc>
      </w:tr>
      <w:tr>
        <w:trPr>
          <w:cantSplit/>
          <w:tblHeader w:val="false"/>
        </w:trPr>
        <w:tc>
          <w:tcPr>
            <w:tcW w:type="dxa" w:w="2792"/>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LegalDiff-GBR</w:t>
            </w:r>
          </w:p>
        </w:tc>
        <w:tc>
          <w:tcPr>
            <w:tcW w:type="dxa" w:w="1210"/>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0.60 ±0.01</w:t>
            </w:r>
          </w:p>
        </w:tc>
        <w:tc>
          <w:tcPr>
            <w:tcW w:type="dxa" w:w="1117"/>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0.58</w:t>
            </w:r>
          </w:p>
        </w:tc>
        <w:tc>
          <w:tcPr>
            <w:tcW w:type="dxa" w:w="931"/>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2.94</w:t>
            </w:r>
          </w:p>
        </w:tc>
        <w:tc>
          <w:tcPr>
            <w:tcW w:type="dxa" w:w="931"/>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2.24</w:t>
            </w:r>
          </w:p>
        </w:tc>
        <w:tc>
          <w:tcPr>
            <w:tcW w:type="dxa" w:w="1210"/>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0.53</w:t>
            </w:r>
          </w:p>
        </w:tc>
        <w:tc>
          <w:tcPr>
            <w:tcW w:type="dxa" w:w="1117"/>
            <w:tcBorders>
              <w:top w:val="single" w:color="8A8A8A" w:sz="4"/>
              <w:left w:val="single" w:color="8A8A8A" w:sz="4"/>
              <w:bottom w:val="single" w:color="8A8A8A" w:sz="4"/>
              <w:right w:val="single" w:color="8A8A8A" w:sz="4"/>
            </w:tcBorders>
            <w:shd w:fill="EAF3F1"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0.61</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 (text)</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0.12 ±0.01</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0.08</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4.50</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3.45</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0.35</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ML-JudgeBERT+LegalDiff</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0.44 ±0.02</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0.45</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3.82</w:t>
            </w:r>
          </w:p>
        </w:tc>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2.63</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0.42</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0.46</w:t>
            </w:r>
          </w:p>
        </w:tc>
      </w:tr>
    </w:tbl>
    <w:p>
      <w:pPr>
        <w:spacing w:after="160"/>
      </w:pPr>
    </w:p>
    <w:p>
      <w:pPr>
        <w:spacing w:after="140" w:line="300"/>
        <w:jc w:val="both"/>
      </w:pPr>
      <w:r>
        <w:rPr>
          <w:rFonts w:ascii="Arial" w:cs="Nirmala UI" w:eastAsia="Arial" w:hAnsi="Arial"/>
          <w:sz w:val="23"/>
          <w:szCs w:val="23"/>
        </w:rPr>
        <w:t xml:space="preserve">LegalDiff-GBR is the best system on every metric. Generic metrics vary little between faithful and corrupted rewrites, so after calibration their predictions sit in the middle of the scale and rarely cross the “Not Preserved” threshold (NP-F1 ≤ 0.25). The cross-encoder trained from scratch learns little from 256 training pairs on its own (r = 0.12), but fusing LegalDiff raises it to 0.44.</w:t>
      </w:r>
    </w:p>
    <w:p>
      <w:pPr>
        <w:pStyle w:val="Heading2"/>
        <w:keepNext/>
        <w:spacing w:after="120" w:before="260"/>
      </w:pPr>
      <w:r>
        <w:rPr>
          <w:rFonts w:ascii="Arial" w:cs="Nirmala UI" w:eastAsia="Arial" w:hAnsi="Arial"/>
          <w:b/>
          <w:bCs/>
          <w:sz w:val="26"/>
          <w:szCs w:val="26"/>
        </w:rPr>
        <w:t xml:space="preserve">6.2 E2 – English vs Hindi</w:t>
      </w:r>
    </w:p>
    <w:p>
      <w:pPr>
        <w:keepNext/>
        <w:spacing w:after="60" w:before="160"/>
        <w:jc w:val="center"/>
      </w:pPr>
      <w:r>
        <w:drawing>
          <wp:inline distT="0" distB="0" distL="0" distR="0">
            <wp:extent cx="54864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352675"/>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6.2: Pearson r by language</w:t>
      </w:r>
    </w:p>
    <w:p>
      <w:pPr>
        <w:keepNext/>
        <w:spacing w:after="80" w:before="200"/>
        <w:jc w:val="center"/>
      </w:pPr>
      <w:r>
        <w:rPr>
          <w:rFonts w:ascii="Arial" w:cs="Nirmala UI" w:eastAsia="Arial" w:hAnsi="Arial"/>
          <w:b/>
          <w:bCs/>
          <w:sz w:val="21"/>
          <w:szCs w:val="21"/>
        </w:rPr>
        <w:t xml:space="preserve">Table 6.2: E2/E3 – transfer across language, domain and to human-labelled FrJUDGE (Pearson 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1210"/>
        <w:gridCol w:w="1582"/>
        <w:gridCol w:w="1675"/>
        <w:gridCol w:w="2047"/>
      </w:tblGrid>
      <w:tr>
        <w:trPr>
          <w:cantSplit/>
          <w:tblHeader/>
        </w:trPr>
        <w:tc>
          <w:tcPr>
            <w:tcW w:type="dxa" w:w="279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Train → test</w:t>
            </w:r>
          </w:p>
        </w:tc>
        <w:tc>
          <w:tcPr>
            <w:tcW w:type="dxa" w:w="121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chrF</w:t>
            </w:r>
          </w:p>
        </w:tc>
        <w:tc>
          <w:tcPr>
            <w:tcW w:type="dxa" w:w="158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Emb. cosine</w:t>
            </w:r>
          </w:p>
        </w:tc>
        <w:tc>
          <w:tcPr>
            <w:tcW w:type="dxa" w:w="1675"/>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LegalDiff-GBR</w:t>
            </w:r>
          </w:p>
        </w:tc>
        <w:tc>
          <w:tcPr>
            <w:tcW w:type="dxa" w:w="204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ML-JudgeBERT + LegalDiff</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EN→HI</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0.39</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0.04</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0.48</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0.36</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HI→EN</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0.26</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0.54</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0.42</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EN→EN</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0.35</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0.55</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0.39</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HI→HI</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0.25</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0.50</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0.34</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Ins.→Ten.</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0.40</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0.20</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0.55</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0.51</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Ten.→Ins.</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0.36</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0.17</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0.57</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0.38</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EnHi→FrJUDGE</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0.47</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-0.17</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0.56</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0.59</w:t>
            </w:r>
          </w:p>
        </w:tc>
      </w:tr>
      <w:tr>
        <w:trPr>
          <w:cantSplit/>
          <w:tblHeader w:val="false"/>
        </w:trPr>
        <w:tc>
          <w:tcPr>
            <w:tcW w:type="dxa" w:w="279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FrJUDGE→FrJUDGE</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0.47</w:t>
            </w:r>
          </w:p>
        </w:tc>
        <w:tc>
          <w:tcPr>
            <w:tcW w:type="dxa" w:w="158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-0.17</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0.60</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0.48</w:t>
            </w:r>
          </w:p>
        </w:tc>
      </w:tr>
    </w:tbl>
    <w:p>
      <w:pPr>
        <w:spacing w:after="160"/>
      </w:pPr>
    </w:p>
    <w:p>
      <w:pPr>
        <w:spacing w:after="140" w:line="300"/>
        <w:jc w:val="both"/>
      </w:pPr>
      <w:r>
        <w:rPr>
          <w:rFonts w:ascii="Arial" w:cs="Nirmala UI" w:eastAsia="Arial" w:hAnsi="Arial"/>
          <w:sz w:val="23"/>
          <w:szCs w:val="23"/>
        </w:rPr>
        <w:t xml:space="preserve">Embedding similarity loses almost half its correlation on Hindi (0.38 → 0.21) because its English-centric tokenizer splits Devanagari into characters. LegalDiff-GBR is language-stable (0.60 English, 0.59 Hindi) and transfers across languages with little loss: trained on English it scores 0.48 on Hindi, and trained on Hindi it scores 0.54 on English.</w:t>
      </w:r>
    </w:p>
    <w:p>
      <w:pPr>
        <w:pStyle w:val="Heading2"/>
        <w:keepNext/>
        <w:spacing w:after="120" w:before="260"/>
      </w:pPr>
      <w:r>
        <w:rPr>
          <w:rFonts w:ascii="Arial" w:cs="Nirmala UI" w:eastAsia="Arial" w:hAnsi="Arial"/>
          <w:b/>
          <w:bCs/>
          <w:sz w:val="26"/>
          <w:szCs w:val="26"/>
        </w:rPr>
        <w:t xml:space="preserve">6.3 E3 – New Domain and Human-Labelled French Data</w:t>
      </w:r>
    </w:p>
    <w:p>
      <w:pPr>
        <w:spacing w:after="140" w:line="300"/>
        <w:jc w:val="both"/>
      </w:pPr>
      <w:r>
        <w:rPr>
          <w:rFonts w:ascii="Arial" w:cs="Nirmala UI" w:eastAsia="Arial" w:hAnsi="Arial"/>
          <w:sz w:val="23"/>
          <w:szCs w:val="23"/>
        </w:rPr>
        <w:t xml:space="preserve">Moving from insurance to tenancy, or the reverse, costs LegalDiff-GBR at most 0.06. The strongest evidence comes from FrJUDGE, whose labels are genuine human judgements: models trained only on EnHi-LMP reach r = 0.56 (LegalDiff-GBR) and 0.59 (ML-JudgeBERT + LegalDiff), while embedding cosine is negatively correlated (−0.17). Trained on FrJUDGE itself, LegalDiff-GBR reaches r = 0.60 with RMSE 1.96.</w:t>
      </w:r>
    </w:p>
    <w:p>
      <w:pPr>
        <w:pStyle w:val="Heading2"/>
        <w:keepNext/>
        <w:spacing w:after="120" w:before="260"/>
      </w:pPr>
      <w:r>
        <w:rPr>
          <w:rFonts w:ascii="Arial" w:cs="Nirmala UI" w:eastAsia="Arial" w:hAnsi="Arial"/>
          <w:b/>
          <w:bCs/>
          <w:sz w:val="26"/>
          <w:szCs w:val="26"/>
        </w:rPr>
        <w:t xml:space="preserve">6.4 E4 – Sanity Checks</w:t>
      </w:r>
    </w:p>
    <w:p>
      <w:pPr>
        <w:keepNext/>
        <w:spacing w:after="80" w:before="200"/>
        <w:jc w:val="center"/>
      </w:pPr>
      <w:r>
        <w:rPr>
          <w:rFonts w:ascii="Arial" w:cs="Nirmala UI" w:eastAsia="Arial" w:hAnsi="Arial"/>
          <w:b/>
          <w:bCs/>
          <w:sz w:val="21"/>
          <w:szCs w:val="21"/>
        </w:rPr>
        <w:t xml:space="preserve">Table 6.3: E4 – mean prediction on identical (gold 10) and unrelated (gold 1) pairs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1396"/>
        <w:gridCol w:w="1396"/>
        <w:gridCol w:w="1396"/>
        <w:gridCol w:w="1396"/>
      </w:tblGrid>
      <w:tr>
        <w:trPr>
          <w:cantSplit/>
          <w:tblHeader/>
        </w:trPr>
        <w:tc>
          <w:tcPr>
            <w:tcW w:type="dxa" w:w="372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System</w:t>
            </w:r>
          </w:p>
        </w:tc>
        <w:tc>
          <w:tcPr>
            <w:tcW w:type="dxa" w:w="139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Identical</w:t>
            </w:r>
          </w:p>
        </w:tc>
        <w:tc>
          <w:tcPr>
            <w:tcW w:type="dxa" w:w="139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 9</w:t>
            </w:r>
          </w:p>
        </w:tc>
        <w:tc>
          <w:tcPr>
            <w:tcW w:type="dxa" w:w="139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Unrelated</w:t>
            </w:r>
          </w:p>
        </w:tc>
        <w:tc>
          <w:tcPr>
            <w:tcW w:type="dxa" w:w="1396"/>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 2</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chrF</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10.00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100%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2.89</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4%</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Embedding cosine</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7.10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4.36</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20%</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Token-align. F1</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7.15</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5.20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LegalDiff-GBR</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9.99</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100%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1.22</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94%</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 (text)</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9.41</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80%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4.78</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19%</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ML-JudgeBERT+LegalDiff</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9.98</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100%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1.70</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82%</w:t>
            </w:r>
          </w:p>
        </w:tc>
      </w:tr>
      <w:tr>
        <w:trPr>
          <w:cantSplit/>
          <w:tblHeader w:val="false"/>
        </w:trPr>
        <w:tc>
          <w:tcPr>
            <w:tcW w:type="dxa" w:w="372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ML-JudgeBERT+LegalDiff (no augmentation)</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9.92</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99%</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1.88</w:t>
            </w:r>
          </w:p>
        </w:tc>
        <w:tc>
          <w:tcPr>
            <w:tcW w:type="dxa" w:w="1396"/>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74%</w:t>
            </w:r>
          </w:p>
        </w:tc>
      </w:tr>
    </w:tbl>
    <w:p>
      <w:pPr>
        <w:spacing w:after="160"/>
      </w:pPr>
    </w:p>
    <w:p>
      <w:pPr>
        <w:spacing w:after="140" w:line="300"/>
        <w:jc w:val="both"/>
      </w:pPr>
      <w:r>
        <w:rPr>
          <w:rFonts w:ascii="Arial" w:cs="Nirmala UI" w:eastAsia="Arial" w:hAnsi="Arial"/>
          <w:sz w:val="23"/>
          <w:szCs w:val="23"/>
        </w:rPr>
        <w:t xml:space="preserve">Models trained with augmentation place identical pairs at about 10 and unrelated pairs at 1.2–1.7. Embedding similarity fails both checks: identical pairs get only 7.1 after calibration, and unrelated Hindi pairs get 6.6 out of 10.</w:t>
      </w:r>
    </w:p>
    <w:p>
      <w:pPr>
        <w:pStyle w:val="Heading2"/>
        <w:keepNext/>
        <w:spacing w:after="120" w:before="260"/>
      </w:pPr>
      <w:r>
        <w:rPr>
          <w:rFonts w:ascii="Arial" w:cs="Nirmala UI" w:eastAsia="Arial" w:hAnsi="Arial"/>
          <w:b/>
          <w:bCs/>
          <w:sz w:val="26"/>
          <w:szCs w:val="26"/>
        </w:rPr>
        <w:t xml:space="preserve">6.5 E5 – Error Analysis and Explanations</w:t>
      </w:r>
    </w:p>
    <w:p>
      <w:pPr>
        <w:keepNext/>
        <w:spacing w:after="60" w:before="160"/>
        <w:jc w:val="center"/>
      </w:pPr>
      <w:r>
        <w:drawing>
          <wp:inline distT="0" distB="0" distL="0" distR="0">
            <wp:extent cx="54864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352675"/>
                    </a:xfrm>
                    <a:prstGeom prst="rect">
                      <a:avLst/>
                    </a:prstGeom>
                  </pic:spPr>
                </pic:pic>
              </a:graphicData>
            </a:graphic>
          </wp:inline>
        </w:drawing>
      </w:r>
    </w:p>
    <w:p>
      <w:pPr>
        <w:keepNext w:val="false"/>
        <w:spacing w:after="220" w:before="80"/>
        <w:jc w:val="center"/>
      </w:pPr>
      <w:r>
        <w:rPr>
          <w:rFonts w:ascii="Arial" w:cs="Nirmala UI" w:eastAsia="Arial" w:hAnsi="Arial"/>
          <w:b/>
          <w:bCs/>
          <w:sz w:val="21"/>
          <w:szCs w:val="21"/>
        </w:rPr>
        <w:t xml:space="preserve">Figure 6.3: Mean predicted LMP by gold error type</w:t>
      </w:r>
    </w:p>
    <w:p>
      <w:pPr>
        <w:keepNext/>
        <w:spacing w:after="80" w:before="200"/>
        <w:jc w:val="center"/>
      </w:pPr>
      <w:r>
        <w:rPr>
          <w:rFonts w:ascii="Arial" w:cs="Nirmala UI" w:eastAsia="Arial" w:hAnsi="Arial"/>
          <w:b/>
          <w:bCs/>
          <w:sz w:val="21"/>
          <w:szCs w:val="21"/>
        </w:rPr>
        <w:t xml:space="preserve">Table 6.4: Explanation quality per error type (LegalDiff-GBR scores)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1489"/>
        <w:gridCol w:w="1489"/>
        <w:gridCol w:w="1489"/>
        <w:gridCol w:w="1489"/>
      </w:tblGrid>
      <w:tr>
        <w:trPr>
          <w:cantSplit/>
          <w:tblHeader/>
        </w:trPr>
        <w:tc>
          <w:tcPr>
            <w:tcW w:type="dxa" w:w="335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8"/>
                <w:szCs w:val="18"/>
              </w:rPr>
              <w:t xml:space="preserve">Type</w:t>
            </w:r>
          </w:p>
        </w:tc>
        <w:tc>
          <w:tcPr>
            <w:tcW w:type="dxa" w:w="148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n</w:t>
            </w:r>
          </w:p>
        </w:tc>
        <w:tc>
          <w:tcPr>
            <w:tcW w:type="dxa" w:w="148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Precision</w:t>
            </w:r>
          </w:p>
        </w:tc>
        <w:tc>
          <w:tcPr>
            <w:tcW w:type="dxa" w:w="148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Recall</w:t>
            </w:r>
          </w:p>
        </w:tc>
        <w:tc>
          <w:tcPr>
            <w:tcW w:type="dxa" w:w="148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8"/>
                <w:szCs w:val="18"/>
              </w:rPr>
              <w:t xml:space="preserve">F1</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NONE</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160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0.82</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0.69</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0.75</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SCOPE</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22</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0.00</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DATE</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0.61</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0.55</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0.58</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OMIT_COND</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20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0.32</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0.31</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ENTITY</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16</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0.37</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0.81</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0.51</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HALLUC</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16</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0.18</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0.12</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0.15</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MINOR</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16</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0.23</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0.44</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0.30</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MODALITY</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16</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0.43</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0.56</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0.49</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NEGATION</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14</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0.29</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EXC_REMOVED</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12</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1.00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0.50</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0.67</w:t>
            </w:r>
          </w:p>
        </w:tc>
      </w:tr>
      <w:tr>
        <w:trPr>
          <w:cantSplit/>
          <w:tblHeader w:val="false"/>
        </w:trPr>
        <w:tc>
          <w:tcPr>
            <w:tcW w:type="dxa" w:w="335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8"/>
                <w:szCs w:val="18"/>
              </w:rPr>
              <w:t xml:space="preserve">NUMBER</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8</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0.75</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0.38</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8"/>
                <w:szCs w:val="18"/>
              </w:rPr>
              <w:t xml:space="preserve">0.50</w:t>
            </w:r>
          </w:p>
        </w:tc>
      </w:tr>
    </w:tbl>
    <w:p>
      <w:pPr>
        <w:spacing w:after="160"/>
      </w:pPr>
    </w:p>
    <w:p>
      <w:pPr>
        <w:spacing w:after="140" w:line="300"/>
        <w:jc w:val="both"/>
      </w:pPr>
      <w:r>
        <w:rPr>
          <w:rFonts w:ascii="Arial" w:cs="Nirmala UI" w:eastAsia="Arial" w:hAnsi="Arial"/>
          <w:sz w:val="23"/>
          <w:szCs w:val="23"/>
        </w:rPr>
        <w:t xml:space="preserve">The explainer detects that a legal error is present with precision 0.74, recall 0.85 and F1 0.79, and names the exact error type for 40% of corrupted pairs (11-class macro-F1 0.41). Exceptions, dates, parties, numbers and modality are explained best; scope changes and hallucinated content are hardest because they have no single marker word.</w:t>
      </w:r>
    </w:p>
    <w:p>
      <w:pPr>
        <w:keepNext/>
        <w:spacing w:after="80" w:before="200"/>
        <w:jc w:val="center"/>
      </w:pPr>
      <w:r>
        <w:rPr>
          <w:rFonts w:ascii="Arial" w:cs="Nirmala UI" w:eastAsia="Arial" w:hAnsi="Arial"/>
          <w:b/>
          <w:bCs/>
          <w:sz w:val="21"/>
          <w:szCs w:val="21"/>
        </w:rPr>
        <w:t xml:space="preserve">Table 6.5: Qualitative analysis of 18 legally difficult cases (× = wrong predicted type)</w:t>
      </w:r>
    </w:p>
    <w:tbl>
      <w:tblPr>
        <w:tblW w:type="dxa" w:w="9304"/>
        <w:tblBorders>
          <w:top w:val="single" w:color="auto" w:sz="4"/>
          <w:left w:val="single" w:color="auto" w:sz="4"/>
          <w:bottom w:val="single" w:color="auto" w:sz="4"/>
          <w:right w:val="single" w:color="auto" w:sz="4"/>
          <w:insideH w:val="single" w:color="auto" w:sz="4"/>
          <w:insideV w:val="single" w:color="auto" w:sz="4"/>
        </w:tblBorders>
      </w:tblPr>
      <w:tblGrid>
        <w:gridCol w:w="372"/>
        <w:gridCol w:w="558"/>
        <w:gridCol w:w="1117"/>
        <w:gridCol w:w="3164"/>
        <w:gridCol w:w="558"/>
        <w:gridCol w:w="558"/>
        <w:gridCol w:w="558"/>
        <w:gridCol w:w="558"/>
        <w:gridCol w:w="651"/>
        <w:gridCol w:w="1210"/>
      </w:tblGrid>
      <w:tr>
        <w:trPr>
          <w:cantSplit/>
          <w:tblHeader/>
        </w:trPr>
        <w:tc>
          <w:tcPr>
            <w:tcW w:type="dxa" w:w="372"/>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w:t>
            </w:r>
          </w:p>
        </w:tc>
        <w:tc>
          <w:tcPr>
            <w:tcW w:type="dxa" w:w="55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Lang</w:t>
            </w:r>
          </w:p>
        </w:tc>
        <w:tc>
          <w:tcPr>
            <w:tcW w:type="dxa" w:w="111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5"/>
                <w:szCs w:val="15"/>
              </w:rPr>
              <w:t xml:space="preserve">Gold type</w:t>
            </w:r>
          </w:p>
        </w:tc>
        <w:tc>
          <w:tcPr>
            <w:tcW w:type="dxa" w:w="3164"/>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5"/>
                <w:szCs w:val="15"/>
              </w:rPr>
              <w:t xml:space="preserve">Legal change</w:t>
            </w:r>
          </w:p>
        </w:tc>
        <w:tc>
          <w:tcPr>
            <w:tcW w:type="dxa" w:w="55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Gold</w:t>
            </w:r>
          </w:p>
        </w:tc>
        <w:tc>
          <w:tcPr>
            <w:tcW w:type="dxa" w:w="55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chrF</w:t>
            </w:r>
          </w:p>
        </w:tc>
        <w:tc>
          <w:tcPr>
            <w:tcW w:type="dxa" w:w="55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Emb.</w:t>
            </w:r>
          </w:p>
        </w:tc>
        <w:tc>
          <w:tcPr>
            <w:tcW w:type="dxa" w:w="558"/>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GBR</w:t>
            </w:r>
          </w:p>
        </w:tc>
        <w:tc>
          <w:tcPr>
            <w:tcW w:type="dxa" w:w="65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5"/>
                <w:szCs w:val="15"/>
              </w:rPr>
              <w:t xml:space="preserve">Hybrid</w:t>
            </w:r>
          </w:p>
        </w:tc>
        <w:tc>
          <w:tcPr>
            <w:tcW w:type="dxa" w:w="121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5"/>
                <w:szCs w:val="15"/>
              </w:rPr>
              <w:t xml:space="preserve">Predicted</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MODALITY</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“must not” use for hire unless covered → “may” use unless excluded</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4.2</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9.2</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SCOPE×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ENTITY</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benefit goes to nominee on policyholder's death → roles swapped</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5.2</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6.2</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ENTITY</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3</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NEGATION</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landlord shall not cut water/power → may cut if rent unpaid</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4.5</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9.3</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NEGATION</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OMIT_COND</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entry after 24-h notice, 8 a.m.–8 p.m. → any time, no notice</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6.9</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2.7</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1.3</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NEGATION×</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HALLUC</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eviction only by legal procedure → after 7 days' notice</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6.8</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6.0</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1.4</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ENTITY×</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ENTITY</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benefit goes to nominee on policyholder's death → roles swapped</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8.3</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6.5</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7.9</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9.9</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NEGATION</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“does not cover” wear and tear → “pays for” it</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8.8</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8.9</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9.9</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newborn covered from 91st day → from day of birth</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5.1</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EXC_REMOVED</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liable for damage, wear and tear excepted → including wear and tear</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5.7</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5.4</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5.3</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EXC_REMOVED</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SCOPE</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insurer pays rateable share → pays entire loss</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5.9</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MINOR×</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NUMBER</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deposit ≤ 2 months' rent → ≤ 6 months' rent</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4.9</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6.9</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2.3</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six-month lock-in → three-month lock-in</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5.5</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10.0</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13</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NUMBER</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deductible Rs 5,000 → Rs 50,000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8.4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5.3</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9.4</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NUMBER</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OMIT_COND</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entry after 24-h notice, 8 a.m.–8 p.m. → any time, no notice</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4.6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3.5</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DATE×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15</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HALLUC</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eviction only by legal procedure → after 7 days' notice</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5.4</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3.6</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1.0</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MODALITY×</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16</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EXC_REMOVED</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 hazardous goods except cooking gas → including cooking gas</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7.7</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6.1</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7.6</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9.8</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17</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HI</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faithful: rent +5% after every 11 months</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2.0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6.2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1.8</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5.4</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HALLUC×</w:t>
            </w:r>
          </w:p>
        </w:tc>
      </w:tr>
      <w:tr>
        <w:trPr>
          <w:cantSplit/>
          <w:tblHeader w:val="false"/>
        </w:trPr>
        <w:tc>
          <w:tcPr>
            <w:tcW w:type="dxa" w:w="372"/>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18</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EN</w:t>
            </w:r>
          </w:p>
        </w:tc>
        <w:tc>
          <w:tcPr>
            <w:tcW w:type="dxa" w:w="111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c>
          <w:tcPr>
            <w:tcW w:type="dxa" w:w="3164"/>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faithful: rent +5% after every 11 months</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10</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3.2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5.2</w:t>
            </w:r>
          </w:p>
        </w:tc>
        <w:tc>
          <w:tcPr>
            <w:tcW w:type="dxa" w:w="558"/>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9.0</w:t>
            </w:r>
          </w:p>
        </w:tc>
        <w:tc>
          <w:tcPr>
            <w:tcW w:type="dxa" w:w="65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5"/>
                <w:szCs w:val="15"/>
              </w:rPr>
              <w:t xml:space="preserve">7.1</w:t>
            </w:r>
          </w:p>
        </w:tc>
        <w:tc>
          <w:tcPr>
            <w:tcW w:type="dxa" w:w="121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5"/>
                <w:szCs w:val="15"/>
              </w:rPr>
              <w:t xml:space="preserve">NONE</w:t>
            </w:r>
          </w:p>
        </w:tc>
      </w:tr>
    </w:tbl>
    <w:p>
      <w:pPr>
        <w:spacing w:after="160"/>
      </w:pPr>
    </w:p>
    <w:p>
      <w:pPr>
        <w:pStyle w:val="Heading2"/>
        <w:keepNext/>
        <w:spacing w:after="120" w:before="260"/>
      </w:pPr>
      <w:r>
        <w:rPr>
          <w:rFonts w:ascii="Arial" w:cs="Nirmala UI" w:eastAsia="Arial" w:hAnsi="Arial"/>
          <w:b/>
          <w:bCs/>
          <w:sz w:val="26"/>
          <w:szCs w:val="26"/>
        </w:rPr>
        <w:t xml:space="preserve">Discussion</w:t>
      </w:r>
    </w:p>
    <w:p>
      <w:pPr>
        <w:spacing w:after="140" w:line="300"/>
        <w:jc w:val="both"/>
      </w:pPr>
      <w:r>
        <w:rPr>
          <w:rFonts w:ascii="Arial" w:cs="Nirmala UI" w:eastAsia="Arial" w:hAnsi="Arial"/>
          <w:sz w:val="23"/>
          <w:szCs w:val="23"/>
        </w:rPr>
        <w:t xml:space="preserve">The results answer the research question. A model that represents legal differences explicitly captures legal meaning far better than generic similarity, in both languages, across domains and on independent human judgements. The JUDGEBERT-style cross-encoder is competitive only once it receives legal features, which is consistent with the base paper’s use of a pretrained encoder: our encoder had to learn English, Hindi and legal semantics from 256 pairs. Typical failures are polarity flips through a verb (“does not cover” → “pays for”), party swaps that keep the same role words, and faithful Hindi paraphrases that reorder the clause. The main caveat is that EnHi-LMP scores are silver labels; the FrJUDGE results, based on human labels, provide independent support.</w:t>
      </w:r>
    </w:p>
    <w:p>
      <w:r>
        <w:br w:type="page"/>
      </w:r>
    </w:p>
    <w:p>
      <w:pPr>
        <w:pStyle w:val="Heading1"/>
        <w:spacing w:after="260" w:before="120"/>
        <w:jc w:val="center"/>
      </w:pPr>
      <w:r>
        <w:rPr>
          <w:rFonts w:ascii="Arial" w:cs="Nirmala UI" w:eastAsia="Arial" w:hAnsi="Arial"/>
          <w:b/>
          <w:bCs/>
          <w:sz w:val="30"/>
          <w:szCs w:val="30"/>
        </w:rPr>
        <w:t xml:space="preserve">CHAPTER 7: ETHICAL AND SOCIETAL CONSIDERATIONS</w:t>
      </w:r>
    </w:p>
    <w:p>
      <w:pPr>
        <w:spacing w:after="140" w:line="300"/>
        <w:jc w:val="both"/>
      </w:pPr>
      <w:r>
        <w:rPr>
          <w:rFonts w:ascii="Arial" w:cs="Nirmala UI" w:eastAsia="Arial" w:hAnsi="Arial"/>
          <w:b/>
          <w:bCs/>
          <w:sz w:val="23"/>
          <w:szCs w:val="23"/>
        </w:rPr>
        <w:t xml:space="preserve">Fairness and language equity:</w:t>
      </w:r>
      <w:r>
        <w:rPr>
          <w:rFonts w:ascii="Arial" w:cs="Nirmala UI" w:eastAsia="Arial" w:hAnsi="Arial"/>
          <w:sz w:val="23"/>
          <w:szCs w:val="23"/>
        </w:rPr>
        <w:t xml:space="preserve"> the system is evaluated separately for English and Hindi, and the selected model performs equally in both (0.60 vs 0.59), unlike generic metrics, which are much weaker in Hindi.</w:t>
      </w:r>
    </w:p>
    <w:p>
      <w:pPr>
        <w:spacing w:after="140" w:line="300"/>
        <w:jc w:val="both"/>
      </w:pPr>
      <w:r>
        <w:rPr>
          <w:rFonts w:ascii="Arial" w:cs="Nirmala UI" w:eastAsia="Arial" w:hAnsi="Arial"/>
          <w:b/>
          <w:bCs/>
          <w:sz w:val="23"/>
          <w:szCs w:val="23"/>
        </w:rPr>
        <w:t xml:space="preserve">Reliability:</w:t>
      </w:r>
      <w:r>
        <w:rPr>
          <w:rFonts w:ascii="Arial" w:cs="Nirmala UI" w:eastAsia="Arial" w:hAnsi="Arial"/>
          <w:sz w:val="23"/>
          <w:szCs w:val="23"/>
        </w:rPr>
        <w:t xml:space="preserve"> sanity checks, grouped cross-validation and three seeds guard against overconfident numbers. Out-of-domain inputs, such as the loan clauses in the demo, are a known weakness and are reported openly.</w:t>
      </w:r>
    </w:p>
    <w:p>
      <w:pPr>
        <w:spacing w:after="140" w:line="300"/>
        <w:jc w:val="both"/>
      </w:pPr>
      <w:r>
        <w:rPr>
          <w:rFonts w:ascii="Arial" w:cs="Nirmala UI" w:eastAsia="Arial" w:hAnsi="Arial"/>
          <w:b/>
          <w:bCs/>
          <w:sz w:val="23"/>
          <w:szCs w:val="23"/>
        </w:rPr>
        <w:t xml:space="preserve">Privacy:</w:t>
      </w:r>
      <w:r>
        <w:rPr>
          <w:rFonts w:ascii="Arial" w:cs="Nirmala UI" w:eastAsia="Arial" w:hAnsi="Arial"/>
          <w:sz w:val="23"/>
          <w:szCs w:val="23"/>
        </w:rPr>
        <w:t xml:space="preserve"> the dataset contains template-style clauses written for the project, with no personal or client data. Real deployments should process documents locally or under a data-processing agreement.</w:t>
      </w:r>
    </w:p>
    <w:p>
      <w:pPr>
        <w:spacing w:after="140" w:line="300"/>
        <w:jc w:val="both"/>
      </w:pPr>
      <w:r>
        <w:rPr>
          <w:rFonts w:ascii="Arial" w:cs="Nirmala UI" w:eastAsia="Arial" w:hAnsi="Arial"/>
          <w:b/>
          <w:bCs/>
          <w:sz w:val="23"/>
          <w:szCs w:val="23"/>
        </w:rPr>
        <w:t xml:space="preserve">Inclusiveness:</w:t>
      </w:r>
      <w:r>
        <w:rPr>
          <w:rFonts w:ascii="Arial" w:cs="Nirmala UI" w:eastAsia="Arial" w:hAnsi="Arial"/>
          <w:sz w:val="23"/>
          <w:szCs w:val="23"/>
        </w:rPr>
        <w:t xml:space="preserve"> the whole system runs on a laptop CPU with free software, so universities, legal-aid groups and small firms can use it without paid infrastructure.</w:t>
      </w:r>
    </w:p>
    <w:p>
      <w:pPr>
        <w:spacing w:after="140" w:line="300"/>
        <w:jc w:val="both"/>
      </w:pPr>
      <w:r>
        <w:rPr>
          <w:rFonts w:ascii="Arial" w:cs="Nirmala UI" w:eastAsia="Arial" w:hAnsi="Arial"/>
          <w:b/>
          <w:bCs/>
          <w:sz w:val="23"/>
          <w:szCs w:val="23"/>
        </w:rPr>
        <w:t xml:space="preserve">Transparency:</w:t>
      </w:r>
      <w:r>
        <w:rPr>
          <w:rFonts w:ascii="Arial" w:cs="Nirmala UI" w:eastAsia="Arial" w:hAnsi="Arial"/>
          <w:sz w:val="23"/>
          <w:szCs w:val="23"/>
        </w:rPr>
        <w:t xml:space="preserve"> every score comes with an error type and a plain-language rationale, and all code, data and results are public on GitHub.</w:t>
      </w:r>
    </w:p>
    <w:p>
      <w:pPr>
        <w:spacing w:after="140" w:line="300"/>
        <w:jc w:val="both"/>
      </w:pPr>
      <w:r>
        <w:rPr>
          <w:rFonts w:ascii="Arial" w:cs="Nirmala UI" w:eastAsia="Arial" w:hAnsi="Arial"/>
          <w:b/>
          <w:bCs/>
          <w:sz w:val="23"/>
          <w:szCs w:val="23"/>
        </w:rPr>
        <w:t xml:space="preserve">Accountability:</w:t>
      </w:r>
      <w:r>
        <w:rPr>
          <w:rFonts w:ascii="Arial" w:cs="Nirmala UI" w:eastAsia="Arial" w:hAnsi="Arial"/>
          <w:sz w:val="23"/>
          <w:szCs w:val="23"/>
        </w:rPr>
        <w:t xml:space="preserve"> the tool is a reviewer aid, not legal advice. A qualified person must approve any simplified legal text, and the decision rule is set conservatively so that risky rewrites are flagged for review.</w:t>
      </w:r>
    </w:p>
    <w:p>
      <w:r>
        <w:br w:type="page"/>
      </w:r>
    </w:p>
    <w:p>
      <w:pPr>
        <w:pStyle w:val="Heading1"/>
        <w:spacing w:after="260" w:before="120"/>
        <w:jc w:val="center"/>
      </w:pPr>
      <w:r>
        <w:rPr>
          <w:rFonts w:ascii="Arial" w:cs="Nirmala UI" w:eastAsia="Arial" w:hAnsi="Arial"/>
          <w:b/>
          <w:bCs/>
          <w:sz w:val="30"/>
          <w:szCs w:val="30"/>
        </w:rPr>
        <w:t xml:space="preserve">CHAPTER 8: CONCLUSION AND FUTURE SCOPE</w:t>
      </w:r>
    </w:p>
    <w:p>
      <w:pPr>
        <w:spacing w:after="140" w:line="300"/>
        <w:jc w:val="both"/>
      </w:pPr>
      <w:r>
        <w:rPr>
          <w:rFonts w:ascii="Arial" w:cs="Nirmala UI" w:eastAsia="Arial" w:hAnsi="Arial"/>
          <w:sz w:val="23"/>
          <w:szCs w:val="23"/>
        </w:rPr>
        <w:t xml:space="preserve">We extended JUDGEBERT’s legal meaning preservation task to English and Hindi and to tenancy law, built a 320-pair parallel dataset with typed legal errors and 320 sanity pairs, and developed a system that scores, decides and explains. Generic similarity is not a reliable legal-meaning metric (r ≤ 0.37). Explicit bilingual legal-difference modelling gives the strongest and most transferable signal: r = 0.60 on our data, 0.56–0.59 on human-labelled French data without French training, and error-detection F1 = 0.79 with readable explanations.</w:t>
      </w:r>
    </w:p>
    <w:p>
      <w:pPr>
        <w:keepNext/>
        <w:spacing w:after="80" w:before="160"/>
      </w:pPr>
      <w:r>
        <w:rPr>
          <w:rFonts w:ascii="Arial" w:cs="Nirmala UI" w:eastAsia="Arial" w:hAnsi="Arial"/>
          <w:b/>
          <w:bCs/>
          <w:sz w:val="23"/>
          <w:szCs w:val="23"/>
        </w:rPr>
        <w:t xml:space="preserve">Future scope</w:t>
      </w:r>
    </w:p>
    <w:p>
      <w:pPr>
        <w:pStyle w:val="ListParagraph"/>
        <w:numPr>
          <w:ilvl w:val="0"/>
          <w:numId w:val="4"/>
        </w:numPr>
        <w:spacing w:after="70" w:line="290"/>
        <w:jc w:val="both"/>
      </w:pPr>
      <w:r>
        <w:rPr>
          <w:rFonts w:ascii="Arial" w:cs="Nirmala UI" w:eastAsia="Arial" w:hAnsi="Arial"/>
          <w:sz w:val="23"/>
          <w:szCs w:val="23"/>
        </w:rPr>
        <w:t xml:space="preserve">Complete double human annotation of all 320 pairs, report Krippendorff’s α and re-run all experiments on human labels.</w:t>
      </w:r>
    </w:p>
    <w:p>
      <w:pPr>
        <w:pStyle w:val="ListParagraph"/>
        <w:numPr>
          <w:ilvl w:val="0"/>
          <w:numId w:val="4"/>
        </w:numPr>
        <w:spacing w:after="70" w:line="290"/>
        <w:jc w:val="both"/>
      </w:pPr>
      <w:r>
        <w:rPr>
          <w:rFonts w:ascii="Arial" w:cs="Nirmala UI" w:eastAsia="Arial" w:hAnsi="Arial"/>
          <w:sz w:val="23"/>
          <w:szCs w:val="23"/>
        </w:rPr>
        <w:t xml:space="preserve">Fine-tune pretrained multilingual encoders (XLM-R, MuRIL) on a GPU using the ready Colab notebook.</w:t>
      </w:r>
    </w:p>
    <w:p>
      <w:pPr>
        <w:pStyle w:val="ListParagraph"/>
        <w:numPr>
          <w:ilvl w:val="0"/>
          <w:numId w:val="4"/>
        </w:numPr>
        <w:spacing w:after="70" w:line="290"/>
        <w:jc w:val="both"/>
      </w:pPr>
      <w:r>
        <w:rPr>
          <w:rFonts w:ascii="Arial" w:cs="Nirmala UI" w:eastAsia="Arial" w:hAnsi="Arial"/>
          <w:sz w:val="23"/>
          <w:szCs w:val="23"/>
        </w:rPr>
        <w:t xml:space="preserve">Test on real AI-generated simplifications that may contain several errors at once.</w:t>
      </w:r>
    </w:p>
    <w:p>
      <w:pPr>
        <w:pStyle w:val="ListParagraph"/>
        <w:numPr>
          <w:ilvl w:val="0"/>
          <w:numId w:val="4"/>
        </w:numPr>
        <w:spacing w:after="70" w:line="290"/>
        <w:jc w:val="both"/>
      </w:pPr>
      <w:r>
        <w:rPr>
          <w:rFonts w:ascii="Arial" w:cs="Nirmala UI" w:eastAsia="Arial" w:hAnsi="Arial"/>
          <w:sz w:val="23"/>
          <w:szCs w:val="23"/>
        </w:rPr>
        <w:t xml:space="preserve">Add document context so that clauses can be judged against definitions and exceptions elsewhere in the contract.</w:t>
      </w:r>
    </w:p>
    <w:p>
      <w:pPr>
        <w:pStyle w:val="ListParagraph"/>
        <w:numPr>
          <w:ilvl w:val="0"/>
          <w:numId w:val="4"/>
        </w:numPr>
        <w:spacing w:after="70" w:line="290"/>
        <w:jc w:val="both"/>
      </w:pPr>
      <w:r>
        <w:rPr>
          <w:rFonts w:ascii="Arial" w:cs="Nirmala UI" w:eastAsia="Arial" w:hAnsi="Arial"/>
          <w:sz w:val="23"/>
          <w:szCs w:val="23"/>
        </w:rPr>
        <w:t xml:space="preserve">Extend to more Indian languages (Bengali, Tamil, Marathi) and domains (loans, employment, consumer law).</w:t>
      </w:r>
    </w:p>
    <w:p>
      <w:r>
        <w:br w:type="page"/>
      </w:r>
    </w:p>
    <w:p>
      <w:pPr>
        <w:pStyle w:val="Heading1"/>
        <w:spacing w:after="260" w:before="120"/>
        <w:jc w:val="center"/>
      </w:pPr>
      <w:r>
        <w:rPr>
          <w:rFonts w:ascii="Arial" w:cs="Nirmala UI" w:eastAsia="Arial" w:hAnsi="Arial"/>
          <w:b/>
          <w:bCs/>
          <w:sz w:val="30"/>
          <w:szCs w:val="30"/>
        </w:rPr>
        <w:t xml:space="preserve">CHAPTER 9: CONTRIBUTION BY EACH TEAM MEMBER</w:t>
      </w:r>
    </w:p>
    <w:p>
      <w:pPr>
        <w:keepNext/>
        <w:spacing w:after="80" w:before="200"/>
        <w:jc w:val="center"/>
      </w:pPr>
      <w:r>
        <w:rPr>
          <w:rFonts w:ascii="Arial" w:cs="Nirmala UI" w:eastAsia="Arial" w:hAnsi="Arial"/>
          <w:b/>
          <w:bCs/>
          <w:sz w:val="21"/>
          <w:szCs w:val="21"/>
        </w:rPr>
        <w:t xml:space="preserve">Table 9.1: Roles and contributions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047"/>
        <w:gridCol w:w="3909"/>
        <w:gridCol w:w="1489"/>
      </w:tblGrid>
      <w:tr>
        <w:trPr>
          <w:cantSplit/>
          <w:tblHeader/>
        </w:trPr>
        <w:tc>
          <w:tcPr>
            <w:tcW w:type="dxa" w:w="186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Member</w:t>
            </w:r>
          </w:p>
        </w:tc>
        <w:tc>
          <w:tcPr>
            <w:tcW w:type="dxa" w:w="2047"/>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Role</w:t>
            </w:r>
          </w:p>
        </w:tc>
        <w:tc>
          <w:tcPr>
            <w:tcW w:type="dxa" w:w="390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Work done</w:t>
            </w:r>
          </w:p>
        </w:tc>
        <w:tc>
          <w:tcPr>
            <w:tcW w:type="dxa" w:w="1489"/>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Enrollment No.</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Student Name 1</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Project Lead, Data and Annotation</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Scope, planning, clause writing, Hindi translation, rubric, annotation kit, GitHub, demo</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S24CSEU____</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Student Name 2</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NLP / ML Engineer</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Baselines, LegalDiff features, ML-JudgeBERT, training scripts, pretrained fine-tuning</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S24CSEU____</w:t>
            </w:r>
          </w:p>
        </w:tc>
      </w:tr>
      <w:tr>
        <w:trPr>
          <w:cantSplit/>
          <w:tblHeader w:val="false"/>
        </w:trPr>
        <w:tc>
          <w:tcPr>
            <w:tcW w:type="dxa" w:w="186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Student Name 3</w:t>
            </w:r>
          </w:p>
        </w:tc>
        <w:tc>
          <w:tcPr>
            <w:tcW w:type="dxa" w:w="2047"/>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Evaluation and Documentation</w:t>
            </w:r>
          </w:p>
        </w:tc>
        <w:tc>
          <w:tcPr>
            <w:tcW w:type="dxa" w:w="390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Experiments E1–E5, error analysis, explanations, paper, slides, report</w:t>
            </w:r>
          </w:p>
        </w:tc>
        <w:tc>
          <w:tcPr>
            <w:tcW w:type="dxa" w:w="1489"/>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S24CSEU____</w:t>
            </w:r>
          </w:p>
        </w:tc>
      </w:tr>
    </w:tbl>
    <w:p>
      <w:pPr>
        <w:spacing w:after="160"/>
      </w:pPr>
    </w:p>
    <w:p>
      <w:r>
        <w:br w:type="page"/>
      </w:r>
    </w:p>
    <w:p>
      <w:pPr>
        <w:pStyle w:val="Heading1"/>
        <w:spacing w:after="260" w:before="120"/>
        <w:jc w:val="center"/>
      </w:pPr>
      <w:r>
        <w:rPr>
          <w:rFonts w:ascii="Arial" w:cs="Nirmala UI" w:eastAsia="Arial" w:hAnsi="Arial"/>
          <w:b/>
          <w:bCs/>
          <w:sz w:val="30"/>
          <w:szCs w:val="30"/>
        </w:rPr>
        <w:t xml:space="preserve">REFERENCES</w:t>
      </w:r>
    </w:p>
    <w:p>
      <w:pPr>
        <w:tabs>
          <w:tab w:val="left" w:pos="560"/>
        </w:tabs>
        <w:spacing w:after="110"/>
        <w:ind w:left="560" w:hanging="560"/>
        <w:jc w:val="both"/>
      </w:pPr>
      <w:r>
        <w:rPr>
          <w:rFonts w:ascii="Arial" w:cs="Nirmala UI" w:eastAsia="Arial" w:hAnsi="Arial"/>
          <w:sz w:val="21"/>
          <w:szCs w:val="21"/>
        </w:rPr>
        <w:t xml:space="preserve">[1]	D. Beauchemin, M. Albert-Rochette, R. Khoury, and P.-L. Déziel, “JUDGEBERT: Assessing legal meaning preservation between sentences,” in Proc. EMNLP, 2025, pp. 92–118. Code and data: github.com/GRAAL-Research/JUDGEBERT.</w:t>
      </w:r>
    </w:p>
    <w:p>
      <w:pPr>
        <w:tabs>
          <w:tab w:val="left" w:pos="560"/>
        </w:tabs>
        <w:spacing w:after="110"/>
        <w:ind w:left="560" w:hanging="560"/>
        <w:jc w:val="both"/>
      </w:pPr>
      <w:r>
        <w:rPr>
          <w:rFonts w:ascii="Arial" w:cs="Nirmala UI" w:eastAsia="Arial" w:hAnsi="Arial"/>
          <w:sz w:val="21"/>
          <w:szCs w:val="21"/>
        </w:rPr>
        <w:t xml:space="preserve">[2]	K. Papineni, S. Roukos, T. Ward, and W.-J. Zhu, “BLEU: A method for automatic evaluation of machine translation,” in Proc. ACL, 2002, pp. 311–318.</w:t>
      </w:r>
    </w:p>
    <w:p>
      <w:pPr>
        <w:tabs>
          <w:tab w:val="left" w:pos="560"/>
        </w:tabs>
        <w:spacing w:after="110"/>
        <w:ind w:left="560" w:hanging="560"/>
        <w:jc w:val="both"/>
      </w:pPr>
      <w:r>
        <w:rPr>
          <w:rFonts w:ascii="Arial" w:cs="Nirmala UI" w:eastAsia="Arial" w:hAnsi="Arial"/>
          <w:sz w:val="21"/>
          <w:szCs w:val="21"/>
        </w:rPr>
        <w:t xml:space="preserve">[3]	M. Popović, “chrF: Character n-gram F-score for automatic MT evaluation,” in Proc. WMT, 2015, pp. 392–395.</w:t>
      </w:r>
    </w:p>
    <w:p>
      <w:pPr>
        <w:tabs>
          <w:tab w:val="left" w:pos="560"/>
        </w:tabs>
        <w:spacing w:after="110"/>
        <w:ind w:left="560" w:hanging="560"/>
        <w:jc w:val="both"/>
      </w:pPr>
      <w:r>
        <w:rPr>
          <w:rFonts w:ascii="Arial" w:cs="Nirmala UI" w:eastAsia="Arial" w:hAnsi="Arial"/>
          <w:sz w:val="21"/>
          <w:szCs w:val="21"/>
        </w:rPr>
        <w:t xml:space="preserve">[4]	W. Xu, C. Napoles, E. Pavlick, Q. Chen, and C. Callison-Burch, “Optimizing statistical machine translation for text simplification,” TACL, vol. 4, pp. 401–415, 2016.</w:t>
      </w:r>
    </w:p>
    <w:p>
      <w:pPr>
        <w:tabs>
          <w:tab w:val="left" w:pos="560"/>
        </w:tabs>
        <w:spacing w:after="110"/>
        <w:ind w:left="560" w:hanging="560"/>
        <w:jc w:val="both"/>
      </w:pPr>
      <w:r>
        <w:rPr>
          <w:rFonts w:ascii="Arial" w:cs="Nirmala UI" w:eastAsia="Arial" w:hAnsi="Arial"/>
          <w:sz w:val="21"/>
          <w:szCs w:val="21"/>
        </w:rPr>
        <w:t xml:space="preserve">[5]	N. Reimers and I. Gurevych, “Sentence-BERT: Sentence embeddings using Siamese BERT-networks,” in Proc. EMNLP-IJCNLP, 2019, pp. 3982–3992.</w:t>
      </w:r>
    </w:p>
    <w:p>
      <w:pPr>
        <w:tabs>
          <w:tab w:val="left" w:pos="560"/>
        </w:tabs>
        <w:spacing w:after="110"/>
        <w:ind w:left="560" w:hanging="560"/>
        <w:jc w:val="both"/>
      </w:pPr>
      <w:r>
        <w:rPr>
          <w:rFonts w:ascii="Arial" w:cs="Nirmala UI" w:eastAsia="Arial" w:hAnsi="Arial"/>
          <w:sz w:val="21"/>
          <w:szCs w:val="21"/>
        </w:rPr>
        <w:t xml:space="preserve">[6]	T. Zhang, V. Kishore, F. Wu, K. Q. Weinberger, and Y. Artzi, “BERTScore: Evaluating text generation with BERT,” in Proc. ICLR, 2020.</w:t>
      </w:r>
    </w:p>
    <w:p>
      <w:pPr>
        <w:tabs>
          <w:tab w:val="left" w:pos="560"/>
        </w:tabs>
        <w:spacing w:after="110"/>
        <w:ind w:left="560" w:hanging="560"/>
        <w:jc w:val="both"/>
      </w:pPr>
      <w:r>
        <w:rPr>
          <w:rFonts w:ascii="Arial" w:cs="Nirmala UI" w:eastAsia="Arial" w:hAnsi="Arial"/>
          <w:sz w:val="21"/>
          <w:szCs w:val="21"/>
        </w:rPr>
        <w:t xml:space="preserve">[7]	D. Beauchemin, H. Saggion, and R. Khoury, “MeaningBERT: Assessing meaning preservation between sentences,” Frontiers in Artificial Intelligence, vol. 6, 2023.</w:t>
      </w:r>
    </w:p>
    <w:p>
      <w:pPr>
        <w:tabs>
          <w:tab w:val="left" w:pos="560"/>
        </w:tabs>
        <w:spacing w:after="110"/>
        <w:ind w:left="560" w:hanging="560"/>
        <w:jc w:val="both"/>
      </w:pPr>
      <w:r>
        <w:rPr>
          <w:rFonts w:ascii="Arial" w:cs="Nirmala UI" w:eastAsia="Arial" w:hAnsi="Arial"/>
          <w:sz w:val="21"/>
          <w:szCs w:val="21"/>
        </w:rPr>
        <w:t xml:space="preserve">[8]	Y. Liu, D. Iter, Y. Xu, S. Wang, R. Xu, and C. Zhu, “G-Eval: NLG evaluation using GPT-4 with better human alignment,” in Proc. EMNLP, 2023, pp. 2511–2522.</w:t>
      </w:r>
    </w:p>
    <w:p>
      <w:pPr>
        <w:tabs>
          <w:tab w:val="left" w:pos="560"/>
        </w:tabs>
        <w:spacing w:after="110"/>
        <w:ind w:left="560" w:hanging="560"/>
        <w:jc w:val="both"/>
      </w:pPr>
      <w:r>
        <w:rPr>
          <w:rFonts w:ascii="Arial" w:cs="Nirmala UI" w:eastAsia="Arial" w:hAnsi="Arial"/>
          <w:sz w:val="21"/>
          <w:szCs w:val="21"/>
        </w:rPr>
        <w:t xml:space="preserve">[9]	A. Conneau et al., “Unsupervised cross-lingual representation learning at scale,” in Proc. ACL, 2020, pp. 8440–8451.</w:t>
      </w:r>
    </w:p>
    <w:p>
      <w:pPr>
        <w:tabs>
          <w:tab w:val="left" w:pos="560"/>
        </w:tabs>
        <w:spacing w:after="110"/>
        <w:ind w:left="560" w:hanging="560"/>
        <w:jc w:val="both"/>
      </w:pPr>
      <w:r>
        <w:rPr>
          <w:rFonts w:ascii="Arial" w:cs="Nirmala UI" w:eastAsia="Arial" w:hAnsi="Arial"/>
          <w:sz w:val="21"/>
          <w:szCs w:val="21"/>
        </w:rPr>
        <w:t xml:space="preserve">[10]	S. Khanuja et al., “MuRIL: Multilingual representations for Indian languages,” arXiv:2103.10730, 2021.</w:t>
      </w:r>
    </w:p>
    <w:p>
      <w:pPr>
        <w:tabs>
          <w:tab w:val="left" w:pos="560"/>
        </w:tabs>
        <w:spacing w:after="110"/>
        <w:ind w:left="560" w:hanging="560"/>
        <w:jc w:val="both"/>
      </w:pPr>
      <w:r>
        <w:rPr>
          <w:rFonts w:ascii="Arial" w:cs="Nirmala UI" w:eastAsia="Arial" w:hAnsi="Arial"/>
          <w:sz w:val="21"/>
          <w:szCs w:val="21"/>
        </w:rPr>
        <w:t xml:space="preserve">[11]	K. Krippendorff, Content Analysis: An Introduction to Its Methodology, 4th ed. Thousand Oaks, CA: SAGE, 2018.</w:t>
      </w:r>
    </w:p>
    <w:p>
      <w:pPr>
        <w:tabs>
          <w:tab w:val="left" w:pos="560"/>
        </w:tabs>
        <w:spacing w:after="110"/>
        <w:ind w:left="560" w:hanging="560"/>
        <w:jc w:val="both"/>
      </w:pPr>
      <w:r>
        <w:rPr>
          <w:rFonts w:ascii="Arial" w:cs="Nirmala UI" w:eastAsia="Arial" w:hAnsi="Arial"/>
          <w:sz w:val="21"/>
          <w:szCs w:val="21"/>
        </w:rPr>
        <w:t xml:space="preserve">[12]	Office of the Registrar General &amp; Census Commissioner, India, “Census of India 2011 – Language: Statement 1, Abstract of speakers’ strength of languages and mother tongues,” 2018.</w:t>
      </w:r>
    </w:p>
    <w:p>
      <w:r>
        <w:br w:type="page"/>
      </w:r>
    </w:p>
    <w:p>
      <w:pPr>
        <w:pStyle w:val="Heading1"/>
        <w:spacing w:after="260" w:before="120"/>
        <w:jc w:val="center"/>
      </w:pPr>
      <w:r>
        <w:rPr>
          <w:rFonts w:ascii="Arial" w:cs="Nirmala UI" w:eastAsia="Arial" w:hAnsi="Arial"/>
          <w:b/>
          <w:bCs/>
          <w:sz w:val="30"/>
          <w:szCs w:val="30"/>
        </w:rPr>
        <w:t xml:space="preserve">APPENDIX A: PRESENTATION PLAN</w:t>
      </w:r>
    </w:p>
    <w:p>
      <w:pPr>
        <w:keepNext/>
        <w:spacing w:after="80" w:before="200"/>
        <w:jc w:val="center"/>
      </w:pPr>
      <w:r>
        <w:rPr>
          <w:rFonts w:ascii="Arial" w:cs="Nirmala UI" w:eastAsia="Arial" w:hAnsi="Arial"/>
          <w:b/>
          <w:bCs/>
          <w:sz w:val="21"/>
          <w:szCs w:val="21"/>
        </w:rPr>
        <w:t xml:space="preserve">Table A.1: 10-slide presentation (about 11 minutes)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6700"/>
        <w:gridCol w:w="1675"/>
      </w:tblGrid>
      <w:tr>
        <w:trPr>
          <w:cantSplit/>
          <w:tblHeader/>
        </w:trPr>
        <w:tc>
          <w:tcPr>
            <w:tcW w:type="dxa" w:w="931"/>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9"/>
                <w:szCs w:val="19"/>
              </w:rPr>
              <w:t xml:space="preserve">Slide</w:t>
            </w:r>
          </w:p>
        </w:tc>
        <w:tc>
          <w:tcPr>
            <w:tcW w:type="dxa" w:w="6700"/>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left"/>
            </w:pPr>
            <w:r>
              <w:rPr>
                <w:rFonts w:ascii="Arial" w:cs="Nirmala UI" w:eastAsia="Arial" w:hAnsi="Arial"/>
                <w:b/>
                <w:bCs/>
                <w:sz w:val="19"/>
                <w:szCs w:val="19"/>
              </w:rPr>
              <w:t xml:space="preserve">Content</w:t>
            </w:r>
          </w:p>
        </w:tc>
        <w:tc>
          <w:tcPr>
            <w:tcW w:type="dxa" w:w="1675"/>
            <w:tcBorders>
              <w:top w:val="single" w:color="8A8A8A" w:sz="4"/>
              <w:left w:val="single" w:color="8A8A8A" w:sz="4"/>
              <w:bottom w:val="single" w:color="8A8A8A" w:sz="4"/>
              <w:right w:val="single" w:color="8A8A8A" w:sz="4"/>
            </w:tcBorders>
            <w:shd w:fill="E8E8E8" w:color="auto" w:val="clear"/>
            <w:tcMar>
              <w:top w:type="dxa" w:w="50"/>
              <w:left w:type="dxa" w:w="90"/>
              <w:bottom w:type="dxa" w:w="50"/>
              <w:right w:type="dxa" w:w="90"/>
            </w:tcMar>
            <w:vAlign w:val="center"/>
          </w:tcPr>
          <w:p>
            <w:pPr>
              <w:keepNext/>
              <w:spacing w:after="0"/>
              <w:jc w:val="center"/>
            </w:pPr>
            <w:r>
              <w:rPr>
                <w:rFonts w:ascii="Arial" w:cs="Nirmala UI" w:eastAsia="Arial" w:hAnsi="Arial"/>
                <w:b/>
                <w:bCs/>
                <w:sz w:val="19"/>
                <w:szCs w:val="19"/>
              </w:rPr>
              <w:t xml:space="preserve">Time</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Title, team, three headline results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0.5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2</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Problem domain and the one-word example</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3</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Error taxonomy and formal task definition</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4</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Review of existing systems and research gap</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5</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Base paper, gaps → extensions, research question, objectives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6</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Methodology: data, model, training</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1.5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7</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Algorithms and evaluation metrics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8</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E1 results and per-language results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1.5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9</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E2–E4: transfer, FrJUDGE and sanity checks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 min</w:t>
            </w:r>
          </w:p>
        </w:tc>
      </w:tr>
      <w:tr>
        <w:trPr>
          <w:cantSplit/>
          <w:tblHeader w:val="false"/>
        </w:trPr>
        <w:tc>
          <w:tcPr>
            <w:tcW w:type="dxa" w:w="931"/>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10</w:t>
            </w:r>
          </w:p>
        </w:tc>
        <w:tc>
          <w:tcPr>
            <w:tcW w:type="dxa" w:w="6700"/>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left"/>
            </w:pPr>
            <w:r>
              <w:rPr>
                <w:rFonts w:ascii="Arial" w:cs="Nirmala UI" w:eastAsia="Arial" w:hAnsi="Arial"/>
                <w:b w:val="false"/>
                <w:bCs w:val="false"/>
                <w:sz w:val="19"/>
                <w:szCs w:val="19"/>
              </w:rPr>
              <w:t xml:space="preserve">E5 explanations, conclusion and next steps</w:t>
            </w:r>
          </w:p>
        </w:tc>
        <w:tc>
          <w:tcPr>
            <w:tcW w:type="dxa" w:w="1675"/>
            <w:tcBorders>
              <w:top w:val="single" w:color="8A8A8A" w:sz="4"/>
              <w:left w:val="single" w:color="8A8A8A" w:sz="4"/>
              <w:bottom w:val="single" w:color="8A8A8A" w:sz="4"/>
              <w:right w:val="single" w:color="8A8A8A" w:sz="4"/>
            </w:tcBorders>
            <w:tcMar>
              <w:top w:type="dxa" w:w="50"/>
              <w:left w:type="dxa" w:w="90"/>
              <w:bottom w:type="dxa" w:w="50"/>
              <w:right w:type="dxa" w:w="90"/>
            </w:tcMar>
            <w:vAlign w:val="center"/>
          </w:tcPr>
          <w:p>
            <w:pPr>
              <w:keepNext/>
              <w:spacing w:after="0"/>
              <w:jc w:val="center"/>
            </w:pPr>
            <w:r>
              <w:rPr>
                <w:rFonts w:ascii="Arial" w:cs="Nirmala UI" w:eastAsia="Arial" w:hAnsi="Arial"/>
                <w:b w:val="false"/>
                <w:bCs w:val="false"/>
                <w:sz w:val="19"/>
                <w:szCs w:val="19"/>
              </w:rPr>
              <w:t xml:space="preserve">1.5 min</w:t>
            </w:r>
          </w:p>
        </w:tc>
      </w:tr>
    </w:tbl>
    <w:p>
      <w:pPr>
        <w:spacing w:after="160"/>
      </w:pPr>
    </w:p>
    <w:p>
      <w:pPr>
        <w:pStyle w:val="Heading2"/>
        <w:keepNext/>
        <w:spacing w:after="120" w:before="260"/>
      </w:pPr>
      <w:r>
        <w:rPr>
          <w:rFonts w:ascii="Arial" w:cs="Nirmala UI" w:eastAsia="Arial" w:hAnsi="Arial"/>
          <w:b/>
          <w:bCs/>
          <w:sz w:val="26"/>
          <w:szCs w:val="26"/>
        </w:rPr>
        <w:t xml:space="preserve">Appendix B: How to Reproduce</w:t>
      </w:r>
    </w:p>
    <w:p>
      <w:pPr>
        <w:shd w:fill="F3F4F6" w:color="auto" w:val="clear"/>
        <w:spacing w:after="40"/>
      </w:pPr>
      <w:r>
        <w:rPr>
          <w:rFonts w:ascii="Consolas" w:cs="Consolas" w:eastAsia="Consolas" w:hAnsi="Consolas"/>
          <w:sz w:val="19"/>
          <w:szCs w:val="19"/>
        </w:rPr>
        <w:t xml:space="preserve">git clone https://github.com/udbhav968-creator/NLP_RESERACH_WORK.git</w:t>
      </w:r>
    </w:p>
    <w:p>
      <w:pPr>
        <w:shd w:fill="F3F4F6" w:color="auto" w:val="clear"/>
        <w:spacing w:after="40"/>
      </w:pPr>
      <w:r>
        <w:rPr>
          <w:rFonts w:ascii="Consolas" w:cs="Consolas" w:eastAsia="Consolas" w:hAnsi="Consolas"/>
          <w:sz w:val="19"/>
          <w:szCs w:val="19"/>
        </w:rPr>
        <w:t xml:space="preserve">cd NLP_RESERACH_WORK</w:t>
      </w:r>
    </w:p>
    <w:p>
      <w:pPr>
        <w:shd w:fill="F3F4F6" w:color="auto" w:val="clear"/>
        <w:spacing w:after="40"/>
      </w:pPr>
      <w:r>
        <w:rPr>
          <w:rFonts w:ascii="Consolas" w:cs="Consolas" w:eastAsia="Consolas" w:hAnsi="Consolas"/>
          <w:sz w:val="19"/>
          <w:szCs w:val="19"/>
        </w:rPr>
        <w:t xml:space="preserve">Set-ExecutionPolicy -Scope Process -ExecutionPolicy Bypass -Force</w:t>
      </w:r>
    </w:p>
    <w:p>
      <w:pPr>
        <w:shd w:fill="F3F4F6" w:color="auto" w:val="clear"/>
        <w:spacing w:after="40"/>
      </w:pPr>
      <w:r>
        <w:rPr>
          <w:rFonts w:ascii="Consolas" w:cs="Consolas" w:eastAsia="Consolas" w:hAnsi="Consolas"/>
          <w:sz w:val="19"/>
          <w:szCs w:val="19"/>
        </w:rPr>
        <w:t xml:space="preserve">.\train_enhi_lmp.ps1 -Stage cpu        # experiments E1–E5 on CPU</w:t>
      </w:r>
    </w:p>
    <w:p>
      <w:pPr>
        <w:shd w:fill="F3F4F6" w:color="auto" w:val="clear"/>
        <w:spacing w:after="40"/>
      </w:pPr>
      <w:r>
        <w:rPr>
          <w:rFonts w:ascii="Consolas" w:cs="Consolas" w:eastAsia="Consolas" w:hAnsi="Consolas"/>
          <w:sz w:val="19"/>
          <w:szCs w:val="19"/>
        </w:rPr>
        <w:t xml:space="preserve">python src\demo.py "&lt;original&gt;" "&lt;simplified&gt;"   # score any pair</w:t>
      </w:r>
    </w:p>
    <w:p>
      <w:pPr>
        <w:shd w:fill="F3F4F6" w:color="auto" w:val="clear"/>
        <w:spacing w:after="40"/>
      </w:pPr>
      <w:r>
        <w:rPr>
          <w:rFonts w:ascii="Consolas" w:cs="Consolas" w:eastAsia="Consolas" w:hAnsi="Consolas"/>
          <w:sz w:val="19"/>
          <w:szCs w:val="19"/>
        </w:rPr>
        <w:t xml:space="preserve"># GPU: open ML_JudgeBERT_pretrained_Colab.ipynb in Google Colab (T4) and Run all</w:t>
      </w:r>
    </w:p>
    <w:sectPr>
      <w:footerReference w:type="default" r:id="rId7"/>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Nirmala UI" w:eastAsia="Arial" w:hAnsi="Arial"/>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Nirmala UI"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Nirmala UI" w:eastAsia="Arial" w:hAnsi="Arial"/>
      <w:b/>
      <w:bCs/>
      <w:sz w:val="30"/>
      <w:szCs w:val="30"/>
    </w:rPr>
  </w:style>
  <w:style w:type="paragraph" w:styleId="Heading2">
    <w:name w:val="Heading 2"/>
    <w:basedOn w:val="Normal"/>
    <w:next w:val="Normal"/>
    <w:qFormat/>
    <w:pPr>
      <w:outlineLvl w:val="1"/>
    </w:pPr>
    <w:rPr>
      <w:rFonts w:ascii="Arial" w:cs="Nirmala UI"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2daf932d5a99db28cee4a5078f86d55a5784e3.png"/><Relationship Id="rId9" Type="http://schemas.openxmlformats.org/officeDocument/2006/relationships/image" Target="media/b763cfc0ece0922c0cfaf15e98b0adc4ade5d841.png"/><Relationship Id="rId10" Type="http://schemas.openxmlformats.org/officeDocument/2006/relationships/image" Target="media/7cd8e207b7e36c527016ca07d5022a90c86794fe.png"/><Relationship Id="rId11" Type="http://schemas.openxmlformats.org/officeDocument/2006/relationships/image" Target="media/db7d28811949bc860880ebded0a4acd50406f2f4.png"/><Relationship Id="rId12" Type="http://schemas.openxmlformats.org/officeDocument/2006/relationships/image" Target="media/8c4e86f1a731e5d0e26f711f07df9e3d2e19e10e.png"/><Relationship Id="rId13" Type="http://schemas.openxmlformats.org/officeDocument/2006/relationships/image" Target="media/4cbf59e926e871337bd10094a674fcf5a5e2e686.png"/><Relationship Id="rId14" Type="http://schemas.openxmlformats.org/officeDocument/2006/relationships/image" Target="media/2a759247a1a223e9e80ad8d513b93c7663e99623.png"/><Relationship Id="rId15" Type="http://schemas.openxmlformats.org/officeDocument/2006/relationships/image" Target="media/d64d6bcd740a85b46465eabbe4b9dae8581b23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Explainable Multilingual Legal Meaning Preservation Using JUDGEBERT</dc:title>
  <dc:creator>CSET346 Project Team</dc:creator>
  <cp:lastModifiedBy>Un-named</cp:lastModifiedBy>
  <cp:revision>1</cp:revision>
  <dcterms:created xsi:type="dcterms:W3CDTF">2026-10-13T17:27:22.736Z</dcterms:created>
  <dcterms:modified xsi:type="dcterms:W3CDTF">2026-10-13T17:27:22.736Z</dcterms:modified>
</cp:coreProperties>
</file>

<file path=docProps/custom.xml><?xml version="1.0" encoding="utf-8"?>
<Properties xmlns="http://schemas.openxmlformats.org/officeDocument/2006/custom-properties" xmlns:vt="http://schemas.openxmlformats.org/officeDocument/2006/docPropsVTypes"/>
</file>