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Nirmala UI" w:eastAsia="Times New Roman" w:hAnsi="Times New Roman"/>
          <w:sz w:val="48"/>
          <w:szCs w:val="48"/>
        </w:rPr>
        <w:t xml:space="preserve">Explainable Multilingual Legal Meaning Preservation Using JUDGEBERT</w:t>
      </w:r>
    </w:p>
    <w:p>
      <w:pPr>
        <w:spacing w:after="40"/>
        <w:jc w:val="center"/>
      </w:pPr>
      <w:r>
        <w:rPr>
          <w:rFonts w:ascii="Times New Roman" w:cs="Nirmala UI" w:eastAsia="Times New Roman" w:hAnsi="Times New Roman"/>
          <w:sz w:val="22"/>
          <w:szCs w:val="22"/>
        </w:rPr>
        <w:t xml:space="preserve">Student Name 1, Student Name 2, Student Name 3</w:t>
      </w:r>
    </w:p>
    <w:p>
      <w:pPr>
        <w:spacing w:after="40"/>
        <w:jc w:val="center"/>
      </w:pPr>
      <w:r>
        <w:rPr>
          <w:rFonts w:ascii="Times New Roman" w:cs="Nirmala UI" w:eastAsia="Times New Roman" w:hAnsi="Times New Roman"/>
          <w:i/>
          <w:iCs/>
          <w:sz w:val="20"/>
          <w:szCs w:val="20"/>
        </w:rPr>
        <w:t xml:space="preserve">School of Computer Science Engineering and Technology, Bennett University, Greater Noida, India</w:t>
      </w:r>
    </w:p>
    <w:p>
      <w:pPr>
        <w:spacing w:after="280"/>
        <w:jc w:val="center"/>
      </w:pPr>
      <w:r>
        <w:rPr>
          <w:rFonts w:ascii="Times New Roman" w:cs="Nirmala UI" w:eastAsia="Times New Roman" w:hAnsi="Times New Roman"/>
          <w:sz w:val="18"/>
          <w:szCs w:val="18"/>
        </w:rPr>
        <w:t xml:space="preserve">CSET 346 – Natural Language Processing  ·  Project Instructor: Dr. Surabhi Solanki</w:t>
      </w:r>
    </w:p>
    <w:p>
      <w:pPr>
        <w:sectPr>
          <w:pgSz w:w="11906" w:h="16838" w:orient="portrait"/>
          <w:pgMar w:top="1077" w:right="812" w:bottom="2438" w:left="812" w:header="708" w:footer="708" w:gutter="0"/>
          <w:pgNumType/>
          <w:docGrid w:linePitch="360"/>
        </w:sectPr>
      </w:pPr>
    </w:p>
    <w:p>
      <w:pPr>
        <w:spacing w:after="0" w:line="240"/>
        <w:ind w:firstLine="0"/>
        <w:jc w:val="both"/>
      </w:pPr>
      <w:r>
        <w:rPr>
          <w:rFonts w:ascii="Times New Roman" w:cs="Nirmala UI" w:eastAsia="Times New Roman" w:hAnsi="Times New Roman"/>
          <w:b/>
          <w:bCs/>
          <w:i/>
          <w:iCs/>
          <w:sz w:val="18"/>
          <w:szCs w:val="18"/>
        </w:rPr>
        <w:t xml:space="preserve">Abstract</w:t>
      </w:r>
      <w:r>
        <w:rPr>
          <w:rFonts w:ascii="Times New Roman" w:cs="Nirmala UI" w:eastAsia="Times New Roman" w:hAnsi="Times New Roman"/>
          <w:b/>
          <w:bCs/>
          <w:sz w:val="18"/>
          <w:szCs w:val="18"/>
        </w:rPr>
        <w:t xml:space="preserve">—</w:t>
      </w:r>
      <w:r>
        <w:rPr>
          <w:rFonts w:ascii="Times New Roman" w:cs="Nirmala UI" w:eastAsia="Times New Roman" w:hAnsi="Times New Roman"/>
          <w:b/>
          <w:bCs/>
          <w:i w:val="false"/>
          <w:iCs w:val="false"/>
          <w:smallCaps w:val="false"/>
          <w:sz w:val="18"/>
          <w:szCs w:val="18"/>
        </w:rPr>
        <w:t xml:space="preserve">Simplifying legal text is useful only if the simplified sentence keeps the legal meaning of the original. JUDGEBERT recently framed this as Legal Meaning Preservation (LMP) for French insurance clauses. We extend LMP to English and Hindi and to a new domain, tenancy law. We build EnHi-LMP, 320 parallel English–Hindi original–simplified pairs with typed legal errors and 320 sanity pairs; LegalDiff, 19 bilingual legal-difference features with a rule-based explainer; and ML-JudgeBERT, a JUDGEBERT-style cross-encoder regressor. Across five experiments, generic similarity correlates weakly with LMP (</w:t>
      </w:r>
      <w:r>
        <w:rPr>
          <w:rFonts w:ascii="Times New Roman" w:cs="Nirmala UI" w:eastAsia="Times New Roman" w:hAnsi="Times New Roman"/>
          <w:b/>
          <w:bCs/>
          <w:i w:val="false"/>
          <w:iCs w:val="false"/>
          <w:smallCaps w:val="false"/>
          <w:sz w:val="18"/>
          <w:szCs w:val="18"/>
        </w:rPr>
        <w:t xml:space="preserve">r≤0.37</w:t>
      </w:r>
      <w:r>
        <w:rPr>
          <w:rFonts w:ascii="Times New Roman" w:cs="Nirmala UI" w:eastAsia="Times New Roman" w:hAnsi="Times New Roman"/>
          <w:b/>
          <w:bCs/>
          <w:i w:val="false"/>
          <w:iCs w:val="false"/>
          <w:smallCaps w:val="false"/>
          <w:sz w:val="18"/>
          <w:szCs w:val="18"/>
        </w:rPr>
        <w:t xml:space="preserve">) and degrades on Hindi, while LegalDiff-based models reach </w:t>
      </w:r>
      <w:r>
        <w:rPr>
          <w:rFonts w:ascii="Times New Roman" w:cs="Nirmala UI" w:eastAsia="Times New Roman" w:hAnsi="Times New Roman"/>
          <w:b/>
          <w:bCs/>
          <w:i w:val="false"/>
          <w:iCs w:val="false"/>
          <w:smallCaps w:val="false"/>
          <w:sz w:val="18"/>
          <w:szCs w:val="18"/>
        </w:rPr>
        <w:t xml:space="preserve">r=0.60</w:t>
      </w:r>
      <w:r>
        <w:rPr>
          <w:rFonts w:ascii="Times New Roman" w:cs="Nirmala UI" w:eastAsia="Times New Roman" w:hAnsi="Times New Roman"/>
          <w:b/>
          <w:bCs/>
          <w:i w:val="false"/>
          <w:iCs w:val="false"/>
          <w:smallCaps w:val="false"/>
          <w:sz w:val="18"/>
          <w:szCs w:val="18"/>
        </w:rPr>
        <w:t xml:space="preserve">, transfer across languages and domains with small losses, score </w:t>
      </w:r>
      <w:r>
        <w:rPr>
          <w:rFonts w:ascii="Times New Roman" w:cs="Nirmala UI" w:eastAsia="Times New Roman" w:hAnsi="Times New Roman"/>
          <w:b/>
          <w:bCs/>
          <w:i w:val="false"/>
          <w:iCs w:val="false"/>
          <w:smallCaps w:val="false"/>
          <w:sz w:val="18"/>
          <w:szCs w:val="18"/>
        </w:rPr>
        <w:t xml:space="preserve">0.56</w:t>
      </w:r>
      <w:r>
        <w:rPr>
          <w:rFonts w:ascii="Times New Roman" w:cs="Nirmala UI" w:eastAsia="Times New Roman" w:hAnsi="Times New Roman"/>
          <w:b/>
          <w:bCs/>
          <w:i w:val="false"/>
          <w:iCs w:val="false"/>
          <w:smallCaps w:val="false"/>
          <w:sz w:val="18"/>
          <w:szCs w:val="18"/>
        </w:rPr>
        <w:t xml:space="preserve">–</w:t>
      </w:r>
      <w:r>
        <w:rPr>
          <w:rFonts w:ascii="Times New Roman" w:cs="Nirmala UI" w:eastAsia="Times New Roman" w:hAnsi="Times New Roman"/>
          <w:b/>
          <w:bCs/>
          <w:i w:val="false"/>
          <w:iCs w:val="false"/>
          <w:smallCaps w:val="false"/>
          <w:sz w:val="18"/>
          <w:szCs w:val="18"/>
        </w:rPr>
        <w:t xml:space="preserve">0.59</w:t>
      </w:r>
      <w:r>
        <w:rPr>
          <w:rFonts w:ascii="Times New Roman" w:cs="Nirmala UI" w:eastAsia="Times New Roman" w:hAnsi="Times New Roman"/>
          <w:b/>
          <w:bCs/>
          <w:i w:val="false"/>
          <w:iCs w:val="false"/>
          <w:smallCaps w:val="false"/>
          <w:sz w:val="18"/>
          <w:szCs w:val="18"/>
        </w:rPr>
        <w:t xml:space="preserve"> zero-shot on human-labelled FrJUDGE, pass identical/unrelated sanity checks and detect legal errors with F1 </w:t>
      </w:r>
      <w:r>
        <w:rPr>
          <w:rFonts w:ascii="Times New Roman" w:cs="Nirmala UI" w:eastAsia="Times New Roman" w:hAnsi="Times New Roman"/>
          <w:b/>
          <w:bCs/>
          <w:i w:val="false"/>
          <w:iCs w:val="false"/>
          <w:smallCaps w:val="false"/>
          <w:sz w:val="18"/>
          <w:szCs w:val="18"/>
        </w:rPr>
        <w:t xml:space="preserve">0.79</w:t>
      </w:r>
      <w:r>
        <w:rPr>
          <w:rFonts w:ascii="Times New Roman" w:cs="Nirmala UI" w:eastAsia="Times New Roman" w:hAnsi="Times New Roman"/>
          <w:b/>
          <w:bCs/>
          <w:i w:val="false"/>
          <w:iCs w:val="false"/>
          <w:smallCaps w:val="false"/>
          <w:sz w:val="18"/>
          <w:szCs w:val="18"/>
        </w:rPr>
        <w:t xml:space="preserve">. A cross-encoder trained from scratch is weak alone (</w:t>
      </w:r>
      <w:r>
        <w:rPr>
          <w:rFonts w:ascii="Times New Roman" w:cs="Nirmala UI" w:eastAsia="Times New Roman" w:hAnsi="Times New Roman"/>
          <w:b/>
          <w:bCs/>
          <w:i w:val="false"/>
          <w:iCs w:val="false"/>
          <w:smallCaps w:val="false"/>
          <w:sz w:val="18"/>
          <w:szCs w:val="18"/>
        </w:rPr>
        <w:t xml:space="preserve">r=0.12</w:t>
      </w:r>
      <w:r>
        <w:rPr>
          <w:rFonts w:ascii="Times New Roman" w:cs="Nirmala UI" w:eastAsia="Times New Roman" w:hAnsi="Times New Roman"/>
          <w:b/>
          <w:bCs/>
          <w:i w:val="false"/>
          <w:iCs w:val="false"/>
          <w:smallCaps w:val="false"/>
          <w:sz w:val="18"/>
          <w:szCs w:val="18"/>
        </w:rPr>
        <w:t xml:space="preserve">), motivating pretrained multilingual backbones. Labels in this version are rubric-based silver labels pending double human annotation.</w:t>
      </w:r>
    </w:p>
    <w:p>
      <w:pPr>
        <w:spacing w:after="120" w:before="80"/>
        <w:ind w:firstLine="0"/>
        <w:jc w:val="both"/>
      </w:pPr>
      <w:r>
        <w:rPr>
          <w:rFonts w:ascii="Times New Roman" w:cs="Nirmala UI" w:eastAsia="Times New Roman" w:hAnsi="Times New Roman"/>
          <w:b/>
          <w:bCs/>
          <w:i/>
          <w:iCs/>
          <w:sz w:val="18"/>
          <w:szCs w:val="18"/>
        </w:rPr>
        <w:t xml:space="preserve">Index Terms</w:t>
      </w:r>
      <w:r>
        <w:rPr>
          <w:rFonts w:ascii="Times New Roman" w:cs="Nirmala UI" w:eastAsia="Times New Roman" w:hAnsi="Times New Roman"/>
          <w:b/>
          <w:bCs/>
          <w:sz w:val="18"/>
          <w:szCs w:val="18"/>
        </w:rPr>
        <w:t xml:space="preserve">—legal meaning preservation, text simplification, JUDGEBERT, Hindi NLP, explainable evaluation, cross-lingual transfer.</w:t>
      </w:r>
    </w:p>
    <w:p>
      <w:pPr>
        <w:spacing w:after="80" w:before="200"/>
        <w:jc w:val="center"/>
      </w:pPr>
      <w:r>
        <w:rPr>
          <w:rFonts w:ascii="Times New Roman" w:cs="Nirmala UI" w:eastAsia="Times New Roman" w:hAnsi="Times New Roman"/>
          <w:smallCaps/>
          <w:sz w:val="20"/>
          <w:szCs w:val="20"/>
        </w:rPr>
        <w:t xml:space="preserve">I. Introduction</w:t>
      </w:r>
    </w:p>
    <w:p>
      <w:pPr>
        <w:spacing w:after="0" w:line="240"/>
        <w:ind w:firstLine="202"/>
        <w:jc w:val="both"/>
      </w:pPr>
      <w:r>
        <w:rPr>
          <w:rFonts w:ascii="Times New Roman" w:cs="Nirmala UI" w:eastAsia="Times New Roman" w:hAnsi="Times New Roman"/>
          <w:b w:val="false"/>
          <w:bCs w:val="false"/>
          <w:i w:val="false"/>
          <w:iCs w:val="false"/>
          <w:smallCaps w:val="false"/>
        </w:rPr>
        <w:t xml:space="preserve">Plain-language rewriting of contracts, insurance policies and tenancy agreements is increasingly automated with large language models. A rewrite is useful only if it keeps the </w:t>
      </w:r>
      <w:r>
        <w:rPr>
          <w:rFonts w:ascii="Times New Roman" w:cs="Nirmala UI" w:eastAsia="Times New Roman" w:hAnsi="Times New Roman"/>
          <w:b w:val="false"/>
          <w:bCs w:val="false"/>
          <w:i/>
          <w:iCs/>
          <w:smallCaps w:val="false"/>
        </w:rPr>
        <w:t xml:space="preserve">legal</w:t>
      </w:r>
      <w:r>
        <w:rPr>
          <w:rFonts w:ascii="Times New Roman" w:cs="Nirmala UI" w:eastAsia="Times New Roman" w:hAnsi="Times New Roman"/>
          <w:b w:val="false"/>
          <w:bCs w:val="false"/>
          <w:i w:val="false"/>
          <w:iCs w:val="false"/>
          <w:smallCaps w:val="false"/>
        </w:rPr>
        <w:t xml:space="preserve"> meaning of the source: who must do what, under which conditions, with which exceptions, by when and for how much. Small surface edits can silently invert that meaning. Removing the single word “not” turns an exclusion into coverage, replacing “must” by “may” turns a duty into an option, and changing “7 days” into “30 days” moves a deadline. Generic similarity measures are almost blind to such edits because the two sentences still share most of their words and most of their distributional meaning.</w:t>
      </w:r>
    </w:p>
    <w:p>
      <w:pPr>
        <w:spacing w:after="0" w:line="240"/>
        <w:ind w:firstLine="202"/>
        <w:jc w:val="both"/>
      </w:pPr>
      <w:r>
        <w:rPr>
          <w:rFonts w:ascii="Times New Roman" w:cs="Nirmala UI" w:eastAsia="Times New Roman" w:hAnsi="Times New Roman"/>
          <w:b w:val="false"/>
          <w:bCs w:val="false"/>
          <w:i w:val="false"/>
          <w:iCs w:val="false"/>
          <w:smallCaps w:val="false"/>
        </w:rPr>
        <w:t xml:space="preserve">Beauchemin et al. [1] formalised this problem as </w:t>
      </w:r>
      <w:r>
        <w:rPr>
          <w:rFonts w:ascii="Times New Roman" w:cs="Nirmala UI" w:eastAsia="Times New Roman" w:hAnsi="Times New Roman"/>
          <w:b w:val="false"/>
          <w:bCs w:val="false"/>
          <w:i/>
          <w:iCs/>
          <w:smallCaps w:val="false"/>
        </w:rPr>
        <w:t xml:space="preserve">Legal Meaning Preservation</w:t>
      </w:r>
      <w:r>
        <w:rPr>
          <w:rFonts w:ascii="Times New Roman" w:cs="Nirmala UI" w:eastAsia="Times New Roman" w:hAnsi="Times New Roman"/>
          <w:b w:val="false"/>
          <w:bCs w:val="false"/>
          <w:i w:val="false"/>
          <w:iCs w:val="false"/>
          <w:smallCaps w:val="false"/>
        </w:rPr>
        <w:t xml:space="preserve"> (LMP), released FrJUDGE, a set of 297 French insurance sentence pairs scored from 1 to 10 by five annotators, and trained JUDGEBERT, a BERT-family regressor that predicts the human LMP score. The paper names its own limitations: one language, one legal domain, a small dataset, sentence-level judgements without context and no out-of-domain evaluation.</w:t>
      </w:r>
    </w:p>
    <w:p>
      <w:pPr>
        <w:spacing w:after="0" w:line="240"/>
        <w:ind w:firstLine="202"/>
        <w:jc w:val="both"/>
      </w:pPr>
      <w:r>
        <w:rPr>
          <w:rFonts w:ascii="Times New Roman" w:cs="Nirmala UI" w:eastAsia="Times New Roman" w:hAnsi="Times New Roman"/>
          <w:b w:val="false"/>
          <w:bCs w:val="false"/>
          <w:i w:val="false"/>
          <w:iCs w:val="false"/>
          <w:smallCaps w:val="false"/>
        </w:rPr>
        <w:t xml:space="preserve">This project extends JUDGEBERT along four of those axes and adds explainability. Our contributions are:</w:t>
      </w:r>
    </w:p>
    <w:p>
      <w:pPr>
        <w:pStyle w:val="ListParagraph"/>
        <w:numPr>
          <w:ilvl w:val="0"/>
          <w:numId w:val="2"/>
        </w:numPr>
        <w:spacing w:after="0"/>
        <w:jc w:val="both"/>
      </w:pPr>
      <w:r>
        <w:rPr>
          <w:rFonts w:ascii="Times New Roman" w:cs="Nirmala UI" w:eastAsia="Times New Roman" w:hAnsi="Times New Roman"/>
          <w:b/>
          <w:bCs/>
          <w:i w:val="false"/>
          <w:iCs w:val="false"/>
          <w:smallCaps w:val="false"/>
        </w:rPr>
        <w:t xml:space="preserve">EnHi-LMP</w:t>
      </w:r>
      <w:r>
        <w:rPr>
          <w:rFonts w:ascii="Times New Roman" w:cs="Nirmala UI" w:eastAsia="Times New Roman" w:hAnsi="Times New Roman"/>
          <w:b w:val="false"/>
          <w:bCs w:val="false"/>
          <w:i w:val="false"/>
          <w:iCs w:val="false"/>
          <w:smallCaps w:val="false"/>
        </w:rPr>
        <w:t xml:space="preserve">, a parallel English–Hindi dataset of 320 original–simplified pairs over two legal domains (insurance and tenancy), each pair tagged with one of ten legal error types, plus 320 held-out identical/unrelated sanity pairs.</w:t>
      </w:r>
    </w:p>
    <w:p>
      <w:pPr>
        <w:pStyle w:val="ListParagraph"/>
        <w:numPr>
          <w:ilvl w:val="0"/>
          <w:numId w:val="2"/>
        </w:numPr>
        <w:spacing w:after="0"/>
        <w:jc w:val="both"/>
      </w:pPr>
      <w:r>
        <w:rPr>
          <w:rFonts w:ascii="Times New Roman" w:cs="Nirmala UI" w:eastAsia="Times New Roman" w:hAnsi="Times New Roman"/>
          <w:b/>
          <w:bCs/>
          <w:i w:val="false"/>
          <w:iCs w:val="false"/>
          <w:smallCaps w:val="false"/>
        </w:rPr>
        <w:t xml:space="preserve">LegalDiff</w:t>
      </w:r>
      <w:r>
        <w:rPr>
          <w:rFonts w:ascii="Times New Roman" w:cs="Nirmala UI" w:eastAsia="Times New Roman" w:hAnsi="Times New Roman"/>
          <w:b w:val="false"/>
          <w:bCs w:val="false"/>
          <w:i w:val="false"/>
          <w:iCs w:val="false"/>
          <w:smallCaps w:val="false"/>
        </w:rPr>
        <w:t xml:space="preserve">, a bilingual set of 19 interpretable legal-difference features (modality, negation, numbers, durations, parties, conditions, exceptions, scope) and a rule-based explainer that returns an error type and a one-sentence rationale.</w:t>
      </w:r>
    </w:p>
    <w:p>
      <w:pPr>
        <w:pStyle w:val="ListParagraph"/>
        <w:numPr>
          <w:ilvl w:val="0"/>
          <w:numId w:val="2"/>
        </w:numPr>
        <w:spacing w:after="0"/>
        <w:jc w:val="both"/>
      </w:pPr>
      <w:r>
        <w:rPr>
          <w:rFonts w:ascii="Times New Roman" w:cs="Nirmala UI" w:eastAsia="Times New Roman" w:hAnsi="Times New Roman"/>
          <w:b/>
          <w:bCs/>
          <w:i w:val="false"/>
          <w:iCs w:val="false"/>
          <w:smallCaps w:val="false"/>
        </w:rPr>
        <w:t xml:space="preserve">ML-JudgeBERT</w:t>
      </w:r>
      <w:r>
        <w:rPr>
          <w:rFonts w:ascii="Times New Roman" w:cs="Nirmala UI" w:eastAsia="Times New Roman" w:hAnsi="Times New Roman"/>
          <w:b w:val="false"/>
          <w:bCs w:val="false"/>
          <w:i w:val="false"/>
          <w:iCs w:val="false"/>
          <w:smallCaps w:val="false"/>
        </w:rPr>
        <w:t xml:space="preserve">, a JUDGEBERT-style cross-encoder regressor, optionally fused with LegalDiff, trained with JUDGEBERT's identical/unrelated data augmentation.</w:t>
      </w:r>
    </w:p>
    <w:p>
      <w:pPr>
        <w:pStyle w:val="ListParagraph"/>
        <w:numPr>
          <w:ilvl w:val="0"/>
          <w:numId w:val="2"/>
        </w:numPr>
        <w:spacing w:after="0"/>
        <w:jc w:val="both"/>
      </w:pPr>
      <w:r>
        <w:rPr>
          <w:rFonts w:ascii="Times New Roman" w:cs="Nirmala UI" w:eastAsia="Times New Roman" w:hAnsi="Times New Roman"/>
          <w:b w:val="false"/>
          <w:bCs w:val="false"/>
          <w:i w:val="false"/>
          <w:iCs w:val="false"/>
          <w:smallCaps w:val="false"/>
        </w:rPr>
        <w:t xml:space="preserve">A five-experiment evaluation: generic similarity vs. LMP models (E1), English vs. Hindi and cross-lingual transfer (E2), cross-domain and FrJUDGE transfer (E3), sanity checks (E4) and error analysis with explanation scoring (E5).</w:t>
      </w:r>
    </w:p>
    <w:p>
      <w:pPr>
        <w:spacing w:after="80" w:before="200"/>
        <w:jc w:val="center"/>
      </w:pPr>
      <w:r>
        <w:rPr>
          <w:rFonts w:ascii="Times New Roman" w:cs="Nirmala UI" w:eastAsia="Times New Roman" w:hAnsi="Times New Roman"/>
          <w:smallCaps/>
          <w:sz w:val="20"/>
          <w:szCs w:val="20"/>
        </w:rPr>
        <w:t xml:space="preserve">II. Related Work</w:t>
      </w:r>
    </w:p>
    <w:p>
      <w:pPr>
        <w:spacing w:after="0" w:line="240"/>
        <w:ind w:firstLine="202"/>
        <w:jc w:val="both"/>
      </w:pPr>
      <w:r>
        <w:rPr>
          <w:rFonts w:ascii="Times New Roman" w:cs="Nirmala UI" w:eastAsia="Times New Roman" w:hAnsi="Times New Roman"/>
          <w:b/>
          <w:bCs/>
          <w:i w:val="false"/>
          <w:iCs w:val="false"/>
          <w:smallCaps w:val="false"/>
        </w:rPr>
        <w:t xml:space="preserve">Surface-overlap metrics.</w:t>
      </w:r>
      <w:r>
        <w:rPr>
          <w:rFonts w:ascii="Times New Roman" w:cs="Nirmala UI" w:eastAsia="Times New Roman" w:hAnsi="Times New Roman"/>
          <w:b w:val="false"/>
          <w:bCs w:val="false"/>
          <w:i w:val="false"/>
          <w:iCs w:val="false"/>
          <w:smallCaps w:val="false"/>
        </w:rPr>
        <w:t xml:space="preserve"> BLEU [2] and chrF [3] measure n-gram and character n-gram overlap with a reference; SARI [4] scores simplification operations against references. All reward copying and are insensitive to the legal effect of a dropped negation or condition.</w:t>
      </w:r>
    </w:p>
    <w:p>
      <w:pPr>
        <w:spacing w:after="0" w:line="240"/>
        <w:ind w:firstLine="202"/>
        <w:jc w:val="both"/>
      </w:pPr>
      <w:r>
        <w:rPr>
          <w:rFonts w:ascii="Times New Roman" w:cs="Nirmala UI" w:eastAsia="Times New Roman" w:hAnsi="Times New Roman"/>
          <w:b/>
          <w:bCs/>
          <w:i w:val="false"/>
          <w:iCs w:val="false"/>
          <w:smallCaps w:val="false"/>
        </w:rPr>
        <w:t xml:space="preserve">Embedding-based similarity.</w:t>
      </w:r>
      <w:r>
        <w:rPr>
          <w:rFonts w:ascii="Times New Roman" w:cs="Nirmala UI" w:eastAsia="Times New Roman" w:hAnsi="Times New Roman"/>
          <w:b w:val="false"/>
          <w:bCs w:val="false"/>
          <w:i w:val="false"/>
          <w:iCs w:val="false"/>
          <w:smallCaps w:val="false"/>
        </w:rPr>
        <w:t xml:space="preserve"> Sentence-BERT [5] cosine and BERTScore [6] compare contextual representations. They capture paraphrase well but treat “covers” and “does not cover” as near neighbours (Section III).</w:t>
      </w:r>
    </w:p>
    <w:p>
      <w:pPr>
        <w:spacing w:after="0" w:line="240"/>
        <w:ind w:firstLine="202"/>
        <w:jc w:val="both"/>
      </w:pPr>
      <w:r>
        <w:rPr>
          <w:rFonts w:ascii="Times New Roman" w:cs="Nirmala UI" w:eastAsia="Times New Roman" w:hAnsi="Times New Roman"/>
          <w:b/>
          <w:bCs/>
          <w:i w:val="false"/>
          <w:iCs w:val="false"/>
          <w:smallCaps w:val="false"/>
        </w:rPr>
        <w:t xml:space="preserve">Learned meaning preservation.</w:t>
      </w:r>
      <w:r>
        <w:rPr>
          <w:rFonts w:ascii="Times New Roman" w:cs="Nirmala UI" w:eastAsia="Times New Roman" w:hAnsi="Times New Roman"/>
          <w:b w:val="false"/>
          <w:bCs w:val="false"/>
          <w:i w:val="false"/>
          <w:iCs w:val="false"/>
          <w:smallCaps w:val="false"/>
        </w:rPr>
        <w:t xml:space="preserve"> MeaningBERT [7] learns to predict human meaning-preservation judgements for general-domain simplification, and LLM-as-judge methods such as G-Eval [8] prompt a large model for a score and rationale. Neither is calibrated to legal effect, and LLM judges are costly and hard to reproduce.</w:t>
      </w:r>
    </w:p>
    <w:p>
      <w:pPr>
        <w:spacing w:after="0" w:line="240"/>
        <w:ind w:firstLine="202"/>
        <w:jc w:val="both"/>
      </w:pPr>
      <w:r>
        <w:rPr>
          <w:rFonts w:ascii="Times New Roman" w:cs="Nirmala UI" w:eastAsia="Times New Roman" w:hAnsi="Times New Roman"/>
          <w:b/>
          <w:bCs/>
          <w:i w:val="false"/>
          <w:iCs w:val="false"/>
          <w:smallCaps w:val="false"/>
        </w:rPr>
        <w:t xml:space="preserve">Legal meaning preservation.</w:t>
      </w:r>
      <w:r>
        <w:rPr>
          <w:rFonts w:ascii="Times New Roman" w:cs="Nirmala UI" w:eastAsia="Times New Roman" w:hAnsi="Times New Roman"/>
          <w:b w:val="false"/>
          <w:bCs w:val="false"/>
          <w:i w:val="false"/>
          <w:iCs w:val="false"/>
          <w:smallCaps w:val="false"/>
        </w:rPr>
        <w:t xml:space="preserve"> JUDGEBERT [1] is, to our knowledge, the only metric trained on human judgements of legal meaning. It is limited to French property-damage insurance and returns a score without explanation. Multilingual encoders such as XLM-R [9] and MuRIL [10] make an Indian-language extension possible.</w:t>
      </w:r>
    </w:p>
    <w:p>
      <w:pPr>
        <w:spacing w:after="80" w:before="200"/>
        <w:jc w:val="center"/>
      </w:pPr>
      <w:r>
        <w:rPr>
          <w:rFonts w:ascii="Times New Roman" w:cs="Nirmala UI" w:eastAsia="Times New Roman" w:hAnsi="Times New Roman"/>
          <w:smallCaps/>
          <w:sz w:val="20"/>
          <w:szCs w:val="20"/>
        </w:rPr>
        <w:t xml:space="preserve">III. Problem Formulation</w:t>
      </w:r>
    </w:p>
    <w:p>
      <w:pPr>
        <w:spacing w:after="0" w:line="240"/>
        <w:ind w:firstLine="202"/>
        <w:jc w:val="both"/>
      </w:pPr>
      <w:r>
        <w:rPr>
          <w:rFonts w:ascii="Times New Roman" w:cs="Nirmala UI" w:eastAsia="Times New Roman" w:hAnsi="Times New Roman"/>
          <w:b w:val="false"/>
          <w:bCs w:val="false"/>
          <w:i w:val="false"/>
          <w:iCs w:val="false"/>
          <w:smallCaps w:val="false"/>
        </w:rPr>
        <w:t xml:space="preserve">Given an original legal sentence </w:t>
      </w:r>
      <w:r>
        <w:rPr>
          <w:rFonts w:ascii="Times New Roman" w:cs="Nirmala UI" w:eastAsia="Times New Roman" w:hAnsi="Times New Roman"/>
          <w:b w:val="false"/>
          <w:bCs w:val="false"/>
          <w:i w:val="false"/>
          <w:iCs w:val="false"/>
          <w:smallCaps w:val="false"/>
        </w:rPr>
        <w:t xml:space="preserve">o</w:t>
      </w:r>
      <w:r>
        <w:rPr>
          <w:rFonts w:ascii="Times New Roman" w:cs="Nirmala UI" w:eastAsia="Times New Roman" w:hAnsi="Times New Roman"/>
          <w:b w:val="false"/>
          <w:bCs w:val="false"/>
          <w:i w:val="false"/>
          <w:iCs w:val="false"/>
          <w:smallCaps w:val="false"/>
        </w:rPr>
        <w:t xml:space="preserve"> and a simplification </w:t>
      </w:r>
      <w:r>
        <w:rPr>
          <w:rFonts w:ascii="Times New Roman" w:cs="Nirmala UI" w:eastAsia="Times New Roman" w:hAnsi="Times New Roman"/>
          <w:b w:val="false"/>
          <w:bCs w:val="false"/>
          <w:i w:val="false"/>
          <w:iCs w:val="false"/>
          <w:smallCaps w:val="false"/>
        </w:rPr>
        <w:t xml:space="preserve">s</w:t>
      </w:r>
      <w:r>
        <w:rPr>
          <w:rFonts w:ascii="Times New Roman" w:cs="Nirmala UI" w:eastAsia="Times New Roman" w:hAnsi="Times New Roman"/>
          <w:b w:val="false"/>
          <w:bCs w:val="false"/>
          <w:i w:val="false"/>
          <w:iCs w:val="false"/>
          <w:smallCaps w:val="false"/>
        </w:rPr>
        <w:t xml:space="preserve"> in language </w:t>
      </w:r>
      <w:r>
        <w:rPr>
          <w:rFonts w:ascii="Times New Roman" w:cs="Nirmala UI" w:eastAsia="Times New Roman" w:hAnsi="Times New Roman"/>
          <w:b w:val="false"/>
          <w:bCs w:val="false"/>
          <w:i w:val="false"/>
          <w:iCs w:val="false"/>
          <w:smallCaps w:val="false"/>
        </w:rPr>
        <w:t xml:space="preserve">ℓ∈{en,hi}</w:t>
      </w:r>
      <w:r>
        <w:rPr>
          <w:rFonts w:ascii="Times New Roman" w:cs="Nirmala UI" w:eastAsia="Times New Roman" w:hAnsi="Times New Roman"/>
          <w:b w:val="false"/>
          <w:bCs w:val="false"/>
          <w:i w:val="false"/>
          <w:iCs w:val="false"/>
          <w:smallCaps w:val="false"/>
        </w:rPr>
        <w:t xml:space="preserve"> from domain </w:t>
      </w:r>
      <w:r>
        <w:rPr>
          <w:rFonts w:ascii="Times New Roman" w:cs="Nirmala UI" w:eastAsia="Times New Roman" w:hAnsi="Times New Roman"/>
          <w:b w:val="false"/>
          <w:bCs w:val="false"/>
          <w:i w:val="false"/>
          <w:iCs w:val="false"/>
          <w:smallCaps w:val="false"/>
        </w:rPr>
        <w:t xml:space="preserve">d∈{insurance,tenancy}</w:t>
      </w:r>
      <w:r>
        <w:rPr>
          <w:rFonts w:ascii="Times New Roman" w:cs="Nirmala UI" w:eastAsia="Times New Roman" w:hAnsi="Times New Roman"/>
          <w:b w:val="false"/>
          <w:bCs w:val="false"/>
          <w:i w:val="false"/>
          <w:iCs w:val="false"/>
          <w:smallCaps w:val="false"/>
        </w:rPr>
        <w:t xml:space="preserve">, we learn</w:t>
      </w:r>
    </w:p>
    <w:p>
      <w:pPr>
        <w:tabs>
          <w:tab w:val="center" w:pos="2510"/>
          <w:tab w:val="right" w:pos="5021"/>
        </w:tabs>
        <w:spacing w:after="80" w:before="80"/>
      </w:pPr>
      <w:r>
        <w:rPr>
          <w:rFonts w:ascii="Times New Roman" w:cs="Nirmala UI" w:eastAsia="Times New Roman" w:hAnsi="Times New Roman"/>
          <w:i w:val="false"/>
          <w:iCs w:val="false"/>
        </w:rPr>
        <w:t xml:space="preserve">	f(o, s; θ) → ŷ ∈ [1, 10]	(1)</w:t>
      </w:r>
    </w:p>
    <w:p>
      <w:pPr>
        <w:spacing w:after="0" w:line="240"/>
        <w:ind w:firstLine="202"/>
        <w:jc w:val="both"/>
      </w:pPr>
      <w:r>
        <w:rPr>
          <w:rFonts w:ascii="Times New Roman" w:cs="Nirmala UI" w:eastAsia="Times New Roman" w:hAnsi="Times New Roman"/>
          <w:b w:val="false"/>
          <w:bCs w:val="false"/>
          <w:i w:val="false"/>
          <w:iCs w:val="false"/>
          <w:smallCaps w:val="false"/>
        </w:rPr>
        <w:t xml:space="preserve">approximating the gold LMP score </w:t>
      </w:r>
      <w:r>
        <w:rPr>
          <w:rFonts w:ascii="Times New Roman" w:cs="Nirmala UI" w:eastAsia="Times New Roman" w:hAnsi="Times New Roman"/>
          <w:b w:val="false"/>
          <w:bCs w:val="false"/>
          <w:i w:val="false"/>
          <w:iCs w:val="false"/>
          <w:smallCaps w:val="false"/>
        </w:rPr>
        <w:t xml:space="preserve">y</w:t>
      </w:r>
      <w:r>
        <w:rPr>
          <w:rFonts w:ascii="Times New Roman" w:cs="Nirmala UI" w:eastAsia="Times New Roman" w:hAnsi="Times New Roman"/>
          <w:b w:val="false"/>
          <w:bCs w:val="false"/>
          <w:i w:val="false"/>
          <w:iCs w:val="false"/>
          <w:smallCaps w:val="false"/>
        </w:rPr>
        <w:t xml:space="preserve">. A decision rule maps the score to three classes,</w:t>
      </w:r>
    </w:p>
    <w:p>
      <w:pPr>
        <w:tabs>
          <w:tab w:val="left" w:pos="700"/>
          <w:tab w:val="left" w:pos="1500"/>
          <w:tab w:val="left" w:pos="3300"/>
          <w:tab w:val="right" w:pos="5021"/>
        </w:tabs>
        <w:spacing w:after="0" w:before="60"/>
      </w:pPr>
      <w:r>
        <w:rPr>
          <w:rFonts w:ascii="Times New Roman" w:cs="Nirmala UI" w:eastAsia="Times New Roman" w:hAnsi="Times New Roman"/>
        </w:rPr>
        <w:t xml:space="preserve">	δ(ŷ) =	Preserved	if ŷ ≥ 7.5</w:t>
      </w:r>
    </w:p>
    <w:p>
      <w:pPr>
        <w:tabs>
          <w:tab w:val="left" w:pos="700"/>
          <w:tab w:val="left" w:pos="1500"/>
          <w:tab w:val="left" w:pos="3300"/>
          <w:tab w:val="right" w:pos="5021"/>
        </w:tabs>
        <w:spacing w:after="0" w:before="0"/>
      </w:pPr>
      <w:r>
        <w:rPr>
          <w:rFonts w:ascii="Times New Roman" w:cs="Nirmala UI" w:eastAsia="Times New Roman" w:hAnsi="Times New Roman"/>
        </w:rPr>
        <w:t xml:space="preserve">		Partially preserved	if 4.5 ≤ ŷ &lt; 7.5	(2)</w:t>
      </w:r>
    </w:p>
    <w:p>
      <w:pPr>
        <w:tabs>
          <w:tab w:val="left" w:pos="700"/>
          <w:tab w:val="left" w:pos="1500"/>
          <w:tab w:val="left" w:pos="3300"/>
          <w:tab w:val="right" w:pos="5021"/>
        </w:tabs>
        <w:spacing w:after="80" w:before="0"/>
      </w:pPr>
      <w:r>
        <w:rPr>
          <w:rFonts w:ascii="Times New Roman" w:cs="Nirmala UI" w:eastAsia="Times New Roman" w:hAnsi="Times New Roman"/>
        </w:rPr>
        <w:t xml:space="preserve">		Not preserved	if ŷ &lt; 4.5</w:t>
      </w:r>
    </w:p>
    <w:p>
      <w:pPr>
        <w:spacing w:after="0" w:line="240"/>
        <w:ind w:firstLine="202"/>
        <w:jc w:val="both"/>
      </w:pPr>
      <w:r>
        <w:rPr>
          <w:rFonts w:ascii="Times New Roman" w:cs="Nirmala UI" w:eastAsia="Times New Roman" w:hAnsi="Times New Roman"/>
          <w:b w:val="false"/>
          <w:bCs w:val="false"/>
          <w:i w:val="false"/>
          <w:iCs w:val="false"/>
          <w:smallCaps w:val="false"/>
        </w:rPr>
        <w:t xml:space="preserve">and an explainer </w:t>
      </w:r>
      <w:r>
        <w:rPr>
          <w:rFonts w:ascii="Times New Roman" w:cs="Nirmala UI" w:eastAsia="Times New Roman" w:hAnsi="Times New Roman"/>
          <w:b w:val="false"/>
          <w:bCs w:val="false"/>
          <w:i w:val="false"/>
          <w:iCs w:val="false"/>
          <w:smallCaps w:val="false"/>
        </w:rPr>
        <w:t xml:space="preserve">g(o,s,ŷ)</w:t>
      </w:r>
      <w:r>
        <w:rPr>
          <w:rFonts w:ascii="Times New Roman" w:cs="Nirmala UI" w:eastAsia="Times New Roman" w:hAnsi="Times New Roman"/>
          <w:b w:val="false"/>
          <w:bCs w:val="false"/>
          <w:i w:val="false"/>
          <w:iCs w:val="false"/>
          <w:smallCaps w:val="false"/>
        </w:rPr>
        <w:t xml:space="preserve"> returns an error type </w:t>
      </w:r>
      <w:r>
        <w:rPr>
          <w:rFonts w:ascii="Times New Roman" w:cs="Nirmala UI" w:eastAsia="Times New Roman" w:hAnsi="Times New Roman"/>
          <w:b w:val="false"/>
          <w:bCs w:val="false"/>
          <w:i w:val="false"/>
          <w:iCs w:val="false"/>
          <w:smallCaps w:val="false"/>
        </w:rPr>
        <w:t xml:space="preserve">e∈ℰ</w:t>
      </w:r>
      <w:r>
        <w:rPr>
          <w:rFonts w:ascii="Times New Roman" w:cs="Nirmala UI" w:eastAsia="Times New Roman" w:hAnsi="Times New Roman"/>
          <w:b w:val="false"/>
          <w:bCs w:val="false"/>
          <w:i w:val="false"/>
          <w:iCs w:val="false"/>
          <w:smallCaps w:val="false"/>
        </w:rPr>
        <w:t xml:space="preserve"> (</w:t>
      </w:r>
      <w:r>
        <w:rPr>
          <w:rFonts w:ascii="Times New Roman" w:cs="Nirmala UI" w:eastAsia="Times New Roman" w:hAnsi="Times New Roman"/>
          <w:b w:val="false"/>
          <w:bCs w:val="false"/>
          <w:i w:val="false"/>
          <w:iCs w:val="false"/>
          <w:smallCaps w:val="false"/>
        </w:rPr>
        <w:t xml:space="preserve">|ℰ|=11</w:t>
      </w:r>
      <w:r>
        <w:rPr>
          <w:rFonts w:ascii="Times New Roman" w:cs="Nirmala UI" w:eastAsia="Times New Roman" w:hAnsi="Times New Roman"/>
          <w:b w:val="false"/>
          <w:bCs w:val="false"/>
          <w:i w:val="false"/>
          <w:iCs w:val="false"/>
          <w:smallCaps w:val="false"/>
        </w:rPr>
        <w:t xml:space="preserve"> including </w:t>
      </w:r>
      <w:r>
        <w:rPr>
          <w:rFonts w:ascii="Times New Roman" w:cs="Nirmala UI" w:eastAsia="Times New Roman" w:hAnsi="Times New Roman"/>
          <w:b w:val="false"/>
          <w:bCs w:val="false"/>
          <w:i w:val="false"/>
          <w:iCs w:val="false"/>
          <w:smallCaps/>
        </w:rPr>
        <w:t xml:space="preserve">none</w:t>
      </w:r>
      <w:r>
        <w:rPr>
          <w:rFonts w:ascii="Times New Roman" w:cs="Nirmala UI" w:eastAsia="Times New Roman" w:hAnsi="Times New Roman"/>
          <w:b w:val="false"/>
          <w:bCs w:val="false"/>
          <w:i w:val="false"/>
          <w:iCs w:val="false"/>
          <w:smallCaps w:val="false"/>
        </w:rPr>
        <w:t xml:space="preserve">) and a rationale. Models are judged by Pearson </w:t>
      </w:r>
      <w:r>
        <w:rPr>
          <w:rFonts w:ascii="Times New Roman" w:cs="Nirmala UI" w:eastAsia="Times New Roman" w:hAnsi="Times New Roman"/>
          <w:b w:val="false"/>
          <w:bCs w:val="false"/>
          <w:i w:val="false"/>
          <w:iCs w:val="false"/>
          <w:smallCaps w:val="false"/>
        </w:rPr>
        <w:t xml:space="preserve">r</w:t>
      </w:r>
      <w:r>
        <w:rPr>
          <w:rFonts w:ascii="Times New Roman" w:cs="Nirmala UI" w:eastAsia="Times New Roman" w:hAnsi="Times New Roman"/>
          <w:b w:val="false"/>
          <w:bCs w:val="false"/>
          <w:i w:val="false"/>
          <w:iCs w:val="false"/>
          <w:smallCaps w:val="false"/>
        </w:rPr>
        <w:t xml:space="preserve"> and RMSE against </w:t>
      </w:r>
      <w:r>
        <w:rPr>
          <w:rFonts w:ascii="Times New Roman" w:cs="Nirmala UI" w:eastAsia="Times New Roman" w:hAnsi="Times New Roman"/>
          <w:b w:val="false"/>
          <w:bCs w:val="false"/>
          <w:i w:val="false"/>
          <w:iCs w:val="false"/>
          <w:smallCaps w:val="false"/>
        </w:rPr>
        <w:t xml:space="preserve">y</w:t>
      </w:r>
      <w:r>
        <w:rPr>
          <w:rFonts w:ascii="Times New Roman" w:cs="Nirmala UI" w:eastAsia="Times New Roman" w:hAnsi="Times New Roman"/>
          <w:b w:val="false"/>
          <w:bCs w:val="false"/>
          <w:i w:val="false"/>
          <w:iCs w:val="false"/>
          <w:smallCaps w:val="false"/>
        </w:rPr>
        <w:t xml:space="preserve">.</w:t>
      </w:r>
    </w:p>
    <w:p>
      <w:pPr>
        <w:spacing w:after="0" w:line="240"/>
        <w:ind w:firstLine="202"/>
        <w:jc w:val="both"/>
      </w:pPr>
      <w:r>
        <w:rPr>
          <w:rFonts w:ascii="Times New Roman" w:cs="Nirmala UI" w:eastAsia="Times New Roman" w:hAnsi="Times New Roman"/>
          <w:b/>
          <w:bCs/>
          <w:i w:val="false"/>
          <w:iCs w:val="false"/>
          <w:smallCaps w:val="false"/>
        </w:rPr>
        <w:t xml:space="preserve">Motivating example.</w:t>
      </w:r>
      <w:r>
        <w:rPr>
          <w:rFonts w:ascii="Times New Roman" w:cs="Nirmala UI" w:eastAsia="Times New Roman" w:hAnsi="Times New Roman"/>
          <w:b w:val="false"/>
          <w:bCs w:val="false"/>
          <w:i w:val="false"/>
          <w:iCs w:val="false"/>
          <w:smallCaps w:val="false"/>
        </w:rPr>
        <w:t xml:space="preserve"> For the insurance clause “The policy does not cover damage … caused by wear and tear”, a faithful rewrite and a rewrite that drops “not” obtain sentence-embedding cosines of 0.85 and 0.84, although their LMP scores are 10 and 1. The same pair in Hindi obtains 0.92 for both.</w:t>
      </w:r>
    </w:p>
    <w:p>
      <w:pPr>
        <w:spacing w:after="80" w:before="200"/>
        <w:jc w:val="center"/>
      </w:pPr>
      <w:r>
        <w:rPr>
          <w:rFonts w:ascii="Times New Roman" w:cs="Nirmala UI" w:eastAsia="Times New Roman" w:hAnsi="Times New Roman"/>
          <w:smallCaps/>
          <w:sz w:val="20"/>
          <w:szCs w:val="20"/>
        </w:rPr>
        <w:t xml:space="preserve">IV. The EnHi-LMP Dataset</w:t>
      </w:r>
    </w:p>
    <w:p>
      <w:pPr>
        <w:spacing w:after="0" w:line="240"/>
        <w:ind w:firstLine="202"/>
        <w:jc w:val="both"/>
      </w:pPr>
      <w:r>
        <w:rPr>
          <w:rFonts w:ascii="Times New Roman" w:cs="Nirmala UI" w:eastAsia="Times New Roman" w:hAnsi="Times New Roman"/>
          <w:b/>
          <w:bCs/>
          <w:i w:val="false"/>
          <w:iCs w:val="false"/>
          <w:smallCaps w:val="false"/>
        </w:rPr>
        <w:t xml:space="preserve">Source clauses.</w:t>
      </w:r>
      <w:r>
        <w:rPr>
          <w:rFonts w:ascii="Times New Roman" w:cs="Nirmala UI" w:eastAsia="Times New Roman" w:hAnsi="Times New Roman"/>
          <w:b w:val="false"/>
          <w:bCs w:val="false"/>
          <w:i w:val="false"/>
          <w:iCs w:val="false"/>
          <w:smallCaps w:val="false"/>
        </w:rPr>
        <w:t xml:space="preserve"> We wrote 80 source clauses modelled on standard Indian motor/health/property insurance wordings (40) and residential rent agreements (40), and translated each into Hindi, giving parallel EN–HI clause twins.</w:t>
      </w:r>
    </w:p>
    <w:p>
      <w:pPr>
        <w:spacing w:after="0" w:line="240"/>
        <w:ind w:firstLine="202"/>
        <w:jc w:val="both"/>
      </w:pPr>
      <w:r>
        <w:rPr>
          <w:rFonts w:ascii="Times New Roman" w:cs="Nirmala UI" w:eastAsia="Times New Roman" w:hAnsi="Times New Roman"/>
          <w:b/>
          <w:bCs/>
          <w:i w:val="false"/>
          <w:iCs w:val="false"/>
          <w:smallCaps w:val="false"/>
        </w:rPr>
        <w:t xml:space="preserve">Simplifications.</w:t>
      </w:r>
      <w:r>
        <w:rPr>
          <w:rFonts w:ascii="Times New Roman" w:cs="Nirmala UI" w:eastAsia="Times New Roman" w:hAnsi="Times New Roman"/>
          <w:b w:val="false"/>
          <w:bCs w:val="false"/>
          <w:i w:val="false"/>
          <w:iCs w:val="false"/>
          <w:smallCaps w:val="false"/>
        </w:rPr>
        <w:t xml:space="preserve"> For every clause and language we wrote one faithful plain-language simplification and one simplification containing exactly one legally significant change from a ten-type taxonomy: </w:t>
      </w:r>
      <w:r>
        <w:rPr>
          <w:rFonts w:ascii="Times New Roman" w:cs="Nirmala UI" w:eastAsia="Times New Roman" w:hAnsi="Times New Roman"/>
          <w:b w:val="false"/>
          <w:bCs w:val="false"/>
          <w:i w:val="false"/>
          <w:iCs w:val="false"/>
          <w:smallCaps/>
        </w:rPr>
        <w:t xml:space="preserve">negation</w:t>
      </w:r>
      <w:r>
        <w:rPr>
          <w:rFonts w:ascii="Times New Roman" w:cs="Nirmala UI" w:eastAsia="Times New Roman" w:hAnsi="Times New Roman"/>
          <w:b w:val="false"/>
          <w:bCs w:val="false"/>
          <w:i w:val="false"/>
          <w:iCs w:val="false"/>
          <w:smallCaps w:val="false"/>
        </w:rPr>
        <w:t xml:space="preserve">, </w:t>
      </w:r>
      <w:r>
        <w:rPr>
          <w:rFonts w:ascii="Times New Roman" w:cs="Nirmala UI" w:eastAsia="Times New Roman" w:hAnsi="Times New Roman"/>
          <w:b w:val="false"/>
          <w:bCs w:val="false"/>
          <w:i w:val="false"/>
          <w:iCs w:val="false"/>
          <w:smallCaps/>
        </w:rPr>
        <w:t xml:space="preserve">modality</w:t>
      </w:r>
      <w:r>
        <w:rPr>
          <w:rFonts w:ascii="Times New Roman" w:cs="Nirmala UI" w:eastAsia="Times New Roman" w:hAnsi="Times New Roman"/>
          <w:b w:val="false"/>
          <w:bCs w:val="false"/>
          <w:i w:val="false"/>
          <w:iCs w:val="false"/>
          <w:smallCaps w:val="false"/>
        </w:rPr>
        <w:t xml:space="preserve"> (obligation</w:t>
      </w:r>
      <w:r>
        <w:rPr>
          <w:rFonts w:ascii="Times New Roman" w:cs="Nirmala UI" w:eastAsia="Times New Roman" w:hAnsi="Times New Roman"/>
          <w:b w:val="false"/>
          <w:bCs w:val="false"/>
          <w:i w:val="false"/>
          <w:iCs w:val="false"/>
          <w:smallCaps w:val="false"/>
        </w:rPr>
        <w:t xml:space="preserve">↔</w:t>
      </w:r>
      <w:r>
        <w:rPr>
          <w:rFonts w:ascii="Times New Roman" w:cs="Nirmala UI" w:eastAsia="Times New Roman" w:hAnsi="Times New Roman"/>
          <w:b w:val="false"/>
          <w:bCs w:val="false"/>
          <w:i w:val="false"/>
          <w:iCs w:val="false"/>
          <w:smallCaps w:val="false"/>
        </w:rPr>
        <w:t xml:space="preserve">permission), </w:t>
      </w:r>
      <w:r>
        <w:rPr>
          <w:rFonts w:ascii="Times New Roman" w:cs="Nirmala UI" w:eastAsia="Times New Roman" w:hAnsi="Times New Roman"/>
          <w:b w:val="false"/>
          <w:bCs w:val="false"/>
          <w:i w:val="false"/>
          <w:iCs w:val="false"/>
          <w:smallCaps/>
        </w:rPr>
        <w:t xml:space="preserve">number</w:t>
      </w:r>
      <w:r>
        <w:rPr>
          <w:rFonts w:ascii="Times New Roman" w:cs="Nirmala UI" w:eastAsia="Times New Roman" w:hAnsi="Times New Roman"/>
          <w:b w:val="false"/>
          <w:bCs w:val="false"/>
          <w:i w:val="false"/>
          <w:iCs w:val="false"/>
          <w:smallCaps w:val="false"/>
        </w:rPr>
        <w:t xml:space="preserve">, </w:t>
      </w:r>
      <w:r>
        <w:rPr>
          <w:rFonts w:ascii="Times New Roman" w:cs="Nirmala UI" w:eastAsia="Times New Roman" w:hAnsi="Times New Roman"/>
          <w:b w:val="false"/>
          <w:bCs w:val="false"/>
          <w:i w:val="false"/>
          <w:iCs w:val="false"/>
          <w:smallCaps/>
        </w:rPr>
        <w:t xml:space="preserve">date</w:t>
      </w:r>
      <w:r>
        <w:rPr>
          <w:rFonts w:ascii="Times New Roman" w:cs="Nirmala UI" w:eastAsia="Times New Roman" w:hAnsi="Times New Roman"/>
          <w:b w:val="false"/>
          <w:bCs w:val="false"/>
          <w:i w:val="false"/>
          <w:iCs w:val="false"/>
          <w:smallCaps w:val="false"/>
        </w:rPr>
        <w:t xml:space="preserve">/time limit, omitted condition (</w:t>
      </w:r>
      <w:r>
        <w:rPr>
          <w:rFonts w:ascii="Times New Roman" w:cs="Nirmala UI" w:eastAsia="Times New Roman" w:hAnsi="Times New Roman"/>
          <w:b w:val="false"/>
          <w:bCs w:val="false"/>
          <w:i w:val="false"/>
          <w:iCs w:val="false"/>
          <w:smallCaps/>
        </w:rPr>
        <w:t xml:space="preserve">omit_cond</w:t>
      </w:r>
      <w:r>
        <w:rPr>
          <w:rFonts w:ascii="Times New Roman" w:cs="Nirmala UI" w:eastAsia="Times New Roman" w:hAnsi="Times New Roman"/>
          <w:b w:val="false"/>
          <w:bCs w:val="false"/>
          <w:i w:val="false"/>
          <w:iCs w:val="false"/>
          <w:smallCaps w:val="false"/>
        </w:rPr>
        <w:t xml:space="preserve">), removed exception (</w:t>
      </w:r>
      <w:r>
        <w:rPr>
          <w:rFonts w:ascii="Times New Roman" w:cs="Nirmala UI" w:eastAsia="Times New Roman" w:hAnsi="Times New Roman"/>
          <w:b w:val="false"/>
          <w:bCs w:val="false"/>
          <w:i w:val="false"/>
          <w:iCs w:val="false"/>
          <w:smallCaps/>
        </w:rPr>
        <w:t xml:space="preserve">exc_removed</w:t>
      </w:r>
      <w:r>
        <w:rPr>
          <w:rFonts w:ascii="Times New Roman" w:cs="Nirmala UI" w:eastAsia="Times New Roman" w:hAnsi="Times New Roman"/>
          <w:b w:val="false"/>
          <w:bCs w:val="false"/>
          <w:i w:val="false"/>
          <w:iCs w:val="false"/>
          <w:smallCaps w:val="false"/>
        </w:rPr>
        <w:t xml:space="preserve">), </w:t>
      </w:r>
      <w:r>
        <w:rPr>
          <w:rFonts w:ascii="Times New Roman" w:cs="Nirmala UI" w:eastAsia="Times New Roman" w:hAnsi="Times New Roman"/>
          <w:b w:val="false"/>
          <w:bCs w:val="false"/>
          <w:i w:val="false"/>
          <w:iCs w:val="false"/>
          <w:smallCaps/>
        </w:rPr>
        <w:t xml:space="preserve">scope</w:t>
      </w:r>
      <w:r>
        <w:rPr>
          <w:rFonts w:ascii="Times New Roman" w:cs="Nirmala UI" w:eastAsia="Times New Roman" w:hAnsi="Times New Roman"/>
          <w:b w:val="false"/>
          <w:bCs w:val="false"/>
          <w:i w:val="false"/>
          <w:iCs w:val="false"/>
          <w:smallCaps w:val="false"/>
        </w:rPr>
        <w:t xml:space="preserve"> change, party/</w:t>
      </w:r>
      <w:r>
        <w:rPr>
          <w:rFonts w:ascii="Times New Roman" w:cs="Nirmala UI" w:eastAsia="Times New Roman" w:hAnsi="Times New Roman"/>
          <w:b w:val="false"/>
          <w:bCs w:val="false"/>
          <w:i w:val="false"/>
          <w:iCs w:val="false"/>
          <w:smallCaps/>
        </w:rPr>
        <w:t xml:space="preserve">entity</w:t>
      </w:r>
      <w:r>
        <w:rPr>
          <w:rFonts w:ascii="Times New Roman" w:cs="Nirmala UI" w:eastAsia="Times New Roman" w:hAnsi="Times New Roman"/>
          <w:b w:val="false"/>
          <w:bCs w:val="false"/>
          <w:i w:val="false"/>
          <w:iCs w:val="false"/>
          <w:smallCaps w:val="false"/>
        </w:rPr>
        <w:t xml:space="preserve"> swap, hallucinated content (</w:t>
      </w:r>
      <w:r>
        <w:rPr>
          <w:rFonts w:ascii="Times New Roman" w:cs="Nirmala UI" w:eastAsia="Times New Roman" w:hAnsi="Times New Roman"/>
          <w:b w:val="false"/>
          <w:bCs w:val="false"/>
          <w:i w:val="false"/>
          <w:iCs w:val="false"/>
          <w:smallCaps/>
        </w:rPr>
        <w:t xml:space="preserve">halluc</w:t>
      </w:r>
      <w:r>
        <w:rPr>
          <w:rFonts w:ascii="Times New Roman" w:cs="Nirmala UI" w:eastAsia="Times New Roman" w:hAnsi="Times New Roman"/>
          <w:b w:val="false"/>
          <w:bCs w:val="false"/>
          <w:i w:val="false"/>
          <w:iCs w:val="false"/>
          <w:smallCaps w:val="false"/>
        </w:rPr>
        <w:t xml:space="preserve">) and </w:t>
      </w:r>
      <w:r>
        <w:rPr>
          <w:rFonts w:ascii="Times New Roman" w:cs="Nirmala UI" w:eastAsia="Times New Roman" w:hAnsi="Times New Roman"/>
          <w:b w:val="false"/>
          <w:bCs w:val="false"/>
          <w:i w:val="false"/>
          <w:iCs w:val="false"/>
          <w:smallCaps/>
        </w:rPr>
        <w:t xml:space="preserve">minor</w:t>
      </w:r>
      <w:r>
        <w:rPr>
          <w:rFonts w:ascii="Times New Roman" w:cs="Nirmala UI" w:eastAsia="Times New Roman" w:hAnsi="Times New Roman"/>
          <w:b w:val="false"/>
          <w:bCs w:val="false"/>
          <w:i w:val="false"/>
          <w:iCs w:val="false"/>
          <w:smallCaps w:val="false"/>
        </w:rPr>
        <w:t xml:space="preserve"> non-essential omission. This yields </w:t>
      </w:r>
      <w:r>
        <w:rPr>
          <w:rFonts w:ascii="Times New Roman" w:cs="Nirmala UI" w:eastAsia="Times New Roman" w:hAnsi="Times New Roman"/>
          <w:b w:val="false"/>
          <w:bCs w:val="false"/>
          <w:i w:val="false"/>
          <w:iCs w:val="false"/>
          <w:smallCaps w:val="false"/>
        </w:rPr>
        <w:t xml:space="preserve">80×2×2=320</w:t>
      </w:r>
      <w:r>
        <w:rPr>
          <w:rFonts w:ascii="Times New Roman" w:cs="Nirmala UI" w:eastAsia="Times New Roman" w:hAnsi="Times New Roman"/>
          <w:b w:val="false"/>
          <w:bCs w:val="false"/>
          <w:i w:val="false"/>
          <w:iCs w:val="false"/>
          <w:smallCaps w:val="false"/>
        </w:rPr>
        <w:t xml:space="preserve"> pairs (Table I).</w:t>
      </w:r>
    </w:p>
    <w:p>
      <w:pPr>
        <w:spacing w:after="0" w:line="240"/>
        <w:ind w:firstLine="202"/>
        <w:jc w:val="both"/>
      </w:pPr>
      <w:r>
        <w:rPr>
          <w:rFonts w:ascii="Times New Roman" w:cs="Nirmala UI" w:eastAsia="Times New Roman" w:hAnsi="Times New Roman"/>
          <w:b/>
          <w:bCs/>
          <w:i w:val="false"/>
          <w:iCs w:val="false"/>
          <w:smallCaps w:val="false"/>
        </w:rPr>
        <w:t xml:space="preserve">Labels.</w:t>
      </w:r>
      <w:r>
        <w:rPr>
          <w:rFonts w:ascii="Times New Roman" w:cs="Nirmala UI" w:eastAsia="Times New Roman" w:hAnsi="Times New Roman"/>
          <w:b w:val="false"/>
          <w:bCs w:val="false"/>
          <w:i w:val="false"/>
          <w:iCs w:val="false"/>
          <w:smallCaps w:val="false"/>
        </w:rPr>
        <w:t xml:space="preserve"> Each pair carries an LMP score on JUDGEBERT's 1–10 scale assigned with a written rubric (9–10 identical legal effect; 6–7 minor detail lost; 4–5 secondary condition or scope shifted; 2–3 core condition, exception, figure, party or modality changed; 1 reversal). </w:t>
      </w:r>
      <w:r>
        <w:rPr>
          <w:rFonts w:ascii="Times New Roman" w:cs="Nirmala UI" w:eastAsia="Times New Roman" w:hAnsi="Times New Roman"/>
          <w:b w:val="false"/>
          <w:bCs w:val="false"/>
          <w:i/>
          <w:iCs/>
          <w:smallCaps w:val="false"/>
        </w:rPr>
        <w:t xml:space="preserve">In this version the scores are rubric-based silver labels</w:t>
      </w:r>
      <w:r>
        <w:rPr>
          <w:rFonts w:ascii="Times New Roman" w:cs="Nirmala UI" w:eastAsia="Times New Roman" w:hAnsi="Times New Roman"/>
          <w:b w:val="false"/>
          <w:bCs w:val="false"/>
          <w:i w:val="false"/>
          <w:iCs w:val="false"/>
          <w:smallCaps w:val="false"/>
        </w:rPr>
        <w:t xml:space="preserve">; the protocol for the final version is independent double annotation, adjudication of differences of three or more points and reporting of Krippendorff's </w:t>
      </w:r>
      <w:r>
        <w:rPr>
          <w:rFonts w:ascii="Times New Roman" w:cs="Nirmala UI" w:eastAsia="Times New Roman" w:hAnsi="Times New Roman"/>
          <w:b w:val="false"/>
          <w:bCs w:val="false"/>
          <w:i w:val="false"/>
          <w:iCs w:val="false"/>
          <w:smallCaps w:val="false"/>
        </w:rPr>
        <w:t xml:space="preserve">α</w:t>
      </w:r>
      <w:r>
        <w:rPr>
          <w:rFonts w:ascii="Times New Roman" w:cs="Nirmala UI" w:eastAsia="Times New Roman" w:hAnsi="Times New Roman"/>
          <w:b w:val="false"/>
          <w:bCs w:val="false"/>
          <w:i w:val="false"/>
          <w:iCs w:val="false"/>
          <w:smallCaps w:val="false"/>
        </w:rPr>
        <w:t xml:space="preserve"> [11].</w:t>
      </w:r>
    </w:p>
    <w:p>
      <w:pPr>
        <w:spacing w:after="0" w:line="240"/>
        <w:ind w:firstLine="202"/>
        <w:jc w:val="both"/>
      </w:pPr>
      <w:r>
        <w:rPr>
          <w:rFonts w:ascii="Times New Roman" w:cs="Nirmala UI" w:eastAsia="Times New Roman" w:hAnsi="Times New Roman"/>
          <w:b/>
          <w:bCs/>
          <w:i w:val="false"/>
          <w:iCs w:val="false"/>
          <w:smallCaps w:val="false"/>
        </w:rPr>
        <w:t xml:space="preserve">Sanity sets.</w:t>
      </w:r>
      <w:r>
        <w:rPr>
          <w:rFonts w:ascii="Times New Roman" w:cs="Nirmala UI" w:eastAsia="Times New Roman" w:hAnsi="Times New Roman"/>
          <w:b w:val="false"/>
          <w:bCs w:val="false"/>
          <w:i w:val="false"/>
          <w:iCs w:val="false"/>
          <w:smallCaps w:val="false"/>
        </w:rPr>
        <w:t xml:space="preserve"> Following JUDGEBERT, each original is paired with itself (gold 10) and with an unrelated simplification from the other domain in the same language (gold 1). These 320 pairs are never used for training.</w:t>
      </w:r>
    </w:p>
    <w:p>
      <w:pPr>
        <w:spacing w:after="80" w:before="200"/>
        <w:jc w:val="center"/>
      </w:pPr>
      <w:r>
        <w:rPr>
          <w:rFonts w:ascii="Times New Roman" w:cs="Nirmala UI" w:eastAsia="Times New Roman" w:hAnsi="Times New Roman"/>
          <w:smallCaps/>
          <w:sz w:val="20"/>
          <w:szCs w:val="20"/>
        </w:rPr>
        <w:t xml:space="preserve">V. Methods</w:t>
      </w:r>
    </w:p>
    <w:p>
      <w:pPr>
        <w:spacing w:after="60" w:before="120"/>
      </w:pPr>
      <w:r>
        <w:rPr>
          <w:rFonts w:ascii="Times New Roman" w:cs="Nirmala UI" w:eastAsia="Times New Roman" w:hAnsi="Times New Roman"/>
          <w:i/>
          <w:iCs/>
        </w:rPr>
        <w:t xml:space="preserve">A. </w:t>
      </w:r>
      <w:r>
        <w:rPr>
          <w:rFonts w:ascii="Times New Roman" w:cs="Nirmala UI" w:eastAsia="Times New Roman" w:hAnsi="Times New Roman"/>
          <w:i/>
          <w:iCs/>
        </w:rPr>
        <w:t xml:space="preserve">Generic similarity baselines</w:t>
      </w:r>
    </w:p>
    <w:p>
      <w:pPr>
        <w:spacing w:after="0" w:line="240"/>
        <w:ind w:firstLine="202"/>
        <w:jc w:val="both"/>
      </w:pPr>
      <w:r>
        <w:rPr>
          <w:rFonts w:ascii="Times New Roman" w:cs="Nirmala UI" w:eastAsia="Times New Roman" w:hAnsi="Times New Roman"/>
          <w:b w:val="false"/>
          <w:bCs w:val="false"/>
          <w:i w:val="false"/>
          <w:iCs w:val="false"/>
          <w:smallCaps w:val="false"/>
        </w:rPr>
        <w:t xml:space="preserve">We use chrF [3], sentence-embedding cosine and a BERTScore-style [6] greedy token-alignment F1. Embeddings come from WordLlama, a static distillation of Llama-2 token embeddings. Each similarity is mapped to the 1–10 scale by a linear calibrator fitted on the training fold only, so RMSE is comparable across systems.</w:t>
      </w:r>
    </w:p>
    <w:p>
      <w:pPr>
        <w:spacing w:after="60" w:before="120"/>
      </w:pPr>
      <w:r>
        <w:rPr>
          <w:rFonts w:ascii="Times New Roman" w:cs="Nirmala UI" w:eastAsia="Times New Roman" w:hAnsi="Times New Roman"/>
          <w:i/>
          <w:iCs/>
        </w:rPr>
        <w:t xml:space="preserve">B. </w:t>
      </w:r>
      <w:r>
        <w:rPr>
          <w:rFonts w:ascii="Times New Roman" w:cs="Nirmala UI" w:eastAsia="Times New Roman" w:hAnsi="Times New Roman"/>
          <w:i/>
          <w:iCs/>
        </w:rPr>
        <w:t xml:space="preserve">LegalDiff features and explainer</w:t>
      </w:r>
    </w:p>
    <w:p>
      <w:pPr>
        <w:spacing w:after="0" w:line="240"/>
        <w:ind w:firstLine="202"/>
        <w:jc w:val="both"/>
      </w:pPr>
      <w:r>
        <w:rPr>
          <w:rFonts w:ascii="Times New Roman" w:cs="Nirmala UI" w:eastAsia="Times New Roman" w:hAnsi="Times New Roman"/>
          <w:b w:val="false"/>
          <w:bCs w:val="false"/>
          <w:i w:val="false"/>
          <w:iCs w:val="false"/>
          <w:smallCaps w:val="false"/>
        </w:rPr>
        <w:t xml:space="preserve">LegalDiff compares </w:t>
      </w:r>
      <w:r>
        <w:rPr>
          <w:rFonts w:ascii="Times New Roman" w:cs="Nirmala UI" w:eastAsia="Times New Roman" w:hAnsi="Times New Roman"/>
          <w:b w:val="false"/>
          <w:bCs w:val="false"/>
          <w:i w:val="false"/>
          <w:iCs w:val="false"/>
          <w:smallCaps w:val="false"/>
        </w:rPr>
        <w:t xml:space="preserve">o</w:t>
      </w:r>
      <w:r>
        <w:rPr>
          <w:rFonts w:ascii="Times New Roman" w:cs="Nirmala UI" w:eastAsia="Times New Roman" w:hAnsi="Times New Roman"/>
          <w:b w:val="false"/>
          <w:bCs w:val="false"/>
          <w:i w:val="false"/>
          <w:iCs w:val="false"/>
          <w:smallCaps w:val="false"/>
        </w:rPr>
        <w:t xml:space="preserve"> and </w:t>
      </w:r>
      <w:r>
        <w:rPr>
          <w:rFonts w:ascii="Times New Roman" w:cs="Nirmala UI" w:eastAsia="Times New Roman" w:hAnsi="Times New Roman"/>
          <w:b w:val="false"/>
          <w:bCs w:val="false"/>
          <w:i w:val="false"/>
          <w:iCs w:val="false"/>
          <w:smallCaps w:val="false"/>
        </w:rPr>
        <w:t xml:space="preserve">s</w:t>
      </w:r>
      <w:r>
        <w:rPr>
          <w:rFonts w:ascii="Times New Roman" w:cs="Nirmala UI" w:eastAsia="Times New Roman" w:hAnsi="Times New Roman"/>
          <w:b w:val="false"/>
          <w:bCs w:val="false"/>
          <w:i w:val="false"/>
          <w:iCs w:val="false"/>
          <w:smallCaps w:val="false"/>
        </w:rPr>
        <w:t xml:space="preserve"> with bilingual lexicons and number/duration parsers (Devanagari digits and Indian number formats such as “15,00,000” and “15 lakh” are normalised). Its 19 features are: missing/added numbers, duration mismatches, negation difference, obligation and permission marker differences, a modal-flip flag, lost/added condition and exception markers, quantifier difference, party-role Jaccard distance and subject change, length ratio, lexical coverage, novelty and time-word change. A priority-ordered rule set turns the features and the predicted score into an error type and a templated rationale (e.g. “Time limit changed: 7 </w:t>
      </w:r>
      <w:r>
        <w:rPr>
          <w:rFonts w:ascii="Times New Roman" w:cs="Nirmala UI" w:eastAsia="Times New Roman" w:hAnsi="Times New Roman"/>
          <w:b w:val="false"/>
          <w:bCs w:val="false"/>
          <w:i w:val="false"/>
          <w:iCs w:val="false"/>
          <w:smallCaps w:val="false"/>
        </w:rPr>
        <w:t xml:space="preserve">→</w:t>
      </w:r>
      <w:r>
        <w:rPr>
          <w:rFonts w:ascii="Times New Roman" w:cs="Nirmala UI" w:eastAsia="Times New Roman" w:hAnsi="Times New Roman"/>
          <w:b w:val="false"/>
          <w:bCs w:val="false"/>
          <w:i w:val="false"/>
          <w:iCs w:val="false"/>
          <w:smallCaps w:val="false"/>
        </w:rPr>
        <w:t xml:space="preserve"> 30”).</w:t>
      </w:r>
    </w:p>
    <w:p>
      <w:pPr>
        <w:spacing w:after="60" w:before="120"/>
      </w:pPr>
      <w:r>
        <w:rPr>
          <w:rFonts w:ascii="Times New Roman" w:cs="Nirmala UI" w:eastAsia="Times New Roman" w:hAnsi="Times New Roman"/>
          <w:i/>
          <w:iCs/>
        </w:rPr>
        <w:t xml:space="preserve">C. </w:t>
      </w:r>
      <w:r>
        <w:rPr>
          <w:rFonts w:ascii="Times New Roman" w:cs="Nirmala UI" w:eastAsia="Times New Roman" w:hAnsi="Times New Roman"/>
          <w:i/>
          <w:iCs/>
        </w:rPr>
        <w:t xml:space="preserve">ML-JudgeBERT</w:t>
      </w:r>
    </w:p>
    <w:p>
      <w:pPr>
        <w:spacing w:after="0" w:line="240"/>
        <w:ind w:firstLine="202"/>
        <w:jc w:val="both"/>
      </w:pPr>
      <w:r>
        <w:rPr>
          <w:rFonts w:ascii="Times New Roman" w:cs="Nirmala UI" w:eastAsia="Times New Roman" w:hAnsi="Times New Roman"/>
          <w:b w:val="false"/>
          <w:bCs w:val="false"/>
          <w:i w:val="false"/>
          <w:iCs w:val="false"/>
          <w:smallCaps w:val="false"/>
        </w:rPr>
        <w:t xml:space="preserve">Following JUDGEBERT, the pair is cross-encoded as </w:t>
      </w:r>
      <w:r>
        <w:rPr>
          <w:rFonts w:ascii="Courier New" w:cs="Courier New" w:eastAsia="Courier New" w:hAnsi="Courier New"/>
          <w:b w:val="false"/>
          <w:bCs w:val="false"/>
          <w:i w:val="false"/>
          <w:iCs w:val="false"/>
          <w:smallCaps w:val="false"/>
        </w:rPr>
        <w:t xml:space="preserve">[CLS]</w:t>
      </w:r>
      <w:r>
        <w:rPr>
          <w:rFonts w:ascii="Times New Roman" w:cs="Nirmala UI" w:eastAsia="Times New Roman" w:hAnsi="Times New Roman"/>
          <w:b w:val="false"/>
          <w:bCs w:val="false"/>
          <w:i w:val="false"/>
          <w:iCs w:val="false"/>
          <w:smallCaps w:val="false"/>
        </w:rPr>
        <w:t xml:space="preserve"> </w:t>
      </w:r>
      <w:r>
        <w:rPr>
          <w:rFonts w:ascii="Times New Roman" w:cs="Nirmala UI" w:eastAsia="Times New Roman" w:hAnsi="Times New Roman"/>
          <w:b w:val="false"/>
          <w:bCs w:val="false"/>
          <w:i w:val="false"/>
          <w:iCs w:val="false"/>
          <w:smallCaps w:val="false"/>
        </w:rPr>
        <w:t xml:space="preserve">o</w:t>
      </w:r>
      <w:r>
        <w:rPr>
          <w:rFonts w:ascii="Times New Roman" w:cs="Nirmala UI" w:eastAsia="Times New Roman" w:hAnsi="Times New Roman"/>
          <w:b w:val="false"/>
          <w:bCs w:val="false"/>
          <w:i w:val="false"/>
          <w:iCs w:val="false"/>
          <w:smallCaps w:val="false"/>
        </w:rPr>
        <w:t xml:space="preserve"> </w:t>
      </w:r>
      <w:r>
        <w:rPr>
          <w:rFonts w:ascii="Courier New" w:cs="Courier New" w:eastAsia="Courier New" w:hAnsi="Courier New"/>
          <w:b w:val="false"/>
          <w:bCs w:val="false"/>
          <w:i w:val="false"/>
          <w:iCs w:val="false"/>
          <w:smallCaps w:val="false"/>
        </w:rPr>
        <w:t xml:space="preserve">[SEP]</w:t>
      </w:r>
      <w:r>
        <w:rPr>
          <w:rFonts w:ascii="Times New Roman" w:cs="Nirmala UI" w:eastAsia="Times New Roman" w:hAnsi="Times New Roman"/>
          <w:b w:val="false"/>
          <w:bCs w:val="false"/>
          <w:i w:val="false"/>
          <w:iCs w:val="false"/>
          <w:smallCaps w:val="false"/>
        </w:rPr>
        <w:t xml:space="preserve"> </w:t>
      </w:r>
      <w:r>
        <w:rPr>
          <w:rFonts w:ascii="Times New Roman" w:cs="Nirmala UI" w:eastAsia="Times New Roman" w:hAnsi="Times New Roman"/>
          <w:b w:val="false"/>
          <w:bCs w:val="false"/>
          <w:i w:val="false"/>
          <w:iCs w:val="false"/>
          <w:smallCaps w:val="false"/>
        </w:rPr>
        <w:t xml:space="preserve">s</w:t>
      </w:r>
      <w:r>
        <w:rPr>
          <w:rFonts w:ascii="Times New Roman" w:cs="Nirmala UI" w:eastAsia="Times New Roman" w:hAnsi="Times New Roman"/>
          <w:b w:val="false"/>
          <w:bCs w:val="false"/>
          <w:i w:val="false"/>
          <w:iCs w:val="false"/>
          <w:smallCaps w:val="false"/>
        </w:rPr>
        <w:t xml:space="preserve"> </w:t>
      </w:r>
      <w:r>
        <w:rPr>
          <w:rFonts w:ascii="Courier New" w:cs="Courier New" w:eastAsia="Courier New" w:hAnsi="Courier New"/>
          <w:b w:val="false"/>
          <w:bCs w:val="false"/>
          <w:i w:val="false"/>
          <w:iCs w:val="false"/>
          <w:smallCaps w:val="false"/>
        </w:rPr>
        <w:t xml:space="preserve">[SEP]</w:t>
      </w:r>
      <w:r>
        <w:rPr>
          <w:rFonts w:ascii="Times New Roman" w:cs="Nirmala UI" w:eastAsia="Times New Roman" w:hAnsi="Times New Roman"/>
          <w:b w:val="false"/>
          <w:bCs w:val="false"/>
          <w:i w:val="false"/>
          <w:iCs w:val="false"/>
          <w:smallCaps w:val="false"/>
        </w:rPr>
        <w:t xml:space="preserve"> with segment embeddings. A Transformer encoder produces token states; we pool </w:t>
      </w:r>
      <w:r>
        <w:rPr>
          <w:rFonts w:ascii="Times New Roman" w:cs="Nirmala UI" w:eastAsia="Times New Roman" w:hAnsi="Times New Roman"/>
          <w:b w:val="false"/>
          <w:bCs w:val="false"/>
          <w:i w:val="false"/>
          <w:iCs w:val="false"/>
          <w:smallCaps w:val="false"/>
        </w:rPr>
        <w:t xml:space="preserve">h_CLS</w:t>
      </w:r>
      <w:r>
        <w:rPr>
          <w:rFonts w:ascii="Times New Roman" w:cs="Nirmala UI" w:eastAsia="Times New Roman" w:hAnsi="Times New Roman"/>
          <w:b w:val="false"/>
          <w:bCs w:val="false"/>
          <w:i w:val="false"/>
          <w:iCs w:val="false"/>
          <w:smallCaps w:val="false"/>
        </w:rPr>
        <w:t xml:space="preserve"> and the mean states </w:t>
      </w:r>
      <w:r>
        <w:rPr>
          <w:rFonts w:ascii="Times New Roman" w:cs="Nirmala UI" w:eastAsia="Times New Roman" w:hAnsi="Times New Roman"/>
          <w:b w:val="false"/>
          <w:bCs w:val="false"/>
          <w:i w:val="false"/>
          <w:iCs w:val="false"/>
          <w:smallCaps w:val="false"/>
        </w:rPr>
        <w:t xml:space="preserve">u</w:t>
      </w:r>
      <w:r>
        <w:rPr>
          <w:rFonts w:ascii="Times New Roman" w:cs="Nirmala UI" w:eastAsia="Times New Roman" w:hAnsi="Times New Roman"/>
          <w:b w:val="false"/>
          <w:bCs w:val="false"/>
          <w:i w:val="false"/>
          <w:iCs w:val="false"/>
          <w:smallCaps w:val="false"/>
        </w:rPr>
        <w:t xml:space="preserve">, </w:t>
      </w:r>
      <w:r>
        <w:rPr>
          <w:rFonts w:ascii="Times New Roman" w:cs="Nirmala UI" w:eastAsia="Times New Roman" w:hAnsi="Times New Roman"/>
          <w:b w:val="false"/>
          <w:bCs w:val="false"/>
          <w:i w:val="false"/>
          <w:iCs w:val="false"/>
          <w:smallCaps w:val="false"/>
        </w:rPr>
        <w:t xml:space="preserve">v</w:t>
      </w:r>
      <w:r>
        <w:rPr>
          <w:rFonts w:ascii="Times New Roman" w:cs="Nirmala UI" w:eastAsia="Times New Roman" w:hAnsi="Times New Roman"/>
          <w:b w:val="false"/>
          <w:bCs w:val="false"/>
          <w:i w:val="false"/>
          <w:iCs w:val="false"/>
          <w:smallCaps w:val="false"/>
        </w:rPr>
        <w:t xml:space="preserve"> of the two segments into </w:t>
      </w:r>
      <w:r>
        <w:rPr>
          <w:rFonts w:ascii="Times New Roman" w:cs="Nirmala UI" w:eastAsia="Times New Roman" w:hAnsi="Times New Roman"/>
          <w:b w:val="false"/>
          <w:bCs w:val="false"/>
          <w:i w:val="false"/>
          <w:iCs w:val="false"/>
          <w:smallCaps w:val="false"/>
        </w:rPr>
        <w:t xml:space="preserve">[h_CLS;u-v;u⊙ v;|u-v|]</w:t>
      </w:r>
      <w:r>
        <w:rPr>
          <w:rFonts w:ascii="Times New Roman" w:cs="Nirmala UI" w:eastAsia="Times New Roman" w:hAnsi="Times New Roman"/>
          <w:b w:val="false"/>
          <w:bCs w:val="false"/>
          <w:i w:val="false"/>
          <w:iCs w:val="false"/>
          <w:smallCaps w:val="false"/>
        </w:rPr>
        <w:t xml:space="preserve">, optionally concatenate the standardised LegalDiff vector, and predict </w:t>
      </w:r>
      <w:r>
        <w:rPr>
          <w:rFonts w:ascii="Times New Roman" w:cs="Nirmala UI" w:eastAsia="Times New Roman" w:hAnsi="Times New Roman"/>
          <w:b w:val="false"/>
          <w:bCs w:val="false"/>
          <w:i w:val="false"/>
          <w:iCs w:val="false"/>
          <w:smallCaps w:val="false"/>
        </w:rPr>
        <w:t xml:space="preserve">ŷ=1+9 σ(MLP(·))</w:t>
      </w:r>
      <w:r>
        <w:rPr>
          <w:rFonts w:ascii="Times New Roman" w:cs="Nirmala UI" w:eastAsia="Times New Roman" w:hAnsi="Times New Roman"/>
          <w:b w:val="false"/>
          <w:bCs w:val="false"/>
          <w:i w:val="false"/>
          <w:iCs w:val="false"/>
          <w:smallCaps w:val="false"/>
        </w:rPr>
        <w:t xml:space="preserve">. Training minimises MSE with AdamW and a one-cycle schedule, using JUDGEBERT's augmentation: for every training original we add the identical pair (10) and one unrelated pair (1).</w:t>
      </w:r>
    </w:p>
    <w:p>
      <w:pPr>
        <w:spacing w:after="0" w:line="240"/>
        <w:ind w:firstLine="202"/>
        <w:jc w:val="both"/>
      </w:pPr>
      <w:r>
        <w:rPr>
          <w:rFonts w:ascii="Times New Roman" w:cs="Nirmala UI" w:eastAsia="Times New Roman" w:hAnsi="Times New Roman"/>
          <w:b/>
          <w:bCs/>
          <w:i w:val="false"/>
          <w:iCs w:val="false"/>
          <w:smallCaps w:val="false"/>
        </w:rPr>
        <w:t xml:space="preserve">Compute constraint.</w:t>
      </w:r>
      <w:r>
        <w:rPr>
          <w:rFonts w:ascii="Times New Roman" w:cs="Nirmala UI" w:eastAsia="Times New Roman" w:hAnsi="Times New Roman"/>
          <w:b w:val="false"/>
          <w:bCs w:val="false"/>
          <w:i w:val="false"/>
          <w:iCs w:val="false"/>
          <w:smallCaps w:val="false"/>
        </w:rPr>
        <w:t xml:space="preserve"> The development environment could not download pretrained checkpoints, so the encoder used here is a 2-layer, 128-dimensional Transformer with a 3k-token BPE vocabulary shared by English and Hindi, trained from scratch on CPU. A pretrained multilingual backbone (XLM-R or MuRIL) is the intended configuration and is discussed in Section IX.</w:t>
      </w:r>
    </w:p>
    <w:p>
      <w:pPr>
        <w:spacing w:after="60" w:before="120"/>
      </w:pPr>
      <w:r>
        <w:rPr>
          <w:rFonts w:ascii="Times New Roman" w:cs="Nirmala UI" w:eastAsia="Times New Roman" w:hAnsi="Times New Roman"/>
          <w:i/>
          <w:iCs/>
        </w:rPr>
        <w:t xml:space="preserve">D. </w:t>
      </w:r>
      <w:r>
        <w:rPr>
          <w:rFonts w:ascii="Times New Roman" w:cs="Nirmala UI" w:eastAsia="Times New Roman" w:hAnsi="Times New Roman"/>
          <w:i/>
          <w:iCs/>
        </w:rPr>
        <w:t xml:space="preserve">LegalDiff-GBR</w:t>
      </w:r>
    </w:p>
    <w:p>
      <w:pPr>
        <w:spacing w:after="0" w:line="240"/>
        <w:ind w:firstLine="202"/>
        <w:jc w:val="both"/>
      </w:pPr>
      <w:r>
        <w:rPr>
          <w:rFonts w:ascii="Times New Roman" w:cs="Nirmala UI" w:eastAsia="Times New Roman" w:hAnsi="Times New Roman"/>
          <w:b w:val="false"/>
          <w:bCs w:val="false"/>
          <w:i w:val="false"/>
          <w:iCs w:val="false"/>
          <w:smallCaps w:val="false"/>
        </w:rPr>
        <w:t xml:space="preserve">As an ablation without any text encoder we fit a gradient-boosted regressor (200 trees, depth 3) on the LegalDiff features, with the same augmentation.</w:t>
      </w:r>
    </w:p>
    <w:p>
      <w:pPr>
        <w:keepNext/>
        <w:spacing w:after="0" w:before="120"/>
        <w:jc w:val="center"/>
      </w:pPr>
      <w:r>
        <w:rPr>
          <w:rFonts w:ascii="Times New Roman" w:cs="Nirmala UI" w:eastAsia="Times New Roman" w:hAnsi="Times New Roman"/>
          <w:sz w:val="16"/>
          <w:szCs w:val="16"/>
        </w:rPr>
        <w:t xml:space="preserve">TABLE I</w:t>
      </w:r>
    </w:p>
    <w:p>
      <w:pPr>
        <w:keepNext/>
        <w:spacing w:after="60"/>
        <w:jc w:val="center"/>
      </w:pPr>
      <w:r>
        <w:rPr>
          <w:rFonts w:ascii="Times New Roman" w:cs="Nirmala UI" w:eastAsia="Times New Roman" w:hAnsi="Times New Roman"/>
          <w:smallCaps/>
          <w:sz w:val="16"/>
          <w:szCs w:val="16"/>
        </w:rPr>
        <w:t xml:space="preserve">EnHi-LMP dataset statistics</w:t>
      </w:r>
    </w:p>
    <w:tbl>
      <w:tblPr>
        <w:tblW w:type="dxa" w:w="5021"/>
        <w:jc w:val="center"/>
        <w:tblBorders>
          <w:top w:val="single" w:color="auto" w:sz="4"/>
          <w:left w:val="single" w:color="auto" w:sz="4"/>
          <w:bottom w:val="single" w:color="auto" w:sz="4"/>
          <w:right w:val="single" w:color="auto" w:sz="4"/>
          <w:insideH w:val="single" w:color="auto" w:sz="4"/>
          <w:insideV w:val="single" w:color="auto" w:sz="4"/>
        </w:tblBorders>
      </w:tblPr>
      <w:tblGrid>
        <w:gridCol w:w="2121"/>
        <w:gridCol w:w="900"/>
        <w:gridCol w:w="900"/>
        <w:gridCol w:w="1100"/>
      </w:tblGrid>
      <w:tr>
        <w:trPr>
          <w:cantSplit/>
          <w:tblHeader/>
        </w:trPr>
        <w:tc>
          <w:tcPr>
            <w:tcW w:type="dxa" w:w="2121"/>
            <w:tcBorders>
              <w:top w:val="single" w:color="000000" w:sz="8"/>
              <w:left w:val="none" w:color="FFFFFF" w:sz="0"/>
              <w:bottom w:val="single" w:color="000000" w:sz="4"/>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5"/>
                <w:szCs w:val="15"/>
              </w:rPr>
              <w:t xml:space="preserve"/>
            </w:r>
          </w:p>
        </w:tc>
        <w:tc>
          <w:tcPr>
            <w:tcW w:type="dxa" w:w="900"/>
            <w:tcBorders>
              <w:top w:val="single" w:color="000000" w:sz="8"/>
              <w:left w:val="none" w:color="FFFFFF" w:sz="0"/>
              <w:bottom w:val="single" w:color="000000" w:sz="4"/>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Insurance</w:t>
            </w:r>
          </w:p>
        </w:tc>
        <w:tc>
          <w:tcPr>
            <w:tcW w:type="dxa" w:w="900"/>
            <w:tcBorders>
              <w:top w:val="single" w:color="000000" w:sz="8"/>
              <w:left w:val="none" w:color="FFFFFF" w:sz="0"/>
              <w:bottom w:val="single" w:color="000000" w:sz="4"/>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Tenancy</w:t>
            </w:r>
          </w:p>
        </w:tc>
        <w:tc>
          <w:tcPr>
            <w:tcW w:type="dxa" w:w="1100"/>
            <w:tcBorders>
              <w:top w:val="single" w:color="000000" w:sz="8"/>
              <w:left w:val="none" w:color="FFFFFF" w:sz="0"/>
              <w:bottom w:val="single" w:color="000000" w:sz="4"/>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Total</w:t>
            </w:r>
          </w:p>
        </w:tc>
      </w:tr>
      <w:tr>
        <w:trPr>
          <w:cantSplit/>
          <w:tblHeader w:val="false"/>
        </w:trPr>
        <w:tc>
          <w:tcPr>
            <w:tcW w:type="dxa" w:w="212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5"/>
                <w:szCs w:val="15"/>
              </w:rPr>
              <w:t xml:space="preserve">English pairs</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80</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80</w:t>
            </w:r>
          </w:p>
        </w:tc>
        <w:tc>
          <w:tcPr>
            <w:tcW w:type="dxa" w:w="11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160</w:t>
            </w:r>
          </w:p>
        </w:tc>
      </w:tr>
      <w:tr>
        <w:trPr>
          <w:cantSplit/>
          <w:tblHeader w:val="false"/>
        </w:trPr>
        <w:tc>
          <w:tcPr>
            <w:tcW w:type="dxa" w:w="212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5"/>
                <w:szCs w:val="15"/>
              </w:rPr>
              <w:t xml:space="preserve">Hindi pairs</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80</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80</w:t>
            </w:r>
          </w:p>
        </w:tc>
        <w:tc>
          <w:tcPr>
            <w:tcW w:type="dxa" w:w="11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160</w:t>
            </w:r>
          </w:p>
        </w:tc>
      </w:tr>
      <w:tr>
        <w:trPr>
          <w:cantSplit/>
          <w:tblHeader w:val="false"/>
        </w:trPr>
        <w:tc>
          <w:tcPr>
            <w:tcW w:type="dxa" w:w="212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5"/>
                <w:szCs w:val="15"/>
              </w:rPr>
              <w:t xml:space="preserve">Faithful / single-error</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80 / 80</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80 / 80</w:t>
            </w:r>
          </w:p>
        </w:tc>
        <w:tc>
          <w:tcPr>
            <w:tcW w:type="dxa" w:w="11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160 / 160</w:t>
            </w:r>
          </w:p>
        </w:tc>
      </w:tr>
      <w:tr>
        <w:trPr>
          <w:cantSplit/>
          <w:tblHeader w:val="false"/>
        </w:trPr>
        <w:tc>
          <w:tcPr>
            <w:tcW w:type="dxa" w:w="212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5"/>
                <w:szCs w:val="15"/>
              </w:rPr>
              <w:t xml:space="preserve">Preserved / Partial / Not (gold)</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w:t>
            </w:r>
          </w:p>
        </w:tc>
        <w:tc>
          <w:tcPr>
            <w:tcW w:type="dxa" w:w="11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160 / 20 / 140</w:t>
            </w:r>
          </w:p>
        </w:tc>
      </w:tr>
      <w:tr>
        <w:trPr>
          <w:cantSplit/>
          <w:tblHeader w:val="false"/>
        </w:trPr>
        <w:tc>
          <w:tcPr>
            <w:tcW w:type="dxa" w:w="2121"/>
            <w:tcBorders>
              <w:top w:val="none" w:color="FFFFFF" w:sz="0"/>
              <w:left w:val="none" w:color="FFFFFF" w:sz="0"/>
              <w:bottom w:val="single" w:color="000000" w:sz="8"/>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5"/>
                <w:szCs w:val="15"/>
              </w:rPr>
              <w:t xml:space="preserve">Sanity: identical / unrelated</w:t>
            </w:r>
          </w:p>
        </w:tc>
        <w:tc>
          <w:tcPr>
            <w:tcW w:type="dxa" w:w="900"/>
            <w:tcBorders>
              <w:top w:val="none" w:color="FFFFFF" w:sz="0"/>
              <w:left w:val="none" w:color="FFFFFF" w:sz="0"/>
              <w:bottom w:val="single" w:color="000000" w:sz="8"/>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w:t>
            </w:r>
          </w:p>
        </w:tc>
        <w:tc>
          <w:tcPr>
            <w:tcW w:type="dxa" w:w="900"/>
            <w:tcBorders>
              <w:top w:val="none" w:color="FFFFFF" w:sz="0"/>
              <w:left w:val="none" w:color="FFFFFF" w:sz="0"/>
              <w:bottom w:val="single" w:color="000000" w:sz="8"/>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w:t>
            </w:r>
          </w:p>
        </w:tc>
        <w:tc>
          <w:tcPr>
            <w:tcW w:type="dxa" w:w="1100"/>
            <w:tcBorders>
              <w:top w:val="none" w:color="FFFFFF" w:sz="0"/>
              <w:left w:val="none" w:color="FFFFFF" w:sz="0"/>
              <w:bottom w:val="single" w:color="000000" w:sz="8"/>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160 / 160</w:t>
            </w:r>
          </w:p>
        </w:tc>
      </w:tr>
    </w:tbl>
    <w:p>
      <w:pPr>
        <w:spacing w:after="120" w:before="40"/>
        <w:jc w:val="left"/>
      </w:pPr>
      <w:r>
        <w:rPr>
          <w:rFonts w:ascii="Times New Roman" w:cs="Nirmala UI" w:eastAsia="Times New Roman" w:hAnsi="Times New Roman"/>
          <w:i/>
          <w:iCs/>
          <w:sz w:val="14"/>
          <w:szCs w:val="14"/>
        </w:rPr>
        <w:t xml:space="preserve">Error types (EN+HI): scope 22, omitted condition 20, date 20, modality 16, minor 16, hallucination 16, party 16, negation 14, exception 12, number 8.</w:t>
      </w:r>
    </w:p>
    <w:p>
      <w:pPr>
        <w:spacing w:after="80" w:before="200"/>
        <w:jc w:val="center"/>
      </w:pPr>
      <w:r>
        <w:rPr>
          <w:rFonts w:ascii="Times New Roman" w:cs="Nirmala UI" w:eastAsia="Times New Roman" w:hAnsi="Times New Roman"/>
          <w:smallCaps/>
          <w:sz w:val="20"/>
          <w:szCs w:val="20"/>
        </w:rPr>
        <w:t xml:space="preserve">VI. Experimental Setup</w:t>
      </w:r>
    </w:p>
    <w:p>
      <w:pPr>
        <w:spacing w:after="0" w:line="240"/>
        <w:ind w:firstLine="202"/>
        <w:jc w:val="both"/>
      </w:pPr>
      <w:r>
        <w:rPr>
          <w:rFonts w:ascii="Times New Roman" w:cs="Nirmala UI" w:eastAsia="Times New Roman" w:hAnsi="Times New Roman"/>
          <w:b/>
          <w:bCs/>
          <w:i w:val="false"/>
          <w:iCs w:val="false"/>
          <w:smallCaps w:val="false"/>
        </w:rPr>
        <w:t xml:space="preserve">Protocol.</w:t>
      </w:r>
      <w:r>
        <w:rPr>
          <w:rFonts w:ascii="Times New Roman" w:cs="Nirmala UI" w:eastAsia="Times New Roman" w:hAnsi="Times New Roman"/>
          <w:b w:val="false"/>
          <w:bCs w:val="false"/>
          <w:i w:val="false"/>
          <w:iCs w:val="false"/>
          <w:smallCaps w:val="false"/>
        </w:rPr>
        <w:t xml:space="preserve"> E1 uses 5-fold cross-validation </w:t>
      </w:r>
      <w:r>
        <w:rPr>
          <w:rFonts w:ascii="Times New Roman" w:cs="Nirmala UI" w:eastAsia="Times New Roman" w:hAnsi="Times New Roman"/>
          <w:b w:val="false"/>
          <w:bCs w:val="false"/>
          <w:i/>
          <w:iCs/>
          <w:smallCaps w:val="false"/>
        </w:rPr>
        <w:t xml:space="preserve">grouped by clause</w:t>
      </w:r>
      <w:r>
        <w:rPr>
          <w:rFonts w:ascii="Times New Roman" w:cs="Nirmala UI" w:eastAsia="Times New Roman" w:hAnsi="Times New Roman"/>
          <w:b w:val="false"/>
          <w:bCs w:val="false"/>
          <w:i w:val="false"/>
          <w:iCs w:val="false"/>
          <w:smallCaps w:val="false"/>
        </w:rPr>
        <w:t xml:space="preserve">: the English and Hindi twins of a clause, and both of its simplifications, always fall in the same fold, so no test clause is seen in training in either language. Learned models are run with three seeds; we report the mean and standard deviation of each metric computed over the pooled out-of-fold predictions. E2 splits the clauses into two halves and trains on one language of one half while testing on the other language of the other half (and the in-language controls). E3 trains on one domain and tests on the other, and additionally evaluates on the official FrJUDGE test split (90 French pairs with </w:t>
      </w:r>
      <w:r>
        <w:rPr>
          <w:rFonts w:ascii="Times New Roman" w:cs="Nirmala UI" w:eastAsia="Times New Roman" w:hAnsi="Times New Roman"/>
          <w:b w:val="false"/>
          <w:bCs w:val="false"/>
          <w:i/>
          <w:iCs/>
          <w:smallCaps w:val="false"/>
        </w:rPr>
        <w:t xml:space="preserve">human</w:t>
      </w:r>
      <w:r>
        <w:rPr>
          <w:rFonts w:ascii="Times New Roman" w:cs="Nirmala UI" w:eastAsia="Times New Roman" w:hAnsi="Times New Roman"/>
          <w:b w:val="false"/>
          <w:bCs w:val="false"/>
          <w:i w:val="false"/>
          <w:iCs w:val="false"/>
          <w:smallCaps w:val="false"/>
        </w:rPr>
        <w:t xml:space="preserve"> LMP labels, mean of five annotators), either zero-shot from EnHi-LMP or after training on FrJUDGE train+dev (207 pairs). E4 scores the 320 held-out sanity pairs with the E1 models, including a hybrid model trained without augmentation. E5 applies the explainer to the out-of-fold scores of the best model.</w:t>
      </w:r>
    </w:p>
    <w:p>
      <w:pPr>
        <w:spacing w:after="0" w:line="240"/>
        <w:ind w:firstLine="202"/>
        <w:jc w:val="both"/>
      </w:pPr>
      <w:r>
        <w:rPr>
          <w:rFonts w:ascii="Times New Roman" w:cs="Nirmala UI" w:eastAsia="Times New Roman" w:hAnsi="Times New Roman"/>
          <w:b/>
          <w:bCs/>
          <w:i w:val="false"/>
          <w:iCs w:val="false"/>
          <w:smallCaps w:val="false"/>
        </w:rPr>
        <w:t xml:space="preserve">Metrics.</w:t>
      </w:r>
      <w:r>
        <w:rPr>
          <w:rFonts w:ascii="Times New Roman" w:cs="Nirmala UI" w:eastAsia="Times New Roman" w:hAnsi="Times New Roman"/>
          <w:b w:val="false"/>
          <w:bCs w:val="false"/>
          <w:i w:val="false"/>
          <w:iCs w:val="false"/>
          <w:smallCaps w:val="false"/>
        </w:rPr>
        <w:t xml:space="preserve"> Pearson </w:t>
      </w:r>
      <w:r>
        <w:rPr>
          <w:rFonts w:ascii="Times New Roman" w:cs="Nirmala UI" w:eastAsia="Times New Roman" w:hAnsi="Times New Roman"/>
          <w:b w:val="false"/>
          <w:bCs w:val="false"/>
          <w:i w:val="false"/>
          <w:iCs w:val="false"/>
          <w:smallCaps w:val="false"/>
        </w:rPr>
        <w:t xml:space="preserve">r</w:t>
      </w:r>
      <w:r>
        <w:rPr>
          <w:rFonts w:ascii="Times New Roman" w:cs="Nirmala UI" w:eastAsia="Times New Roman" w:hAnsi="Times New Roman"/>
          <w:b w:val="false"/>
          <w:bCs w:val="false"/>
          <w:i w:val="false"/>
          <w:iCs w:val="false"/>
          <w:smallCaps w:val="false"/>
        </w:rPr>
        <w:t xml:space="preserve">, Spearman </w:t>
      </w:r>
      <w:r>
        <w:rPr>
          <w:rFonts w:ascii="Times New Roman" w:cs="Nirmala UI" w:eastAsia="Times New Roman" w:hAnsi="Times New Roman"/>
          <w:b w:val="false"/>
          <w:bCs w:val="false"/>
          <w:i w:val="false"/>
          <w:iCs w:val="false"/>
          <w:smallCaps w:val="false"/>
        </w:rPr>
        <w:t xml:space="preserve">ρ</w:t>
      </w:r>
      <w:r>
        <w:rPr>
          <w:rFonts w:ascii="Times New Roman" w:cs="Nirmala UI" w:eastAsia="Times New Roman" w:hAnsi="Times New Roman"/>
          <w:b w:val="false"/>
          <w:bCs w:val="false"/>
          <w:i w:val="false"/>
          <w:iCs w:val="false"/>
          <w:smallCaps w:val="false"/>
        </w:rPr>
        <w:t xml:space="preserve">, RMSE and MAE against the gold LMP; macro-F1 of the three-way decision; F1 of the “Not preserved” class; and precision, recall and F1 of the error-type classifier.</w:t>
      </w:r>
    </w:p>
    <w:p>
      <w:pPr>
        <w:spacing w:after="80" w:before="200"/>
        <w:jc w:val="center"/>
      </w:pPr>
      <w:r>
        <w:rPr>
          <w:rFonts w:ascii="Times New Roman" w:cs="Nirmala UI" w:eastAsia="Times New Roman" w:hAnsi="Times New Roman"/>
          <w:smallCaps/>
          <w:sz w:val="20"/>
          <w:szCs w:val="20"/>
        </w:rPr>
        <w:t xml:space="preserve">VII. Results</w:t>
      </w:r>
    </w:p>
    <w:p>
      <w:pPr>
        <w:spacing w:after="60" w:before="120"/>
      </w:pPr>
      <w:r>
        <w:rPr>
          <w:rFonts w:ascii="Times New Roman" w:cs="Nirmala UI" w:eastAsia="Times New Roman" w:hAnsi="Times New Roman"/>
          <w:i/>
          <w:iCs/>
        </w:rPr>
        <w:t xml:space="preserve">A. </w:t>
      </w:r>
      <w:r>
        <w:rPr>
          <w:rFonts w:ascii="Times New Roman" w:cs="Nirmala UI" w:eastAsia="Times New Roman" w:hAnsi="Times New Roman"/>
          <w:b w:val="false"/>
          <w:bCs w:val="false"/>
          <w:i/>
          <w:iCs/>
          <w:smallCaps w:val="false"/>
        </w:rPr>
        <w:t xml:space="preserve">E1: Generic similarity vs. LMP models</w:t>
      </w:r>
    </w:p>
    <w:p>
      <w:pPr>
        <w:spacing w:after="0" w:line="240"/>
        <w:ind w:firstLine="202"/>
        <w:jc w:val="both"/>
      </w:pPr>
      <w:r>
        <w:rPr>
          <w:rFonts w:ascii="Times New Roman" w:cs="Nirmala UI" w:eastAsia="Times New Roman" w:hAnsi="Times New Roman"/>
          <w:b w:val="false"/>
          <w:bCs w:val="false"/>
          <w:i w:val="false"/>
          <w:iCs w:val="false"/>
          <w:smallCaps w:val="false"/>
        </w:rPr>
        <w:t xml:space="preserve">Table II shows that the best generic metric is chrF (</w:t>
      </w:r>
      <w:r>
        <w:rPr>
          <w:rFonts w:ascii="Times New Roman" w:cs="Nirmala UI" w:eastAsia="Times New Roman" w:hAnsi="Times New Roman"/>
          <w:b w:val="false"/>
          <w:bCs w:val="false"/>
          <w:i w:val="false"/>
          <w:iCs w:val="false"/>
          <w:smallCaps w:val="false"/>
        </w:rPr>
        <w:t xml:space="preserve">r=0.37</w:t>
      </w:r>
      <w:r>
        <w:rPr>
          <w:rFonts w:ascii="Times New Roman" w:cs="Nirmala UI" w:eastAsia="Times New Roman" w:hAnsi="Times New Roman"/>
          <w:b w:val="false"/>
          <w:bCs w:val="false"/>
          <w:i w:val="false"/>
          <w:iCs w:val="false"/>
          <w:smallCaps w:val="false"/>
        </w:rPr>
        <w:t xml:space="preserve">); embedding cosine and token alignment reach only </w:t>
      </w:r>
      <w:r>
        <w:rPr>
          <w:rFonts w:ascii="Times New Roman" w:cs="Nirmala UI" w:eastAsia="Times New Roman" w:hAnsi="Times New Roman"/>
          <w:b w:val="false"/>
          <w:bCs w:val="false"/>
          <w:i w:val="false"/>
          <w:iCs w:val="false"/>
          <w:smallCaps w:val="false"/>
        </w:rPr>
        <w:t xml:space="preserve">0.18</w:t>
      </w:r>
      <w:r>
        <w:rPr>
          <w:rFonts w:ascii="Times New Roman" w:cs="Nirmala UI" w:eastAsia="Times New Roman" w:hAnsi="Times New Roman"/>
          <w:b w:val="false"/>
          <w:bCs w:val="false"/>
          <w:i w:val="false"/>
          <w:iCs w:val="false"/>
          <w:smallCaps w:val="false"/>
        </w:rPr>
        <w:t xml:space="preserve">. Because these similarities vary little between faithful and corrupted rewrites, their calibrated predictions cluster in the middle of the scale and almost never cross the “Not preserved” threshold (NP-F1 </w:t>
      </w:r>
      <w:r>
        <w:rPr>
          <w:rFonts w:ascii="Times New Roman" w:cs="Nirmala UI" w:eastAsia="Times New Roman" w:hAnsi="Times New Roman"/>
          <w:b w:val="false"/>
          <w:bCs w:val="false"/>
          <w:i w:val="false"/>
          <w:iCs w:val="false"/>
          <w:smallCaps w:val="false"/>
        </w:rPr>
        <w:t xml:space="preserve">≤ 0.25</w:t>
      </w:r>
      <w:r>
        <w:rPr>
          <w:rFonts w:ascii="Times New Roman" w:cs="Nirmala UI" w:eastAsia="Times New Roman" w:hAnsi="Times New Roman"/>
          <w:b w:val="false"/>
          <w:bCs w:val="false"/>
          <w:i w:val="false"/>
          <w:iCs w:val="false"/>
          <w:smallCaps w:val="false"/>
        </w:rPr>
        <w:t xml:space="preserve">). LegalDiff-GBR is the best system on every metric (</w:t>
      </w:r>
      <w:r>
        <w:rPr>
          <w:rFonts w:ascii="Times New Roman" w:cs="Nirmala UI" w:eastAsia="Times New Roman" w:hAnsi="Times New Roman"/>
          <w:b w:val="false"/>
          <w:bCs w:val="false"/>
          <w:i w:val="false"/>
          <w:iCs w:val="false"/>
          <w:smallCaps w:val="false"/>
        </w:rPr>
        <w:t xml:space="preserve">r=0.60</w:t>
      </w:r>
      <w:r>
        <w:rPr>
          <w:rFonts w:ascii="Times New Roman" w:cs="Nirmala UI" w:eastAsia="Times New Roman" w:hAnsi="Times New Roman"/>
          <w:b w:val="false"/>
          <w:bCs w:val="false"/>
          <w:i w:val="false"/>
          <w:iCs w:val="false"/>
          <w:smallCaps w:val="false"/>
        </w:rPr>
        <w:t xml:space="preserve">, RMSE </w:t>
      </w:r>
      <w:r>
        <w:rPr>
          <w:rFonts w:ascii="Times New Roman" w:cs="Nirmala UI" w:eastAsia="Times New Roman" w:hAnsi="Times New Roman"/>
          <w:b w:val="false"/>
          <w:bCs w:val="false"/>
          <w:i w:val="false"/>
          <w:iCs w:val="false"/>
          <w:smallCaps w:val="false"/>
        </w:rPr>
        <w:t xml:space="preserve">2.94</w:t>
      </w:r>
      <w:r>
        <w:rPr>
          <w:rFonts w:ascii="Times New Roman" w:cs="Nirmala UI" w:eastAsia="Times New Roman" w:hAnsi="Times New Roman"/>
          <w:b w:val="false"/>
          <w:bCs w:val="false"/>
          <w:i w:val="false"/>
          <w:iCs w:val="false"/>
          <w:smallCaps w:val="false"/>
        </w:rPr>
        <w:t xml:space="preserve">, NP-F1 </w:t>
      </w:r>
      <w:r>
        <w:rPr>
          <w:rFonts w:ascii="Times New Roman" w:cs="Nirmala UI" w:eastAsia="Times New Roman" w:hAnsi="Times New Roman"/>
          <w:b w:val="false"/>
          <w:bCs w:val="false"/>
          <w:i w:val="false"/>
          <w:iCs w:val="false"/>
          <w:smallCaps w:val="false"/>
        </w:rPr>
        <w:t xml:space="preserve">0.61</w:t>
      </w:r>
      <w:r>
        <w:rPr>
          <w:rFonts w:ascii="Times New Roman" w:cs="Nirmala UI" w:eastAsia="Times New Roman" w:hAnsi="Times New Roman"/>
          <w:b w:val="false"/>
          <w:bCs w:val="false"/>
          <w:i w:val="false"/>
          <w:iCs w:val="false"/>
          <w:smallCaps w:val="false"/>
        </w:rPr>
        <w:t xml:space="preserve">). The JUDGEBERT-style cross-encoder trained from scratch does not learn a useful signal from 256 training pairs on its own (</w:t>
      </w:r>
      <w:r>
        <w:rPr>
          <w:rFonts w:ascii="Times New Roman" w:cs="Nirmala UI" w:eastAsia="Times New Roman" w:hAnsi="Times New Roman"/>
          <w:b w:val="false"/>
          <w:bCs w:val="false"/>
          <w:i w:val="false"/>
          <w:iCs w:val="false"/>
          <w:smallCaps w:val="false"/>
        </w:rPr>
        <w:t xml:space="preserve">r=0.12</w:t>
      </w:r>
      <w:r>
        <w:rPr>
          <w:rFonts w:ascii="Times New Roman" w:cs="Nirmala UI" w:eastAsia="Times New Roman" w:hAnsi="Times New Roman"/>
          <w:b w:val="false"/>
          <w:bCs w:val="false"/>
          <w:i w:val="false"/>
          <w:iCs w:val="false"/>
          <w:smallCaps w:val="false"/>
        </w:rPr>
        <w:t xml:space="preserve">); fusing LegalDiff raises it to </w:t>
      </w:r>
      <w:r>
        <w:rPr>
          <w:rFonts w:ascii="Times New Roman" w:cs="Nirmala UI" w:eastAsia="Times New Roman" w:hAnsi="Times New Roman"/>
          <w:b w:val="false"/>
          <w:bCs w:val="false"/>
          <w:i w:val="false"/>
          <w:iCs w:val="false"/>
          <w:smallCaps w:val="false"/>
        </w:rPr>
        <w:t xml:space="preserve">0.44</w:t>
      </w:r>
      <w:r>
        <w:rPr>
          <w:rFonts w:ascii="Times New Roman" w:cs="Nirmala UI" w:eastAsia="Times New Roman" w:hAnsi="Times New Roman"/>
          <w:b w:val="false"/>
          <w:bCs w:val="false"/>
          <w:i w:val="false"/>
          <w:iCs w:val="false"/>
          <w:smallCaps w:val="false"/>
        </w:rPr>
        <w:t xml:space="preserve">. H1 is therefore supported for legal-aware modelling, but not yet for the encoder alone.</w:t>
      </w:r>
    </w:p>
    <w:p>
      <w:pPr>
        <w:sectPr>
          <w:type w:val="continuous"/>
          <w:pgSz w:w="11906" w:h="16838" w:orient="portrait"/>
          <w:pgMar w:top="1077" w:right="812" w:bottom="2438" w:left="812" w:header="708" w:footer="708" w:gutter="0"/>
          <w:pgNumType/>
          <w:cols w:space="239" w:num="2"/>
          <w:docGrid w:linePitch="360"/>
        </w:sectPr>
      </w:pPr>
    </w:p>
    <w:p>
      <w:pPr>
        <w:keepNext/>
        <w:spacing w:after="0" w:before="120"/>
        <w:jc w:val="center"/>
      </w:pPr>
      <w:r>
        <w:rPr>
          <w:rFonts w:ascii="Times New Roman" w:cs="Nirmala UI" w:eastAsia="Times New Roman" w:hAnsi="Times New Roman"/>
          <w:sz w:val="16"/>
          <w:szCs w:val="16"/>
        </w:rPr>
        <w:t xml:space="preserve">TABLE II</w:t>
      </w:r>
    </w:p>
    <w:p>
      <w:pPr>
        <w:keepNext/>
        <w:spacing w:after="60"/>
        <w:jc w:val="center"/>
      </w:pPr>
      <w:r>
        <w:rPr>
          <w:rFonts w:ascii="Times New Roman" w:cs="Nirmala UI" w:eastAsia="Times New Roman" w:hAnsi="Times New Roman"/>
          <w:smallCaps/>
          <w:sz w:val="16"/>
          <w:szCs w:val="16"/>
        </w:rPr>
        <w:t xml:space="preserve">E1: 5-fold grouped CV on EnHi-LMP (n = 320)</w:t>
      </w:r>
    </w:p>
    <w:tbl>
      <w:tblPr>
        <w:tblW w:type="dxa" w:w="10282"/>
        <w:jc w:val="center"/>
        <w:tblBorders>
          <w:top w:val="single" w:color="auto" w:sz="4"/>
          <w:left w:val="single" w:color="auto" w:sz="4"/>
          <w:bottom w:val="single" w:color="auto" w:sz="4"/>
          <w:right w:val="single" w:color="auto" w:sz="4"/>
          <w:insideH w:val="single" w:color="auto" w:sz="4"/>
          <w:insideV w:val="single" w:color="auto" w:sz="4"/>
        </w:tblBorders>
      </w:tblPr>
      <w:tblGrid>
        <w:gridCol w:w="2882"/>
        <w:gridCol w:w="1300"/>
        <w:gridCol w:w="1100"/>
        <w:gridCol w:w="1200"/>
        <w:gridCol w:w="1200"/>
        <w:gridCol w:w="1300"/>
        <w:gridCol w:w="1300"/>
      </w:tblGrid>
      <w:tr>
        <w:trPr>
          <w:cantSplit/>
          <w:tblHeader/>
        </w:trPr>
        <w:tc>
          <w:tcPr>
            <w:tcW w:type="dxa" w:w="2882"/>
            <w:tcBorders>
              <w:top w:val="single" w:color="000000" w:sz="8"/>
              <w:left w:val="none" w:color="FFFFFF" w:sz="0"/>
              <w:bottom w:val="single" w:color="000000" w:sz="4"/>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6"/>
                <w:szCs w:val="16"/>
              </w:rPr>
              <w:t xml:space="preserve">System</w:t>
            </w:r>
          </w:p>
        </w:tc>
        <w:tc>
          <w:tcPr>
            <w:tcW w:type="dxa" w:w="1300"/>
            <w:tcBorders>
              <w:top w:val="single" w:color="000000" w:sz="8"/>
              <w:left w:val="none" w:color="FFFFFF" w:sz="0"/>
              <w:bottom w:val="single" w:color="000000" w:sz="4"/>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6"/>
                <w:szCs w:val="16"/>
              </w:rPr>
              <w:t xml:space="preserve">r ↑</w:t>
            </w:r>
          </w:p>
        </w:tc>
        <w:tc>
          <w:tcPr>
            <w:tcW w:type="dxa" w:w="1100"/>
            <w:tcBorders>
              <w:top w:val="single" w:color="000000" w:sz="8"/>
              <w:left w:val="none" w:color="FFFFFF" w:sz="0"/>
              <w:bottom w:val="single" w:color="000000" w:sz="4"/>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6"/>
                <w:szCs w:val="16"/>
              </w:rPr>
              <w:t xml:space="preserve">ρ ↑</w:t>
            </w:r>
          </w:p>
        </w:tc>
        <w:tc>
          <w:tcPr>
            <w:tcW w:type="dxa" w:w="1200"/>
            <w:tcBorders>
              <w:top w:val="single" w:color="000000" w:sz="8"/>
              <w:left w:val="none" w:color="FFFFFF" w:sz="0"/>
              <w:bottom w:val="single" w:color="000000" w:sz="4"/>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6"/>
                <w:szCs w:val="16"/>
              </w:rPr>
              <w:t xml:space="preserve">RMSE ↓</w:t>
            </w:r>
          </w:p>
        </w:tc>
        <w:tc>
          <w:tcPr>
            <w:tcW w:type="dxa" w:w="1200"/>
            <w:tcBorders>
              <w:top w:val="single" w:color="000000" w:sz="8"/>
              <w:left w:val="none" w:color="FFFFFF" w:sz="0"/>
              <w:bottom w:val="single" w:color="000000" w:sz="4"/>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6"/>
                <w:szCs w:val="16"/>
              </w:rPr>
              <w:t xml:space="preserve">MAE ↓</w:t>
            </w:r>
          </w:p>
        </w:tc>
        <w:tc>
          <w:tcPr>
            <w:tcW w:type="dxa" w:w="1300"/>
            <w:tcBorders>
              <w:top w:val="single" w:color="000000" w:sz="8"/>
              <w:left w:val="none" w:color="FFFFFF" w:sz="0"/>
              <w:bottom w:val="single" w:color="000000" w:sz="4"/>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6"/>
                <w:szCs w:val="16"/>
              </w:rPr>
              <w:t xml:space="preserve">Dec.F1 ↑</w:t>
            </w:r>
          </w:p>
        </w:tc>
        <w:tc>
          <w:tcPr>
            <w:tcW w:type="dxa" w:w="1300"/>
            <w:tcBorders>
              <w:top w:val="single" w:color="000000" w:sz="8"/>
              <w:left w:val="none" w:color="FFFFFF" w:sz="0"/>
              <w:bottom w:val="single" w:color="000000" w:sz="4"/>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6"/>
                <w:szCs w:val="16"/>
              </w:rPr>
              <w:t xml:space="preserve">NP-F1 ↑</w:t>
            </w:r>
          </w:p>
        </w:tc>
      </w:tr>
      <w:tr>
        <w:trPr>
          <w:cantSplit/>
          <w:tblHeader w:val="false"/>
        </w:trPr>
        <w:tc>
          <w:tcPr>
            <w:tcW w:type="dxa" w:w="288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6"/>
                <w:szCs w:val="16"/>
              </w:rPr>
              <w:t xml:space="preserve">chrF</w:t>
            </w:r>
          </w:p>
        </w:tc>
        <w:tc>
          <w:tcPr>
            <w:tcW w:type="dxa" w:w="1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6"/>
                <w:szCs w:val="16"/>
              </w:rPr>
              <w:t xml:space="preserve">0.37</w:t>
            </w:r>
          </w:p>
        </w:tc>
        <w:tc>
          <w:tcPr>
            <w:tcW w:type="dxa" w:w="11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6"/>
                <w:szCs w:val="16"/>
              </w:rPr>
              <w:t xml:space="preserve">0.36</w:t>
            </w:r>
          </w:p>
        </w:tc>
        <w:tc>
          <w:tcPr>
            <w:tcW w:type="dxa" w:w="12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6"/>
                <w:szCs w:val="16"/>
              </w:rPr>
              <w:t xml:space="preserve">3.38</w:t>
            </w:r>
          </w:p>
        </w:tc>
        <w:tc>
          <w:tcPr>
            <w:tcW w:type="dxa" w:w="12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6"/>
                <w:szCs w:val="16"/>
              </w:rPr>
              <w:t xml:space="preserve">3.00</w:t>
            </w:r>
          </w:p>
        </w:tc>
        <w:tc>
          <w:tcPr>
            <w:tcW w:type="dxa" w:w="1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6"/>
                <w:szCs w:val="16"/>
              </w:rPr>
              <w:t xml:space="preserve">0.28</w:t>
            </w:r>
          </w:p>
        </w:tc>
        <w:tc>
          <w:tcPr>
            <w:tcW w:type="dxa" w:w="1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6"/>
                <w:szCs w:val="16"/>
              </w:rPr>
              <w:t xml:space="preserve">0.25</w:t>
            </w:r>
          </w:p>
        </w:tc>
      </w:tr>
      <w:tr>
        <w:trPr>
          <w:cantSplit/>
          <w:tblHeader w:val="false"/>
        </w:trPr>
        <w:tc>
          <w:tcPr>
            <w:tcW w:type="dxa" w:w="288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6"/>
                <w:szCs w:val="16"/>
              </w:rPr>
              <w:t xml:space="preserve">Embedding cosine</w:t>
            </w:r>
          </w:p>
        </w:tc>
        <w:tc>
          <w:tcPr>
            <w:tcW w:type="dxa" w:w="1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6"/>
                <w:szCs w:val="16"/>
              </w:rPr>
              <w:t xml:space="preserve">0.18</w:t>
            </w:r>
          </w:p>
        </w:tc>
        <w:tc>
          <w:tcPr>
            <w:tcW w:type="dxa" w:w="11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6"/>
                <w:szCs w:val="16"/>
              </w:rPr>
              <w:t xml:space="preserve">0.16</w:t>
            </w:r>
          </w:p>
        </w:tc>
        <w:tc>
          <w:tcPr>
            <w:tcW w:type="dxa" w:w="12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6"/>
                <w:szCs w:val="16"/>
              </w:rPr>
              <w:t xml:space="preserve">3.58</w:t>
            </w:r>
          </w:p>
        </w:tc>
        <w:tc>
          <w:tcPr>
            <w:tcW w:type="dxa" w:w="12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6"/>
                <w:szCs w:val="16"/>
              </w:rPr>
              <w:t xml:space="preserve">3.38</w:t>
            </w:r>
          </w:p>
        </w:tc>
        <w:tc>
          <w:tcPr>
            <w:tcW w:type="dxa" w:w="1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6"/>
                <w:szCs w:val="16"/>
              </w:rPr>
              <w:t xml:space="preserve">0.06</w:t>
            </w:r>
          </w:p>
        </w:tc>
        <w:tc>
          <w:tcPr>
            <w:tcW w:type="dxa" w:w="1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6"/>
                <w:szCs w:val="16"/>
              </w:rPr>
              <w:t xml:space="preserve">0.06</w:t>
            </w:r>
          </w:p>
        </w:tc>
      </w:tr>
      <w:tr>
        <w:trPr>
          <w:cantSplit/>
          <w:tblHeader w:val="false"/>
        </w:trPr>
        <w:tc>
          <w:tcPr>
            <w:tcW w:type="dxa" w:w="288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6"/>
                <w:szCs w:val="16"/>
              </w:rPr>
              <w:t xml:space="preserve">Token-align. F1</w:t>
            </w:r>
          </w:p>
        </w:tc>
        <w:tc>
          <w:tcPr>
            <w:tcW w:type="dxa" w:w="1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6"/>
                <w:szCs w:val="16"/>
              </w:rPr>
              <w:t xml:space="preserve">0.18</w:t>
            </w:r>
          </w:p>
        </w:tc>
        <w:tc>
          <w:tcPr>
            <w:tcW w:type="dxa" w:w="11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6"/>
                <w:szCs w:val="16"/>
              </w:rPr>
              <w:t xml:space="preserve">0.19</w:t>
            </w:r>
          </w:p>
        </w:tc>
        <w:tc>
          <w:tcPr>
            <w:tcW w:type="dxa" w:w="12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6"/>
                <w:szCs w:val="16"/>
              </w:rPr>
              <w:t xml:space="preserve">3.58</w:t>
            </w:r>
          </w:p>
        </w:tc>
        <w:tc>
          <w:tcPr>
            <w:tcW w:type="dxa" w:w="12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6"/>
                <w:szCs w:val="16"/>
              </w:rPr>
              <w:t xml:space="preserve">3.39</w:t>
            </w:r>
          </w:p>
        </w:tc>
        <w:tc>
          <w:tcPr>
            <w:tcW w:type="dxa" w:w="1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6"/>
                <w:szCs w:val="16"/>
              </w:rPr>
              <w:t xml:space="preserve">0.04</w:t>
            </w:r>
          </w:p>
        </w:tc>
        <w:tc>
          <w:tcPr>
            <w:tcW w:type="dxa" w:w="1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6"/>
                <w:szCs w:val="16"/>
              </w:rPr>
              <w:t xml:space="preserve">0.00</w:t>
            </w:r>
          </w:p>
        </w:tc>
      </w:tr>
      <w:tr>
        <w:trPr>
          <w:cantSplit/>
          <w:tblHeader w:val="false"/>
        </w:trPr>
        <w:tc>
          <w:tcPr>
            <w:tcW w:type="dxa" w:w="2882"/>
            <w:tcBorders>
              <w:top w:val="single" w:color="000000" w:sz="4"/>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6"/>
                <w:szCs w:val="16"/>
              </w:rPr>
              <w:t xml:space="preserve">LegalDiff-GBR</w:t>
            </w:r>
          </w:p>
        </w:tc>
        <w:tc>
          <w:tcPr>
            <w:tcW w:type="dxa" w:w="1300"/>
            <w:tcBorders>
              <w:top w:val="single" w:color="000000" w:sz="4"/>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bCs/>
                <w:sz w:val="16"/>
                <w:szCs w:val="16"/>
              </w:rPr>
              <w:t xml:space="preserve">0.60 ±0.01</w:t>
            </w:r>
          </w:p>
        </w:tc>
        <w:tc>
          <w:tcPr>
            <w:tcW w:type="dxa" w:w="1100"/>
            <w:tcBorders>
              <w:top w:val="single" w:color="000000" w:sz="4"/>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bCs/>
                <w:sz w:val="16"/>
                <w:szCs w:val="16"/>
              </w:rPr>
              <w:t xml:space="preserve">0.58</w:t>
            </w:r>
          </w:p>
        </w:tc>
        <w:tc>
          <w:tcPr>
            <w:tcW w:type="dxa" w:w="1200"/>
            <w:tcBorders>
              <w:top w:val="single" w:color="000000" w:sz="4"/>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bCs/>
                <w:sz w:val="16"/>
                <w:szCs w:val="16"/>
              </w:rPr>
              <w:t xml:space="preserve">2.94</w:t>
            </w:r>
          </w:p>
        </w:tc>
        <w:tc>
          <w:tcPr>
            <w:tcW w:type="dxa" w:w="1200"/>
            <w:tcBorders>
              <w:top w:val="single" w:color="000000" w:sz="4"/>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bCs/>
                <w:sz w:val="16"/>
                <w:szCs w:val="16"/>
              </w:rPr>
              <w:t xml:space="preserve">2.24</w:t>
            </w:r>
          </w:p>
        </w:tc>
        <w:tc>
          <w:tcPr>
            <w:tcW w:type="dxa" w:w="1300"/>
            <w:tcBorders>
              <w:top w:val="single" w:color="000000" w:sz="4"/>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bCs/>
                <w:sz w:val="16"/>
                <w:szCs w:val="16"/>
              </w:rPr>
              <w:t xml:space="preserve">0.53</w:t>
            </w:r>
          </w:p>
        </w:tc>
        <w:tc>
          <w:tcPr>
            <w:tcW w:type="dxa" w:w="1300"/>
            <w:tcBorders>
              <w:top w:val="single" w:color="000000" w:sz="4"/>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bCs/>
                <w:sz w:val="16"/>
                <w:szCs w:val="16"/>
              </w:rPr>
              <w:t xml:space="preserve">0.61</w:t>
            </w:r>
          </w:p>
        </w:tc>
      </w:tr>
      <w:tr>
        <w:trPr>
          <w:cantSplit/>
          <w:tblHeader w:val="false"/>
        </w:trPr>
        <w:tc>
          <w:tcPr>
            <w:tcW w:type="dxa" w:w="288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6"/>
                <w:szCs w:val="16"/>
              </w:rPr>
              <w:t xml:space="preserve">ML-JudgeBERT (text)</w:t>
            </w:r>
          </w:p>
        </w:tc>
        <w:tc>
          <w:tcPr>
            <w:tcW w:type="dxa" w:w="1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6"/>
                <w:szCs w:val="16"/>
              </w:rPr>
              <w:t xml:space="preserve">0.12 ±0.01</w:t>
            </w:r>
          </w:p>
        </w:tc>
        <w:tc>
          <w:tcPr>
            <w:tcW w:type="dxa" w:w="11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6"/>
                <w:szCs w:val="16"/>
              </w:rPr>
              <w:t xml:space="preserve">0.08</w:t>
            </w:r>
          </w:p>
        </w:tc>
        <w:tc>
          <w:tcPr>
            <w:tcW w:type="dxa" w:w="12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6"/>
                <w:szCs w:val="16"/>
              </w:rPr>
              <w:t xml:space="preserve">4.50</w:t>
            </w:r>
          </w:p>
        </w:tc>
        <w:tc>
          <w:tcPr>
            <w:tcW w:type="dxa" w:w="12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6"/>
                <w:szCs w:val="16"/>
              </w:rPr>
              <w:t xml:space="preserve">3.45</w:t>
            </w:r>
          </w:p>
        </w:tc>
        <w:tc>
          <w:tcPr>
            <w:tcW w:type="dxa" w:w="1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6"/>
                <w:szCs w:val="16"/>
              </w:rPr>
              <w:t xml:space="preserve">0.35</w:t>
            </w:r>
          </w:p>
        </w:tc>
        <w:tc>
          <w:tcPr>
            <w:tcW w:type="dxa" w:w="1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6"/>
                <w:szCs w:val="16"/>
              </w:rPr>
              <w:t xml:space="preserve">0.37</w:t>
            </w:r>
          </w:p>
        </w:tc>
      </w:tr>
      <w:tr>
        <w:trPr>
          <w:cantSplit/>
          <w:tblHeader w:val="false"/>
        </w:trPr>
        <w:tc>
          <w:tcPr>
            <w:tcW w:type="dxa" w:w="2882"/>
            <w:tcBorders>
              <w:top w:val="none" w:color="FFFFFF" w:sz="0"/>
              <w:left w:val="none" w:color="FFFFFF" w:sz="0"/>
              <w:bottom w:val="single" w:color="000000" w:sz="8"/>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6"/>
                <w:szCs w:val="16"/>
              </w:rPr>
              <w:t xml:space="preserve">ML-JudgeBERT+LegalDiff</w:t>
            </w:r>
          </w:p>
        </w:tc>
        <w:tc>
          <w:tcPr>
            <w:tcW w:type="dxa" w:w="1300"/>
            <w:tcBorders>
              <w:top w:val="none" w:color="FFFFFF" w:sz="0"/>
              <w:left w:val="none" w:color="FFFFFF" w:sz="0"/>
              <w:bottom w:val="single" w:color="000000" w:sz="8"/>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6"/>
                <w:szCs w:val="16"/>
              </w:rPr>
              <w:t xml:space="preserve">0.44 ±0.02</w:t>
            </w:r>
          </w:p>
        </w:tc>
        <w:tc>
          <w:tcPr>
            <w:tcW w:type="dxa" w:w="1100"/>
            <w:tcBorders>
              <w:top w:val="none" w:color="FFFFFF" w:sz="0"/>
              <w:left w:val="none" w:color="FFFFFF" w:sz="0"/>
              <w:bottom w:val="single" w:color="000000" w:sz="8"/>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6"/>
                <w:szCs w:val="16"/>
              </w:rPr>
              <w:t xml:space="preserve">0.45</w:t>
            </w:r>
          </w:p>
        </w:tc>
        <w:tc>
          <w:tcPr>
            <w:tcW w:type="dxa" w:w="1200"/>
            <w:tcBorders>
              <w:top w:val="none" w:color="FFFFFF" w:sz="0"/>
              <w:left w:val="none" w:color="FFFFFF" w:sz="0"/>
              <w:bottom w:val="single" w:color="000000" w:sz="8"/>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6"/>
                <w:szCs w:val="16"/>
              </w:rPr>
              <w:t xml:space="preserve">3.82</w:t>
            </w:r>
          </w:p>
        </w:tc>
        <w:tc>
          <w:tcPr>
            <w:tcW w:type="dxa" w:w="1200"/>
            <w:tcBorders>
              <w:top w:val="none" w:color="FFFFFF" w:sz="0"/>
              <w:left w:val="none" w:color="FFFFFF" w:sz="0"/>
              <w:bottom w:val="single" w:color="000000" w:sz="8"/>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6"/>
                <w:szCs w:val="16"/>
              </w:rPr>
              <w:t xml:space="preserve">2.63</w:t>
            </w:r>
          </w:p>
        </w:tc>
        <w:tc>
          <w:tcPr>
            <w:tcW w:type="dxa" w:w="1300"/>
            <w:tcBorders>
              <w:top w:val="none" w:color="FFFFFF" w:sz="0"/>
              <w:left w:val="none" w:color="FFFFFF" w:sz="0"/>
              <w:bottom w:val="single" w:color="000000" w:sz="8"/>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6"/>
                <w:szCs w:val="16"/>
              </w:rPr>
              <w:t xml:space="preserve">0.42</w:t>
            </w:r>
          </w:p>
        </w:tc>
        <w:tc>
          <w:tcPr>
            <w:tcW w:type="dxa" w:w="1300"/>
            <w:tcBorders>
              <w:top w:val="none" w:color="FFFFFF" w:sz="0"/>
              <w:left w:val="none" w:color="FFFFFF" w:sz="0"/>
              <w:bottom w:val="single" w:color="000000" w:sz="8"/>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6"/>
                <w:szCs w:val="16"/>
              </w:rPr>
              <w:t xml:space="preserve">0.46</w:t>
            </w:r>
          </w:p>
        </w:tc>
      </w:tr>
    </w:tbl>
    <w:p>
      <w:pPr>
        <w:spacing w:after="120" w:before="40"/>
        <w:jc w:val="left"/>
      </w:pPr>
      <w:r>
        <w:rPr>
          <w:rFonts w:ascii="Times New Roman" w:cs="Nirmala UI" w:eastAsia="Times New Roman" w:hAnsi="Times New Roman"/>
          <w:i/>
          <w:iCs/>
          <w:sz w:val="14"/>
          <w:szCs w:val="14"/>
        </w:rPr>
        <w:t xml:space="preserve">Learned models: mean ± s.d. over 3 seeds; bold = best.</w:t>
      </w:r>
    </w:p>
    <w:p>
      <w:pPr>
        <w:sectPr>
          <w:type w:val="continuous"/>
          <w:pgSz w:w="11906" w:h="16838" w:orient="portrait"/>
          <w:pgMar w:top="1077" w:right="812" w:bottom="2438" w:left="812" w:header="708" w:footer="708" w:gutter="0"/>
          <w:pgNumType/>
          <w:cols w:num="1"/>
          <w:docGrid w:linePitch="360"/>
        </w:sectPr>
      </w:pPr>
    </w:p>
    <w:p>
      <w:pPr>
        <w:spacing w:after="60" w:before="120"/>
      </w:pPr>
      <w:r>
        <w:rPr>
          <w:rFonts w:ascii="Times New Roman" w:cs="Nirmala UI" w:eastAsia="Times New Roman" w:hAnsi="Times New Roman"/>
          <w:i/>
          <w:iCs/>
        </w:rPr>
        <w:t xml:space="preserve">B. </w:t>
      </w:r>
      <w:r>
        <w:rPr>
          <w:rFonts w:ascii="Times New Roman" w:cs="Nirmala UI" w:eastAsia="Times New Roman" w:hAnsi="Times New Roman"/>
          <w:b w:val="false"/>
          <w:bCs w:val="false"/>
          <w:i/>
          <w:iCs/>
          <w:smallCaps w:val="false"/>
        </w:rPr>
        <w:t xml:space="preserve">E2: English vs. Hindi</w:t>
      </w:r>
    </w:p>
    <w:p>
      <w:pPr>
        <w:spacing w:after="0" w:line="240"/>
        <w:ind w:firstLine="202"/>
        <w:jc w:val="both"/>
      </w:pPr>
      <w:r>
        <w:rPr>
          <w:rFonts w:ascii="Times New Roman" w:cs="Nirmala UI" w:eastAsia="Times New Roman" w:hAnsi="Times New Roman"/>
          <w:b w:val="false"/>
          <w:bCs w:val="false"/>
          <w:i w:val="false"/>
          <w:iCs w:val="false"/>
          <w:smallCaps w:val="false"/>
        </w:rPr>
        <w:t xml:space="preserve">Table III breaks E1 down by language and domain. The generic embedding metrics lose almost half of their correlation on Hindi (cosine </w:t>
      </w:r>
      <w:r>
        <w:rPr>
          <w:rFonts w:ascii="Times New Roman" w:cs="Nirmala UI" w:eastAsia="Times New Roman" w:hAnsi="Times New Roman"/>
          <w:b w:val="false"/>
          <w:bCs w:val="false"/>
          <w:i w:val="false"/>
          <w:iCs w:val="false"/>
          <w:smallCaps w:val="false"/>
        </w:rPr>
        <w:t xml:space="preserve">0.38→0.21</w:t>
      </w:r>
      <w:r>
        <w:rPr>
          <w:rFonts w:ascii="Times New Roman" w:cs="Nirmala UI" w:eastAsia="Times New Roman" w:hAnsi="Times New Roman"/>
          <w:b w:val="false"/>
          <w:bCs w:val="false"/>
          <w:i w:val="false"/>
          <w:iCs w:val="false"/>
          <w:smallCaps w:val="false"/>
        </w:rPr>
        <w:t xml:space="preserve">; token alignment </w:t>
      </w:r>
      <w:r>
        <w:rPr>
          <w:rFonts w:ascii="Times New Roman" w:cs="Nirmala UI" w:eastAsia="Times New Roman" w:hAnsi="Times New Roman"/>
          <w:b w:val="false"/>
          <w:bCs w:val="false"/>
          <w:i w:val="false"/>
          <w:iCs w:val="false"/>
          <w:smallCaps w:val="false"/>
        </w:rPr>
        <w:t xml:space="preserve">0.42→0.28</w:t>
      </w:r>
      <w:r>
        <w:rPr>
          <w:rFonts w:ascii="Times New Roman" w:cs="Nirmala UI" w:eastAsia="Times New Roman" w:hAnsi="Times New Roman"/>
          <w:b w:val="false"/>
          <w:bCs w:val="false"/>
          <w:i w:val="false"/>
          <w:iCs w:val="false"/>
          <w:smallCaps w:val="false"/>
        </w:rPr>
        <w:t xml:space="preserve">): the English-centric tokenizer splits Devanagari into characters, so unrelated Hindi sentences look similar. LegalDiff-GBR is language-stable (</w:t>
      </w:r>
      <w:r>
        <w:rPr>
          <w:rFonts w:ascii="Times New Roman" w:cs="Nirmala UI" w:eastAsia="Times New Roman" w:hAnsi="Times New Roman"/>
          <w:b w:val="false"/>
          <w:bCs w:val="false"/>
          <w:i w:val="false"/>
          <w:iCs w:val="false"/>
          <w:smallCaps w:val="false"/>
        </w:rPr>
        <w:t xml:space="preserve">0.60</w:t>
      </w:r>
      <w:r>
        <w:rPr>
          <w:rFonts w:ascii="Times New Roman" w:cs="Nirmala UI" w:eastAsia="Times New Roman" w:hAnsi="Times New Roman"/>
          <w:b w:val="false"/>
          <w:bCs w:val="false"/>
          <w:i w:val="false"/>
          <w:iCs w:val="false"/>
          <w:smallCaps w:val="false"/>
        </w:rPr>
        <w:t xml:space="preserve"> vs. </w:t>
      </w:r>
      <w:r>
        <w:rPr>
          <w:rFonts w:ascii="Times New Roman" w:cs="Nirmala UI" w:eastAsia="Times New Roman" w:hAnsi="Times New Roman"/>
          <w:b w:val="false"/>
          <w:bCs w:val="false"/>
          <w:i w:val="false"/>
          <w:iCs w:val="false"/>
          <w:smallCaps w:val="false"/>
        </w:rPr>
        <w:t xml:space="preserve">0.59</w:t>
      </w:r>
      <w:r>
        <w:rPr>
          <w:rFonts w:ascii="Times New Roman" w:cs="Nirmala UI" w:eastAsia="Times New Roman" w:hAnsi="Times New Roman"/>
          <w:b w:val="false"/>
          <w:bCs w:val="false"/>
          <w:i w:val="false"/>
          <w:iCs w:val="false"/>
          <w:smallCaps w:val="false"/>
        </w:rPr>
        <w:t xml:space="preserve">). In cross-lingual transfer (Table IV) LegalDiff-GBR trained on English reaches </w:t>
      </w:r>
      <w:r>
        <w:rPr>
          <w:rFonts w:ascii="Times New Roman" w:cs="Nirmala UI" w:eastAsia="Times New Roman" w:hAnsi="Times New Roman"/>
          <w:b w:val="false"/>
          <w:bCs w:val="false"/>
          <w:i w:val="false"/>
          <w:iCs w:val="false"/>
          <w:smallCaps w:val="false"/>
        </w:rPr>
        <w:t xml:space="preserve">r=0.48</w:t>
      </w:r>
      <w:r>
        <w:rPr>
          <w:rFonts w:ascii="Times New Roman" w:cs="Nirmala UI" w:eastAsia="Times New Roman" w:hAnsi="Times New Roman"/>
          <w:b w:val="false"/>
          <w:bCs w:val="false"/>
          <w:i w:val="false"/>
          <w:iCs w:val="false"/>
          <w:smallCaps w:val="false"/>
        </w:rPr>
        <w:t xml:space="preserve"> on Hindi and, trained on Hindi, </w:t>
      </w:r>
      <w:r>
        <w:rPr>
          <w:rFonts w:ascii="Times New Roman" w:cs="Nirmala UI" w:eastAsia="Times New Roman" w:hAnsi="Times New Roman"/>
          <w:b w:val="false"/>
          <w:bCs w:val="false"/>
          <w:i w:val="false"/>
          <w:iCs w:val="false"/>
          <w:smallCaps w:val="false"/>
        </w:rPr>
        <w:t xml:space="preserve">0.54</w:t>
      </w:r>
      <w:r>
        <w:rPr>
          <w:rFonts w:ascii="Times New Roman" w:cs="Nirmala UI" w:eastAsia="Times New Roman" w:hAnsi="Times New Roman"/>
          <w:b w:val="false"/>
          <w:bCs w:val="false"/>
          <w:i w:val="false"/>
          <w:iCs w:val="false"/>
          <w:smallCaps w:val="false"/>
        </w:rPr>
        <w:t xml:space="preserve"> on English, close to the in-language controls (</w:t>
      </w:r>
      <w:r>
        <w:rPr>
          <w:rFonts w:ascii="Times New Roman" w:cs="Nirmala UI" w:eastAsia="Times New Roman" w:hAnsi="Times New Roman"/>
          <w:b w:val="false"/>
          <w:bCs w:val="false"/>
          <w:i w:val="false"/>
          <w:iCs w:val="false"/>
          <w:smallCaps w:val="false"/>
        </w:rPr>
        <w:t xml:space="preserve">0.50</w:t>
      </w:r>
      <w:r>
        <w:rPr>
          <w:rFonts w:ascii="Times New Roman" w:cs="Nirmala UI" w:eastAsia="Times New Roman" w:hAnsi="Times New Roman"/>
          <w:b w:val="false"/>
          <w:bCs w:val="false"/>
          <w:i w:val="false"/>
          <w:iCs w:val="false"/>
          <w:smallCaps w:val="false"/>
        </w:rPr>
        <w:t xml:space="preserve"> and </w:t>
      </w:r>
      <w:r>
        <w:rPr>
          <w:rFonts w:ascii="Times New Roman" w:cs="Nirmala UI" w:eastAsia="Times New Roman" w:hAnsi="Times New Roman"/>
          <w:b w:val="false"/>
          <w:bCs w:val="false"/>
          <w:i w:val="false"/>
          <w:iCs w:val="false"/>
          <w:smallCaps w:val="false"/>
        </w:rPr>
        <w:t xml:space="preserve">0.55</w:t>
      </w:r>
      <w:r>
        <w:rPr>
          <w:rFonts w:ascii="Times New Roman" w:cs="Nirmala UI" w:eastAsia="Times New Roman" w:hAnsi="Times New Roman"/>
          <w:b w:val="false"/>
          <w:bCs w:val="false"/>
          <w:i w:val="false"/>
          <w:iCs w:val="false"/>
          <w:smallCaps w:val="false"/>
        </w:rPr>
        <w:t xml:space="preserve">), whereas embedding cosine collapses to </w:t>
      </w:r>
      <w:r>
        <w:rPr>
          <w:rFonts w:ascii="Times New Roman" w:cs="Nirmala UI" w:eastAsia="Times New Roman" w:hAnsi="Times New Roman"/>
          <w:b w:val="false"/>
          <w:bCs w:val="false"/>
          <w:i w:val="false"/>
          <w:iCs w:val="false"/>
          <w:smallCaps w:val="false"/>
        </w:rPr>
        <w:t xml:space="preserve">0.04</w:t>
      </w:r>
      <w:r>
        <w:rPr>
          <w:rFonts w:ascii="Times New Roman" w:cs="Nirmala UI" w:eastAsia="Times New Roman" w:hAnsi="Times New Roman"/>
          <w:b w:val="false"/>
          <w:bCs w:val="false"/>
          <w:i w:val="false"/>
          <w:iCs w:val="false"/>
          <w:smallCaps w:val="false"/>
        </w:rPr>
        <w:t xml:space="preserve"> on Hindi.</w:t>
      </w:r>
    </w:p>
    <w:p>
      <w:pPr>
        <w:keepNext/>
        <w:spacing w:after="0" w:before="120"/>
        <w:jc w:val="center"/>
      </w:pPr>
      <w:r>
        <w:rPr>
          <w:rFonts w:ascii="Times New Roman" w:cs="Nirmala UI" w:eastAsia="Times New Roman" w:hAnsi="Times New Roman"/>
          <w:sz w:val="16"/>
          <w:szCs w:val="16"/>
        </w:rPr>
        <w:t xml:space="preserve">TABLE III</w:t>
      </w:r>
    </w:p>
    <w:p>
      <w:pPr>
        <w:keepNext/>
        <w:spacing w:after="60"/>
        <w:jc w:val="center"/>
      </w:pPr>
      <w:r>
        <w:rPr>
          <w:rFonts w:ascii="Times New Roman" w:cs="Nirmala UI" w:eastAsia="Times New Roman" w:hAnsi="Times New Roman"/>
          <w:smallCaps/>
          <w:sz w:val="16"/>
          <w:szCs w:val="16"/>
        </w:rPr>
        <w:t xml:space="preserve">Pearson r by language and domain (E1/E2)</w:t>
      </w:r>
    </w:p>
    <w:tbl>
      <w:tblPr>
        <w:tblW w:type="dxa" w:w="5021"/>
        <w:jc w:val="center"/>
        <w:tblBorders>
          <w:top w:val="single" w:color="auto" w:sz="4"/>
          <w:left w:val="single" w:color="auto" w:sz="4"/>
          <w:bottom w:val="single" w:color="auto" w:sz="4"/>
          <w:right w:val="single" w:color="auto" w:sz="4"/>
          <w:insideH w:val="single" w:color="auto" w:sz="4"/>
          <w:insideV w:val="single" w:color="auto" w:sz="4"/>
        </w:tblBorders>
      </w:tblPr>
      <w:tblGrid>
        <w:gridCol w:w="1921"/>
        <w:gridCol w:w="700"/>
        <w:gridCol w:w="700"/>
        <w:gridCol w:w="850"/>
        <w:gridCol w:w="850"/>
      </w:tblGrid>
      <w:tr>
        <w:trPr>
          <w:cantSplit/>
          <w:tblHeader/>
        </w:trPr>
        <w:tc>
          <w:tcPr>
            <w:tcW w:type="dxa" w:w="1921"/>
            <w:tcBorders>
              <w:top w:val="single" w:color="000000" w:sz="8"/>
              <w:left w:val="none" w:color="FFFFFF" w:sz="0"/>
              <w:bottom w:val="single" w:color="000000" w:sz="4"/>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5"/>
                <w:szCs w:val="15"/>
              </w:rPr>
              <w:t xml:space="preserve">System</w:t>
            </w:r>
          </w:p>
        </w:tc>
        <w:tc>
          <w:tcPr>
            <w:tcW w:type="dxa" w:w="700"/>
            <w:tcBorders>
              <w:top w:val="single" w:color="000000" w:sz="8"/>
              <w:left w:val="none" w:color="FFFFFF" w:sz="0"/>
              <w:bottom w:val="single" w:color="000000" w:sz="4"/>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EN</w:t>
            </w:r>
          </w:p>
        </w:tc>
        <w:tc>
          <w:tcPr>
            <w:tcW w:type="dxa" w:w="700"/>
            <w:tcBorders>
              <w:top w:val="single" w:color="000000" w:sz="8"/>
              <w:left w:val="none" w:color="FFFFFF" w:sz="0"/>
              <w:bottom w:val="single" w:color="000000" w:sz="4"/>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HI</w:t>
            </w:r>
          </w:p>
        </w:tc>
        <w:tc>
          <w:tcPr>
            <w:tcW w:type="dxa" w:w="850"/>
            <w:tcBorders>
              <w:top w:val="single" w:color="000000" w:sz="8"/>
              <w:left w:val="none" w:color="FFFFFF" w:sz="0"/>
              <w:bottom w:val="single" w:color="000000" w:sz="4"/>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Insurance</w:t>
            </w:r>
          </w:p>
        </w:tc>
        <w:tc>
          <w:tcPr>
            <w:tcW w:type="dxa" w:w="850"/>
            <w:tcBorders>
              <w:top w:val="single" w:color="000000" w:sz="8"/>
              <w:left w:val="none" w:color="FFFFFF" w:sz="0"/>
              <w:bottom w:val="single" w:color="000000" w:sz="4"/>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Tenancy</w:t>
            </w:r>
          </w:p>
        </w:tc>
      </w:tr>
      <w:tr>
        <w:trPr>
          <w:cantSplit/>
          <w:tblHeader w:val="false"/>
        </w:trPr>
        <w:tc>
          <w:tcPr>
            <w:tcW w:type="dxa" w:w="192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5"/>
                <w:szCs w:val="15"/>
              </w:rPr>
              <w:t xml:space="preserve">chrF</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0.36</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0.38</w:t>
            </w:r>
          </w:p>
        </w:tc>
        <w:tc>
          <w:tcPr>
            <w:tcW w:type="dxa" w:w="8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0.36</w:t>
            </w:r>
          </w:p>
        </w:tc>
        <w:tc>
          <w:tcPr>
            <w:tcW w:type="dxa" w:w="8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0.38</w:t>
            </w:r>
          </w:p>
        </w:tc>
      </w:tr>
      <w:tr>
        <w:trPr>
          <w:cantSplit/>
          <w:tblHeader w:val="false"/>
        </w:trPr>
        <w:tc>
          <w:tcPr>
            <w:tcW w:type="dxa" w:w="192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5"/>
                <w:szCs w:val="15"/>
              </w:rPr>
              <w:t xml:space="preserve">Embedding cosine</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0.38</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0.21</w:t>
            </w:r>
          </w:p>
        </w:tc>
        <w:tc>
          <w:tcPr>
            <w:tcW w:type="dxa" w:w="8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0.17</w:t>
            </w:r>
          </w:p>
        </w:tc>
        <w:tc>
          <w:tcPr>
            <w:tcW w:type="dxa" w:w="8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0.19</w:t>
            </w:r>
          </w:p>
        </w:tc>
      </w:tr>
      <w:tr>
        <w:trPr>
          <w:cantSplit/>
          <w:tblHeader w:val="false"/>
        </w:trPr>
        <w:tc>
          <w:tcPr>
            <w:tcW w:type="dxa" w:w="192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5"/>
                <w:szCs w:val="15"/>
              </w:rPr>
              <w:t xml:space="preserve">Token-align. F1</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0.42</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0.28</w:t>
            </w:r>
          </w:p>
        </w:tc>
        <w:tc>
          <w:tcPr>
            <w:tcW w:type="dxa" w:w="8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0.13</w:t>
            </w:r>
          </w:p>
        </w:tc>
        <w:tc>
          <w:tcPr>
            <w:tcW w:type="dxa" w:w="8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0.22</w:t>
            </w:r>
          </w:p>
        </w:tc>
      </w:tr>
      <w:tr>
        <w:trPr>
          <w:cantSplit/>
          <w:tblHeader w:val="false"/>
        </w:trPr>
        <w:tc>
          <w:tcPr>
            <w:tcW w:type="dxa" w:w="1921"/>
            <w:tcBorders>
              <w:top w:val="single" w:color="000000" w:sz="4"/>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5"/>
                <w:szCs w:val="15"/>
              </w:rPr>
              <w:t xml:space="preserve">LegalDiff-GBR</w:t>
            </w:r>
          </w:p>
        </w:tc>
        <w:tc>
          <w:tcPr>
            <w:tcW w:type="dxa" w:w="700"/>
            <w:tcBorders>
              <w:top w:val="single" w:color="000000" w:sz="4"/>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0.60</w:t>
            </w:r>
          </w:p>
        </w:tc>
        <w:tc>
          <w:tcPr>
            <w:tcW w:type="dxa" w:w="700"/>
            <w:tcBorders>
              <w:top w:val="single" w:color="000000" w:sz="4"/>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0.59</w:t>
            </w:r>
          </w:p>
        </w:tc>
        <w:tc>
          <w:tcPr>
            <w:tcW w:type="dxa" w:w="850"/>
            <w:tcBorders>
              <w:top w:val="single" w:color="000000" w:sz="4"/>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0.59</w:t>
            </w:r>
          </w:p>
        </w:tc>
        <w:tc>
          <w:tcPr>
            <w:tcW w:type="dxa" w:w="850"/>
            <w:tcBorders>
              <w:top w:val="single" w:color="000000" w:sz="4"/>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0.61</w:t>
            </w:r>
          </w:p>
        </w:tc>
      </w:tr>
      <w:tr>
        <w:trPr>
          <w:cantSplit/>
          <w:tblHeader w:val="false"/>
        </w:trPr>
        <w:tc>
          <w:tcPr>
            <w:tcW w:type="dxa" w:w="192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5"/>
                <w:szCs w:val="15"/>
              </w:rPr>
              <w:t xml:space="preserve">ML-JudgeBERT (text)</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0.10</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0.13</w:t>
            </w:r>
          </w:p>
        </w:tc>
        <w:tc>
          <w:tcPr>
            <w:tcW w:type="dxa" w:w="8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0.10</w:t>
            </w:r>
          </w:p>
        </w:tc>
        <w:tc>
          <w:tcPr>
            <w:tcW w:type="dxa" w:w="8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0.13</w:t>
            </w:r>
          </w:p>
        </w:tc>
      </w:tr>
      <w:tr>
        <w:trPr>
          <w:cantSplit/>
          <w:tblHeader w:val="false"/>
        </w:trPr>
        <w:tc>
          <w:tcPr>
            <w:tcW w:type="dxa" w:w="1921"/>
            <w:tcBorders>
              <w:top w:val="none" w:color="FFFFFF" w:sz="0"/>
              <w:left w:val="none" w:color="FFFFFF" w:sz="0"/>
              <w:bottom w:val="single" w:color="000000" w:sz="8"/>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5"/>
                <w:szCs w:val="15"/>
              </w:rPr>
              <w:t xml:space="preserve">ML-JudgeBERT+LegalDiff</w:t>
            </w:r>
          </w:p>
        </w:tc>
        <w:tc>
          <w:tcPr>
            <w:tcW w:type="dxa" w:w="700"/>
            <w:tcBorders>
              <w:top w:val="none" w:color="FFFFFF" w:sz="0"/>
              <w:left w:val="none" w:color="FFFFFF" w:sz="0"/>
              <w:bottom w:val="single" w:color="000000" w:sz="8"/>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0.41</w:t>
            </w:r>
          </w:p>
        </w:tc>
        <w:tc>
          <w:tcPr>
            <w:tcW w:type="dxa" w:w="700"/>
            <w:tcBorders>
              <w:top w:val="none" w:color="FFFFFF" w:sz="0"/>
              <w:left w:val="none" w:color="FFFFFF" w:sz="0"/>
              <w:bottom w:val="single" w:color="000000" w:sz="8"/>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0.46</w:t>
            </w:r>
          </w:p>
        </w:tc>
        <w:tc>
          <w:tcPr>
            <w:tcW w:type="dxa" w:w="850"/>
            <w:tcBorders>
              <w:top w:val="none" w:color="FFFFFF" w:sz="0"/>
              <w:left w:val="none" w:color="FFFFFF" w:sz="0"/>
              <w:bottom w:val="single" w:color="000000" w:sz="8"/>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0.36</w:t>
            </w:r>
          </w:p>
        </w:tc>
        <w:tc>
          <w:tcPr>
            <w:tcW w:type="dxa" w:w="850"/>
            <w:tcBorders>
              <w:top w:val="none" w:color="FFFFFF" w:sz="0"/>
              <w:left w:val="none" w:color="FFFFFF" w:sz="0"/>
              <w:bottom w:val="single" w:color="000000" w:sz="8"/>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0.51</w:t>
            </w:r>
          </w:p>
        </w:tc>
      </w:tr>
    </w:tbl>
    <w:p>
      <w:pPr>
        <w:spacing w:after="120" w:before="40"/>
        <w:jc w:val="left"/>
      </w:pPr>
      <w:r>
        <w:rPr>
          <w:rFonts w:ascii="Times New Roman" w:cs="Nirmala UI" w:eastAsia="Times New Roman" w:hAnsi="Times New Roman"/>
          <w:i/>
          <w:iCs/>
          <w:sz w:val="14"/>
          <w:szCs w:val="14"/>
        </w:rPr>
        <w:t xml:space="preserve"/>
      </w:r>
    </w:p>
    <w:p>
      <w:pPr>
        <w:sectPr>
          <w:type w:val="continuous"/>
          <w:pgSz w:w="11906" w:h="16838" w:orient="portrait"/>
          <w:pgMar w:top="1077" w:right="812" w:bottom="2438" w:left="812" w:header="708" w:footer="708" w:gutter="0"/>
          <w:pgNumType/>
          <w:cols w:space="239" w:num="2"/>
          <w:docGrid w:linePitch="360"/>
        </w:sectPr>
      </w:pPr>
    </w:p>
    <w:p>
      <w:pPr>
        <w:keepNext/>
        <w:spacing w:after="0" w:before="120"/>
        <w:jc w:val="center"/>
      </w:pPr>
      <w:r>
        <w:rPr>
          <w:rFonts w:ascii="Times New Roman" w:cs="Nirmala UI" w:eastAsia="Times New Roman" w:hAnsi="Times New Roman"/>
          <w:sz w:val="16"/>
          <w:szCs w:val="16"/>
        </w:rPr>
        <w:t xml:space="preserve">TABLE IV</w:t>
      </w:r>
    </w:p>
    <w:p>
      <w:pPr>
        <w:keepNext/>
        <w:spacing w:after="60"/>
        <w:jc w:val="center"/>
      </w:pPr>
      <w:r>
        <w:rPr>
          <w:rFonts w:ascii="Times New Roman" w:cs="Nirmala UI" w:eastAsia="Times New Roman" w:hAnsi="Times New Roman"/>
          <w:smallCaps/>
          <w:sz w:val="16"/>
          <w:szCs w:val="16"/>
        </w:rPr>
        <w:t xml:space="preserve">E2/E3: Transfer across language, domain and to human-labelled FrJUDGE (Pearson r)</w:t>
      </w:r>
    </w:p>
    <w:tbl>
      <w:tblPr>
        <w:tblW w:type="dxa" w:w="10282"/>
        <w:jc w:val="center"/>
        <w:tblBorders>
          <w:top w:val="single" w:color="auto" w:sz="4"/>
          <w:left w:val="single" w:color="auto" w:sz="4"/>
          <w:bottom w:val="single" w:color="auto" w:sz="4"/>
          <w:right w:val="single" w:color="auto" w:sz="4"/>
          <w:insideH w:val="single" w:color="auto" w:sz="4"/>
          <w:insideV w:val="single" w:color="auto" w:sz="4"/>
        </w:tblBorders>
      </w:tblPr>
      <w:tblGrid>
        <w:gridCol w:w="2082"/>
        <w:gridCol w:w="1000"/>
        <w:gridCol w:w="1200"/>
        <w:gridCol w:w="1400"/>
        <w:gridCol w:w="1400"/>
        <w:gridCol w:w="1500"/>
        <w:gridCol w:w="1700"/>
      </w:tblGrid>
      <w:tr>
        <w:trPr>
          <w:cantSplit/>
          <w:tblHeader/>
        </w:trPr>
        <w:tc>
          <w:tcPr>
            <w:tcW w:type="dxa" w:w="2082"/>
            <w:tcBorders>
              <w:top w:val="single" w:color="000000" w:sz="8"/>
              <w:left w:val="none" w:color="FFFFFF" w:sz="0"/>
              <w:bottom w:val="single" w:color="000000" w:sz="4"/>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6"/>
                <w:szCs w:val="16"/>
              </w:rPr>
              <w:t xml:space="preserve">Train → test</w:t>
            </w:r>
          </w:p>
        </w:tc>
        <w:tc>
          <w:tcPr>
            <w:tcW w:type="dxa" w:w="1000"/>
            <w:tcBorders>
              <w:top w:val="single" w:color="000000" w:sz="8"/>
              <w:left w:val="none" w:color="FFFFFF" w:sz="0"/>
              <w:bottom w:val="single" w:color="000000" w:sz="4"/>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6"/>
                <w:szCs w:val="16"/>
              </w:rPr>
              <w:t xml:space="preserve">chrF</w:t>
            </w:r>
          </w:p>
        </w:tc>
        <w:tc>
          <w:tcPr>
            <w:tcW w:type="dxa" w:w="1200"/>
            <w:tcBorders>
              <w:top w:val="single" w:color="000000" w:sz="8"/>
              <w:left w:val="none" w:color="FFFFFF" w:sz="0"/>
              <w:bottom w:val="single" w:color="000000" w:sz="4"/>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6"/>
                <w:szCs w:val="16"/>
              </w:rPr>
              <w:t xml:space="preserve">Emb. cosine</w:t>
            </w:r>
          </w:p>
        </w:tc>
        <w:tc>
          <w:tcPr>
            <w:tcW w:type="dxa" w:w="1400"/>
            <w:tcBorders>
              <w:top w:val="single" w:color="000000" w:sz="8"/>
              <w:left w:val="none" w:color="FFFFFF" w:sz="0"/>
              <w:bottom w:val="single" w:color="000000" w:sz="4"/>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6"/>
                <w:szCs w:val="16"/>
              </w:rPr>
              <w:t xml:space="preserve">Token-align. F1</w:t>
            </w:r>
          </w:p>
        </w:tc>
        <w:tc>
          <w:tcPr>
            <w:tcW w:type="dxa" w:w="1400"/>
            <w:tcBorders>
              <w:top w:val="single" w:color="000000" w:sz="8"/>
              <w:left w:val="none" w:color="FFFFFF" w:sz="0"/>
              <w:bottom w:val="single" w:color="000000" w:sz="4"/>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6"/>
                <w:szCs w:val="16"/>
              </w:rPr>
              <w:t xml:space="preserve">LegalDiff-GBR</w:t>
            </w:r>
          </w:p>
        </w:tc>
        <w:tc>
          <w:tcPr>
            <w:tcW w:type="dxa" w:w="1500"/>
            <w:tcBorders>
              <w:top w:val="single" w:color="000000" w:sz="8"/>
              <w:left w:val="none" w:color="FFFFFF" w:sz="0"/>
              <w:bottom w:val="single" w:color="000000" w:sz="4"/>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6"/>
                <w:szCs w:val="16"/>
              </w:rPr>
              <w:t xml:space="preserve">ML-JudgeBERT (text)</w:t>
            </w:r>
          </w:p>
        </w:tc>
        <w:tc>
          <w:tcPr>
            <w:tcW w:type="dxa" w:w="1700"/>
            <w:tcBorders>
              <w:top w:val="single" w:color="000000" w:sz="8"/>
              <w:left w:val="none" w:color="FFFFFF" w:sz="0"/>
              <w:bottom w:val="single" w:color="000000" w:sz="4"/>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6"/>
                <w:szCs w:val="16"/>
              </w:rPr>
              <w:t xml:space="preserve">ML-JudgeBERT+LegalDiff</w:t>
            </w:r>
          </w:p>
        </w:tc>
      </w:tr>
      <w:tr>
        <w:trPr>
          <w:cantSplit/>
          <w:tblHeader w:val="false"/>
        </w:trPr>
        <w:tc>
          <w:tcPr>
            <w:tcW w:type="dxa" w:w="208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6"/>
                <w:szCs w:val="16"/>
              </w:rPr>
              <w:t xml:space="preserve">EN→HI</w:t>
            </w:r>
          </w:p>
        </w:tc>
        <w:tc>
          <w:tcPr>
            <w:tcW w:type="dxa" w:w="10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6"/>
                <w:szCs w:val="16"/>
              </w:rPr>
              <w:t xml:space="preserve">0.39</w:t>
            </w:r>
          </w:p>
        </w:tc>
        <w:tc>
          <w:tcPr>
            <w:tcW w:type="dxa" w:w="12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6"/>
                <w:szCs w:val="16"/>
              </w:rPr>
              <w:t xml:space="preserve">0.04</w:t>
            </w:r>
          </w:p>
        </w:tc>
        <w:tc>
          <w:tcPr>
            <w:tcW w:type="dxa" w:w="14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6"/>
                <w:szCs w:val="16"/>
              </w:rPr>
              <w:t xml:space="preserve">0.16</w:t>
            </w:r>
          </w:p>
        </w:tc>
        <w:tc>
          <w:tcPr>
            <w:tcW w:type="dxa" w:w="14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bCs/>
                <w:sz w:val="16"/>
                <w:szCs w:val="16"/>
              </w:rPr>
              <w:t xml:space="preserve">0.48</w:t>
            </w:r>
          </w:p>
        </w:tc>
        <w:tc>
          <w:tcPr>
            <w:tcW w:type="dxa" w:w="1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6"/>
                <w:szCs w:val="16"/>
              </w:rPr>
              <w:t xml:space="preserve">0.08</w:t>
            </w:r>
          </w:p>
        </w:tc>
        <w:tc>
          <w:tcPr>
            <w:tcW w:type="dxa" w:w="1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6"/>
                <w:szCs w:val="16"/>
              </w:rPr>
              <w:t xml:space="preserve">0.36</w:t>
            </w:r>
          </w:p>
        </w:tc>
      </w:tr>
      <w:tr>
        <w:trPr>
          <w:cantSplit/>
          <w:tblHeader w:val="false"/>
        </w:trPr>
        <w:tc>
          <w:tcPr>
            <w:tcW w:type="dxa" w:w="208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6"/>
                <w:szCs w:val="16"/>
              </w:rPr>
              <w:t xml:space="preserve">HI→EN</w:t>
            </w:r>
          </w:p>
        </w:tc>
        <w:tc>
          <w:tcPr>
            <w:tcW w:type="dxa" w:w="10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6"/>
                <w:szCs w:val="16"/>
              </w:rPr>
              <w:t xml:space="preserve">0.37</w:t>
            </w:r>
          </w:p>
        </w:tc>
        <w:tc>
          <w:tcPr>
            <w:tcW w:type="dxa" w:w="12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6"/>
                <w:szCs w:val="16"/>
              </w:rPr>
              <w:t xml:space="preserve">0.26</w:t>
            </w:r>
          </w:p>
        </w:tc>
        <w:tc>
          <w:tcPr>
            <w:tcW w:type="dxa" w:w="14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6"/>
                <w:szCs w:val="16"/>
              </w:rPr>
              <w:t xml:space="preserve">0.24</w:t>
            </w:r>
          </w:p>
        </w:tc>
        <w:tc>
          <w:tcPr>
            <w:tcW w:type="dxa" w:w="14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bCs/>
                <w:sz w:val="16"/>
                <w:szCs w:val="16"/>
              </w:rPr>
              <w:t xml:space="preserve">0.54</w:t>
            </w:r>
          </w:p>
        </w:tc>
        <w:tc>
          <w:tcPr>
            <w:tcW w:type="dxa" w:w="1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6"/>
                <w:szCs w:val="16"/>
              </w:rPr>
              <w:t xml:space="preserve">0.06</w:t>
            </w:r>
          </w:p>
        </w:tc>
        <w:tc>
          <w:tcPr>
            <w:tcW w:type="dxa" w:w="1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6"/>
                <w:szCs w:val="16"/>
              </w:rPr>
              <w:t xml:space="preserve">0.42</w:t>
            </w:r>
          </w:p>
        </w:tc>
      </w:tr>
      <w:tr>
        <w:trPr>
          <w:cantSplit/>
          <w:tblHeader w:val="false"/>
        </w:trPr>
        <w:tc>
          <w:tcPr>
            <w:tcW w:type="dxa" w:w="208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6"/>
                <w:szCs w:val="16"/>
              </w:rPr>
              <w:t xml:space="preserve">EN→EN</w:t>
            </w:r>
          </w:p>
        </w:tc>
        <w:tc>
          <w:tcPr>
            <w:tcW w:type="dxa" w:w="10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6"/>
                <w:szCs w:val="16"/>
              </w:rPr>
              <w:t xml:space="preserve">0.37</w:t>
            </w:r>
          </w:p>
        </w:tc>
        <w:tc>
          <w:tcPr>
            <w:tcW w:type="dxa" w:w="12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6"/>
                <w:szCs w:val="16"/>
              </w:rPr>
              <w:t xml:space="preserve">0.35</w:t>
            </w:r>
          </w:p>
        </w:tc>
        <w:tc>
          <w:tcPr>
            <w:tcW w:type="dxa" w:w="14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6"/>
                <w:szCs w:val="16"/>
              </w:rPr>
              <w:t xml:space="preserve">0.42</w:t>
            </w:r>
          </w:p>
        </w:tc>
        <w:tc>
          <w:tcPr>
            <w:tcW w:type="dxa" w:w="14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bCs/>
                <w:sz w:val="16"/>
                <w:szCs w:val="16"/>
              </w:rPr>
              <w:t xml:space="preserve">0.55</w:t>
            </w:r>
          </w:p>
        </w:tc>
        <w:tc>
          <w:tcPr>
            <w:tcW w:type="dxa" w:w="1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6"/>
                <w:szCs w:val="16"/>
              </w:rPr>
              <w:t xml:space="preserve">0.11</w:t>
            </w:r>
          </w:p>
        </w:tc>
        <w:tc>
          <w:tcPr>
            <w:tcW w:type="dxa" w:w="1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6"/>
                <w:szCs w:val="16"/>
              </w:rPr>
              <w:t xml:space="preserve">0.39</w:t>
            </w:r>
          </w:p>
        </w:tc>
      </w:tr>
      <w:tr>
        <w:trPr>
          <w:cantSplit/>
          <w:tblHeader w:val="false"/>
        </w:trPr>
        <w:tc>
          <w:tcPr>
            <w:tcW w:type="dxa" w:w="208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6"/>
                <w:szCs w:val="16"/>
              </w:rPr>
              <w:t xml:space="preserve">HI→HI</w:t>
            </w:r>
          </w:p>
        </w:tc>
        <w:tc>
          <w:tcPr>
            <w:tcW w:type="dxa" w:w="10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6"/>
                <w:szCs w:val="16"/>
              </w:rPr>
              <w:t xml:space="preserve">0.37</w:t>
            </w:r>
          </w:p>
        </w:tc>
        <w:tc>
          <w:tcPr>
            <w:tcW w:type="dxa" w:w="12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6"/>
                <w:szCs w:val="16"/>
              </w:rPr>
              <w:t xml:space="preserve">0.25</w:t>
            </w:r>
          </w:p>
        </w:tc>
        <w:tc>
          <w:tcPr>
            <w:tcW w:type="dxa" w:w="14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6"/>
                <w:szCs w:val="16"/>
              </w:rPr>
              <w:t xml:space="preserve">0.28</w:t>
            </w:r>
          </w:p>
        </w:tc>
        <w:tc>
          <w:tcPr>
            <w:tcW w:type="dxa" w:w="14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bCs/>
                <w:sz w:val="16"/>
                <w:szCs w:val="16"/>
              </w:rPr>
              <w:t xml:space="preserve">0.50</w:t>
            </w:r>
          </w:p>
        </w:tc>
        <w:tc>
          <w:tcPr>
            <w:tcW w:type="dxa" w:w="1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6"/>
                <w:szCs w:val="16"/>
              </w:rPr>
              <w:t xml:space="preserve">0.14</w:t>
            </w:r>
          </w:p>
        </w:tc>
        <w:tc>
          <w:tcPr>
            <w:tcW w:type="dxa" w:w="1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6"/>
                <w:szCs w:val="16"/>
              </w:rPr>
              <w:t xml:space="preserve">0.34</w:t>
            </w:r>
          </w:p>
        </w:tc>
      </w:tr>
      <w:tr>
        <w:trPr>
          <w:cantSplit/>
          <w:tblHeader w:val="false"/>
        </w:trPr>
        <w:tc>
          <w:tcPr>
            <w:tcW w:type="dxa" w:w="2082"/>
            <w:tcBorders>
              <w:top w:val="single" w:color="000000" w:sz="4"/>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6"/>
                <w:szCs w:val="16"/>
              </w:rPr>
              <w:t xml:space="preserve">Ins.→Ten.</w:t>
            </w:r>
          </w:p>
        </w:tc>
        <w:tc>
          <w:tcPr>
            <w:tcW w:type="dxa" w:w="1000"/>
            <w:tcBorders>
              <w:top w:val="single" w:color="000000" w:sz="4"/>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6"/>
                <w:szCs w:val="16"/>
              </w:rPr>
              <w:t xml:space="preserve">0.40</w:t>
            </w:r>
          </w:p>
        </w:tc>
        <w:tc>
          <w:tcPr>
            <w:tcW w:type="dxa" w:w="1200"/>
            <w:tcBorders>
              <w:top w:val="single" w:color="000000" w:sz="4"/>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6"/>
                <w:szCs w:val="16"/>
              </w:rPr>
              <w:t xml:space="preserve">0.20</w:t>
            </w:r>
          </w:p>
        </w:tc>
        <w:tc>
          <w:tcPr>
            <w:tcW w:type="dxa" w:w="1400"/>
            <w:tcBorders>
              <w:top w:val="single" w:color="000000" w:sz="4"/>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6"/>
                <w:szCs w:val="16"/>
              </w:rPr>
              <w:t xml:space="preserve">0.22</w:t>
            </w:r>
          </w:p>
        </w:tc>
        <w:tc>
          <w:tcPr>
            <w:tcW w:type="dxa" w:w="1400"/>
            <w:tcBorders>
              <w:top w:val="single" w:color="000000" w:sz="4"/>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bCs/>
                <w:sz w:val="16"/>
                <w:szCs w:val="16"/>
              </w:rPr>
              <w:t xml:space="preserve">0.55</w:t>
            </w:r>
          </w:p>
        </w:tc>
        <w:tc>
          <w:tcPr>
            <w:tcW w:type="dxa" w:w="1500"/>
            <w:tcBorders>
              <w:top w:val="single" w:color="000000" w:sz="4"/>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6"/>
                <w:szCs w:val="16"/>
              </w:rPr>
              <w:t xml:space="preserve">0.19</w:t>
            </w:r>
          </w:p>
        </w:tc>
        <w:tc>
          <w:tcPr>
            <w:tcW w:type="dxa" w:w="1700"/>
            <w:tcBorders>
              <w:top w:val="single" w:color="000000" w:sz="4"/>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6"/>
                <w:szCs w:val="16"/>
              </w:rPr>
              <w:t xml:space="preserve">0.51</w:t>
            </w:r>
          </w:p>
        </w:tc>
      </w:tr>
      <w:tr>
        <w:trPr>
          <w:cantSplit/>
          <w:tblHeader w:val="false"/>
        </w:trPr>
        <w:tc>
          <w:tcPr>
            <w:tcW w:type="dxa" w:w="208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6"/>
                <w:szCs w:val="16"/>
              </w:rPr>
              <w:t xml:space="preserve">Ten.→Ins.</w:t>
            </w:r>
          </w:p>
        </w:tc>
        <w:tc>
          <w:tcPr>
            <w:tcW w:type="dxa" w:w="10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6"/>
                <w:szCs w:val="16"/>
              </w:rPr>
              <w:t xml:space="preserve">0.36</w:t>
            </w:r>
          </w:p>
        </w:tc>
        <w:tc>
          <w:tcPr>
            <w:tcW w:type="dxa" w:w="12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6"/>
                <w:szCs w:val="16"/>
              </w:rPr>
              <w:t xml:space="preserve">0.17</w:t>
            </w:r>
          </w:p>
        </w:tc>
        <w:tc>
          <w:tcPr>
            <w:tcW w:type="dxa" w:w="14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6"/>
                <w:szCs w:val="16"/>
              </w:rPr>
              <w:t xml:space="preserve">0.14</w:t>
            </w:r>
          </w:p>
        </w:tc>
        <w:tc>
          <w:tcPr>
            <w:tcW w:type="dxa" w:w="14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bCs/>
                <w:sz w:val="16"/>
                <w:szCs w:val="16"/>
              </w:rPr>
              <w:t xml:space="preserve">0.57</w:t>
            </w:r>
          </w:p>
        </w:tc>
        <w:tc>
          <w:tcPr>
            <w:tcW w:type="dxa" w:w="1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6"/>
                <w:szCs w:val="16"/>
              </w:rPr>
              <w:t xml:space="preserve">0.26</w:t>
            </w:r>
          </w:p>
        </w:tc>
        <w:tc>
          <w:tcPr>
            <w:tcW w:type="dxa" w:w="1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6"/>
                <w:szCs w:val="16"/>
              </w:rPr>
              <w:t xml:space="preserve">0.38</w:t>
            </w:r>
          </w:p>
        </w:tc>
      </w:tr>
      <w:tr>
        <w:trPr>
          <w:cantSplit/>
          <w:tblHeader w:val="false"/>
        </w:trPr>
        <w:tc>
          <w:tcPr>
            <w:tcW w:type="dxa" w:w="2082"/>
            <w:tcBorders>
              <w:top w:val="single" w:color="000000" w:sz="4"/>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6"/>
                <w:szCs w:val="16"/>
              </w:rPr>
              <w:t xml:space="preserve">EnHi→FrJUDGE</w:t>
            </w:r>
          </w:p>
        </w:tc>
        <w:tc>
          <w:tcPr>
            <w:tcW w:type="dxa" w:w="1000"/>
            <w:tcBorders>
              <w:top w:val="single" w:color="000000" w:sz="4"/>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6"/>
                <w:szCs w:val="16"/>
              </w:rPr>
              <w:t xml:space="preserve">0.47</w:t>
            </w:r>
          </w:p>
        </w:tc>
        <w:tc>
          <w:tcPr>
            <w:tcW w:type="dxa" w:w="1200"/>
            <w:tcBorders>
              <w:top w:val="single" w:color="000000" w:sz="4"/>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6"/>
                <w:szCs w:val="16"/>
              </w:rPr>
              <w:t xml:space="preserve">-0.17</w:t>
            </w:r>
          </w:p>
        </w:tc>
        <w:tc>
          <w:tcPr>
            <w:tcW w:type="dxa" w:w="1400"/>
            <w:tcBorders>
              <w:top w:val="single" w:color="000000" w:sz="4"/>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6"/>
                <w:szCs w:val="16"/>
              </w:rPr>
              <w:t xml:space="preserve">0.03</w:t>
            </w:r>
          </w:p>
        </w:tc>
        <w:tc>
          <w:tcPr>
            <w:tcW w:type="dxa" w:w="1400"/>
            <w:tcBorders>
              <w:top w:val="single" w:color="000000" w:sz="4"/>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6"/>
                <w:szCs w:val="16"/>
              </w:rPr>
              <w:t xml:space="preserve">0.56</w:t>
            </w:r>
          </w:p>
        </w:tc>
        <w:tc>
          <w:tcPr>
            <w:tcW w:type="dxa" w:w="1500"/>
            <w:tcBorders>
              <w:top w:val="single" w:color="000000" w:sz="4"/>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6"/>
                <w:szCs w:val="16"/>
              </w:rPr>
              <w:t xml:space="preserve">0.23</w:t>
            </w:r>
          </w:p>
        </w:tc>
        <w:tc>
          <w:tcPr>
            <w:tcW w:type="dxa" w:w="1700"/>
            <w:tcBorders>
              <w:top w:val="single" w:color="000000" w:sz="4"/>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bCs/>
                <w:sz w:val="16"/>
                <w:szCs w:val="16"/>
              </w:rPr>
              <w:t xml:space="preserve">0.59</w:t>
            </w:r>
          </w:p>
        </w:tc>
      </w:tr>
      <w:tr>
        <w:trPr>
          <w:cantSplit/>
          <w:tblHeader w:val="false"/>
        </w:trPr>
        <w:tc>
          <w:tcPr>
            <w:tcW w:type="dxa" w:w="2082"/>
            <w:tcBorders>
              <w:top w:val="none" w:color="FFFFFF" w:sz="0"/>
              <w:left w:val="none" w:color="FFFFFF" w:sz="0"/>
              <w:bottom w:val="single" w:color="000000" w:sz="8"/>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6"/>
                <w:szCs w:val="16"/>
              </w:rPr>
              <w:t xml:space="preserve">FrJUDGE→FrJUDGE</w:t>
            </w:r>
          </w:p>
        </w:tc>
        <w:tc>
          <w:tcPr>
            <w:tcW w:type="dxa" w:w="1000"/>
            <w:tcBorders>
              <w:top w:val="none" w:color="FFFFFF" w:sz="0"/>
              <w:left w:val="none" w:color="FFFFFF" w:sz="0"/>
              <w:bottom w:val="single" w:color="000000" w:sz="8"/>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6"/>
                <w:szCs w:val="16"/>
              </w:rPr>
              <w:t xml:space="preserve">0.47</w:t>
            </w:r>
          </w:p>
        </w:tc>
        <w:tc>
          <w:tcPr>
            <w:tcW w:type="dxa" w:w="1200"/>
            <w:tcBorders>
              <w:top w:val="none" w:color="FFFFFF" w:sz="0"/>
              <w:left w:val="none" w:color="FFFFFF" w:sz="0"/>
              <w:bottom w:val="single" w:color="000000" w:sz="8"/>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6"/>
                <w:szCs w:val="16"/>
              </w:rPr>
              <w:t xml:space="preserve">-0.17</w:t>
            </w:r>
          </w:p>
        </w:tc>
        <w:tc>
          <w:tcPr>
            <w:tcW w:type="dxa" w:w="1400"/>
            <w:tcBorders>
              <w:top w:val="none" w:color="FFFFFF" w:sz="0"/>
              <w:left w:val="none" w:color="FFFFFF" w:sz="0"/>
              <w:bottom w:val="single" w:color="000000" w:sz="8"/>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6"/>
                <w:szCs w:val="16"/>
              </w:rPr>
              <w:t xml:space="preserve">0.03</w:t>
            </w:r>
          </w:p>
        </w:tc>
        <w:tc>
          <w:tcPr>
            <w:tcW w:type="dxa" w:w="1400"/>
            <w:tcBorders>
              <w:top w:val="none" w:color="FFFFFF" w:sz="0"/>
              <w:left w:val="none" w:color="FFFFFF" w:sz="0"/>
              <w:bottom w:val="single" w:color="000000" w:sz="8"/>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bCs/>
                <w:sz w:val="16"/>
                <w:szCs w:val="16"/>
              </w:rPr>
              <w:t xml:space="preserve">0.60</w:t>
            </w:r>
          </w:p>
        </w:tc>
        <w:tc>
          <w:tcPr>
            <w:tcW w:type="dxa" w:w="1500"/>
            <w:tcBorders>
              <w:top w:val="none" w:color="FFFFFF" w:sz="0"/>
              <w:left w:val="none" w:color="FFFFFF" w:sz="0"/>
              <w:bottom w:val="single" w:color="000000" w:sz="8"/>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6"/>
                <w:szCs w:val="16"/>
              </w:rPr>
              <w:t xml:space="preserve">0.22</w:t>
            </w:r>
          </w:p>
        </w:tc>
        <w:tc>
          <w:tcPr>
            <w:tcW w:type="dxa" w:w="1700"/>
            <w:tcBorders>
              <w:top w:val="none" w:color="FFFFFF" w:sz="0"/>
              <w:left w:val="none" w:color="FFFFFF" w:sz="0"/>
              <w:bottom w:val="single" w:color="000000" w:sz="8"/>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6"/>
                <w:szCs w:val="16"/>
              </w:rPr>
              <w:t xml:space="preserve">0.48</w:t>
            </w:r>
          </w:p>
        </w:tc>
      </w:tr>
    </w:tbl>
    <w:p>
      <w:pPr>
        <w:spacing w:after="120" w:before="40"/>
        <w:jc w:val="left"/>
      </w:pPr>
      <w:r>
        <w:rPr>
          <w:rFonts w:ascii="Times New Roman" w:cs="Nirmala UI" w:eastAsia="Times New Roman" w:hAnsi="Times New Roman"/>
          <w:i/>
          <w:iCs/>
          <w:sz w:val="14"/>
          <w:szCs w:val="14"/>
        </w:rPr>
        <w:t xml:space="preserve">Bold = best per row.</w:t>
      </w:r>
    </w:p>
    <w:p>
      <w:pPr>
        <w:sectPr>
          <w:type w:val="continuous"/>
          <w:pgSz w:w="11906" w:h="16838" w:orient="portrait"/>
          <w:pgMar w:top="1077" w:right="812" w:bottom="2438" w:left="812" w:header="708" w:footer="708" w:gutter="0"/>
          <w:pgNumType/>
          <w:cols w:num="1"/>
          <w:docGrid w:linePitch="360"/>
        </w:sectPr>
      </w:pPr>
    </w:p>
    <w:p>
      <w:pPr>
        <w:spacing w:after="60" w:before="120"/>
      </w:pPr>
      <w:r>
        <w:rPr>
          <w:rFonts w:ascii="Times New Roman" w:cs="Nirmala UI" w:eastAsia="Times New Roman" w:hAnsi="Times New Roman"/>
          <w:i/>
          <w:iCs/>
        </w:rPr>
        <w:t xml:space="preserve">C. </w:t>
      </w:r>
      <w:r>
        <w:rPr>
          <w:rFonts w:ascii="Times New Roman" w:cs="Nirmala UI" w:eastAsia="Times New Roman" w:hAnsi="Times New Roman"/>
          <w:i/>
          <w:iCs/>
        </w:rPr>
        <w:t xml:space="preserve">E3: New domain and out-of-language transfer</w:t>
      </w:r>
    </w:p>
    <w:p>
      <w:pPr>
        <w:spacing w:after="0" w:line="240"/>
        <w:ind w:firstLine="202"/>
        <w:jc w:val="both"/>
      </w:pPr>
      <w:r>
        <w:rPr>
          <w:rFonts w:ascii="Times New Roman" w:cs="Nirmala UI" w:eastAsia="Times New Roman" w:hAnsi="Times New Roman"/>
          <w:b w:val="false"/>
          <w:bCs w:val="false"/>
          <w:i w:val="false"/>
          <w:iCs w:val="false"/>
          <w:smallCaps w:val="false"/>
        </w:rPr>
        <w:t xml:space="preserve">Training on insurance and testing on tenancy, or the reverse, costs LegalDiff-GBR at most </w:t>
      </w:r>
      <w:r>
        <w:rPr>
          <w:rFonts w:ascii="Times New Roman" w:cs="Nirmala UI" w:eastAsia="Times New Roman" w:hAnsi="Times New Roman"/>
          <w:b w:val="false"/>
          <w:bCs w:val="false"/>
          <w:i w:val="false"/>
          <w:iCs w:val="false"/>
          <w:smallCaps w:val="false"/>
        </w:rPr>
        <w:t xml:space="preserve">0.06</w:t>
      </w:r>
      <w:r>
        <w:rPr>
          <w:rFonts w:ascii="Times New Roman" w:cs="Nirmala UI" w:eastAsia="Times New Roman" w:hAnsi="Times New Roman"/>
          <w:b w:val="false"/>
          <w:bCs w:val="false"/>
          <w:i w:val="false"/>
          <w:iCs w:val="false"/>
          <w:smallCaps w:val="false"/>
        </w:rPr>
        <w:t xml:space="preserve"> in </w:t>
      </w:r>
      <w:r>
        <w:rPr>
          <w:rFonts w:ascii="Times New Roman" w:cs="Nirmala UI" w:eastAsia="Times New Roman" w:hAnsi="Times New Roman"/>
          <w:b w:val="false"/>
          <w:bCs w:val="false"/>
          <w:i w:val="false"/>
          <w:iCs w:val="false"/>
          <w:smallCaps w:val="false"/>
        </w:rPr>
        <w:t xml:space="preserve">r</w:t>
      </w:r>
      <w:r>
        <w:rPr>
          <w:rFonts w:ascii="Times New Roman" w:cs="Nirmala UI" w:eastAsia="Times New Roman" w:hAnsi="Times New Roman"/>
          <w:b w:val="false"/>
          <w:bCs w:val="false"/>
          <w:i w:val="false"/>
          <w:iCs w:val="false"/>
          <w:smallCaps w:val="false"/>
        </w:rPr>
        <w:t xml:space="preserve"> relative to in-domain cross-validation (Tables III–IV). The most informative result is on FrJUDGE, whose labels are genuine human judgements: models trained </w:t>
      </w:r>
      <w:r>
        <w:rPr>
          <w:rFonts w:ascii="Times New Roman" w:cs="Nirmala UI" w:eastAsia="Times New Roman" w:hAnsi="Times New Roman"/>
          <w:b w:val="false"/>
          <w:bCs w:val="false"/>
          <w:i/>
          <w:iCs/>
          <w:smallCaps w:val="false"/>
        </w:rPr>
        <w:t xml:space="preserve">only</w:t>
      </w:r>
      <w:r>
        <w:rPr>
          <w:rFonts w:ascii="Times New Roman" w:cs="Nirmala UI" w:eastAsia="Times New Roman" w:hAnsi="Times New Roman"/>
          <w:b w:val="false"/>
          <w:bCs w:val="false"/>
          <w:i w:val="false"/>
          <w:iCs w:val="false"/>
          <w:smallCaps w:val="false"/>
        </w:rPr>
        <w:t xml:space="preserve"> on EnHi-LMP reach </w:t>
      </w:r>
      <w:r>
        <w:rPr>
          <w:rFonts w:ascii="Times New Roman" w:cs="Nirmala UI" w:eastAsia="Times New Roman" w:hAnsi="Times New Roman"/>
          <w:b w:val="false"/>
          <w:bCs w:val="false"/>
          <w:i w:val="false"/>
          <w:iCs w:val="false"/>
          <w:smallCaps w:val="false"/>
        </w:rPr>
        <w:t xml:space="preserve">r=0.56</w:t>
      </w:r>
      <w:r>
        <w:rPr>
          <w:rFonts w:ascii="Times New Roman" w:cs="Nirmala UI" w:eastAsia="Times New Roman" w:hAnsi="Times New Roman"/>
          <w:b w:val="false"/>
          <w:bCs w:val="false"/>
          <w:i w:val="false"/>
          <w:iCs w:val="false"/>
          <w:smallCaps w:val="false"/>
        </w:rPr>
        <w:t xml:space="preserve"> (LegalDiff-GBR) and </w:t>
      </w:r>
      <w:r>
        <w:rPr>
          <w:rFonts w:ascii="Times New Roman" w:cs="Nirmala UI" w:eastAsia="Times New Roman" w:hAnsi="Times New Roman"/>
          <w:b w:val="false"/>
          <w:bCs w:val="false"/>
          <w:i w:val="false"/>
          <w:iCs w:val="false"/>
          <w:smallCaps w:val="false"/>
        </w:rPr>
        <w:t xml:space="preserve">0.59</w:t>
      </w:r>
      <w:r>
        <w:rPr>
          <w:rFonts w:ascii="Times New Roman" w:cs="Nirmala UI" w:eastAsia="Times New Roman" w:hAnsi="Times New Roman"/>
          <w:b w:val="false"/>
          <w:bCs w:val="false"/>
          <w:i w:val="false"/>
          <w:iCs w:val="false"/>
          <w:smallCaps w:val="false"/>
        </w:rPr>
        <w:t xml:space="preserve"> (ML-JudgeBERT+LegalDiff), above chrF (</w:t>
      </w:r>
      <w:r>
        <w:rPr>
          <w:rFonts w:ascii="Times New Roman" w:cs="Nirmala UI" w:eastAsia="Times New Roman" w:hAnsi="Times New Roman"/>
          <w:b w:val="false"/>
          <w:bCs w:val="false"/>
          <w:i w:val="false"/>
          <w:iCs w:val="false"/>
          <w:smallCaps w:val="false"/>
        </w:rPr>
        <w:t xml:space="preserve">0.47</w:t>
      </w:r>
      <w:r>
        <w:rPr>
          <w:rFonts w:ascii="Times New Roman" w:cs="Nirmala UI" w:eastAsia="Times New Roman" w:hAnsi="Times New Roman"/>
          <w:b w:val="false"/>
          <w:bCs w:val="false"/>
          <w:i w:val="false"/>
          <w:iCs w:val="false"/>
          <w:smallCaps w:val="false"/>
        </w:rPr>
        <w:t xml:space="preserve">), while embedding cosine is negatively correlated (</w:t>
      </w:r>
      <w:r>
        <w:rPr>
          <w:rFonts w:ascii="Times New Roman" w:cs="Nirmala UI" w:eastAsia="Times New Roman" w:hAnsi="Times New Roman"/>
          <w:b w:val="false"/>
          <w:bCs w:val="false"/>
          <w:i w:val="false"/>
          <w:iCs w:val="false"/>
          <w:smallCaps w:val="false"/>
        </w:rPr>
        <w:t xml:space="preserve">-0.17</w:t>
      </w:r>
      <w:r>
        <w:rPr>
          <w:rFonts w:ascii="Times New Roman" w:cs="Nirmala UI" w:eastAsia="Times New Roman" w:hAnsi="Times New Roman"/>
          <w:b w:val="false"/>
          <w:bCs w:val="false"/>
          <w:i w:val="false"/>
          <w:iCs w:val="false"/>
          <w:smallCaps w:val="false"/>
        </w:rPr>
        <w:t xml:space="preserve">). Trained on FrJUDGE itself, LegalDiff-GBR reaches </w:t>
      </w:r>
      <w:r>
        <w:rPr>
          <w:rFonts w:ascii="Times New Roman" w:cs="Nirmala UI" w:eastAsia="Times New Roman" w:hAnsi="Times New Roman"/>
          <w:b w:val="false"/>
          <w:bCs w:val="false"/>
          <w:i w:val="false"/>
          <w:iCs w:val="false"/>
          <w:smallCaps w:val="false"/>
        </w:rPr>
        <w:t xml:space="preserve">r=0.60</w:t>
      </w:r>
      <w:r>
        <w:rPr>
          <w:rFonts w:ascii="Times New Roman" w:cs="Nirmala UI" w:eastAsia="Times New Roman" w:hAnsi="Times New Roman"/>
          <w:b w:val="false"/>
          <w:bCs w:val="false"/>
          <w:i w:val="false"/>
          <w:iCs w:val="false"/>
          <w:smallCaps w:val="false"/>
        </w:rPr>
        <w:t xml:space="preserve"> with RMSE </w:t>
      </w:r>
      <w:r>
        <w:rPr>
          <w:rFonts w:ascii="Times New Roman" w:cs="Nirmala UI" w:eastAsia="Times New Roman" w:hAnsi="Times New Roman"/>
          <w:b w:val="false"/>
          <w:bCs w:val="false"/>
          <w:i w:val="false"/>
          <w:iCs w:val="false"/>
          <w:smallCaps w:val="false"/>
        </w:rPr>
        <w:t xml:space="preserve">1.96</w:t>
      </w:r>
      <w:r>
        <w:rPr>
          <w:rFonts w:ascii="Times New Roman" w:cs="Nirmala UI" w:eastAsia="Times New Roman" w:hAnsi="Times New Roman"/>
          <w:b w:val="false"/>
          <w:bCs w:val="false"/>
          <w:i w:val="false"/>
          <w:iCs w:val="false"/>
          <w:smallCaps w:val="false"/>
        </w:rPr>
        <w:t xml:space="preserve">. Note that LegalDiff includes a small French lexicon (Section IX).</w:t>
      </w:r>
    </w:p>
    <w:p>
      <w:pPr>
        <w:spacing w:after="60" w:before="120"/>
      </w:pPr>
      <w:r>
        <w:rPr>
          <w:rFonts w:ascii="Times New Roman" w:cs="Nirmala UI" w:eastAsia="Times New Roman" w:hAnsi="Times New Roman"/>
          <w:i/>
          <w:iCs/>
        </w:rPr>
        <w:t xml:space="preserve">D. </w:t>
      </w:r>
      <w:r>
        <w:rPr>
          <w:rFonts w:ascii="Times New Roman" w:cs="Nirmala UI" w:eastAsia="Times New Roman" w:hAnsi="Times New Roman"/>
          <w:i/>
          <w:iCs/>
        </w:rPr>
        <w:t xml:space="preserve">E4: Sanity checks</w:t>
      </w:r>
    </w:p>
    <w:p>
      <w:pPr>
        <w:spacing w:after="0" w:line="240"/>
        <w:ind w:firstLine="202"/>
        <w:jc w:val="both"/>
      </w:pPr>
      <w:r>
        <w:rPr>
          <w:rFonts w:ascii="Times New Roman" w:cs="Nirmala UI" w:eastAsia="Times New Roman" w:hAnsi="Times New Roman"/>
          <w:b w:val="false"/>
          <w:bCs w:val="false"/>
          <w:i w:val="false"/>
          <w:iCs w:val="false"/>
          <w:smallCaps w:val="false"/>
        </w:rPr>
        <w:t xml:space="preserve">Table V reports mean predictions on identical (gold 10) and unrelated (gold 1) pairs. Models trained with augmentation give identical pairs </w:t>
      </w:r>
      <w:r>
        <w:rPr>
          <w:rFonts w:ascii="Times New Roman" w:cs="Nirmala UI" w:eastAsia="Times New Roman" w:hAnsi="Times New Roman"/>
          <w:b w:val="false"/>
          <w:bCs w:val="false"/>
          <w:i w:val="false"/>
          <w:iCs w:val="false"/>
          <w:smallCaps w:val="false"/>
        </w:rPr>
        <w:t xml:space="preserve">≈10</w:t>
      </w:r>
      <w:r>
        <w:rPr>
          <w:rFonts w:ascii="Times New Roman" w:cs="Nirmala UI" w:eastAsia="Times New Roman" w:hAnsi="Times New Roman"/>
          <w:b w:val="false"/>
          <w:bCs w:val="false"/>
          <w:i w:val="false"/>
          <w:iCs w:val="false"/>
          <w:smallCaps w:val="false"/>
        </w:rPr>
        <w:t xml:space="preserve"> and unrelated pairs </w:t>
      </w:r>
      <w:r>
        <w:rPr>
          <w:rFonts w:ascii="Times New Roman" w:cs="Nirmala UI" w:eastAsia="Times New Roman" w:hAnsi="Times New Roman"/>
          <w:b w:val="false"/>
          <w:bCs w:val="false"/>
          <w:i w:val="false"/>
          <w:iCs w:val="false"/>
          <w:smallCaps w:val="false"/>
        </w:rPr>
        <w:t xml:space="preserve">1.2</w:t>
      </w:r>
      <w:r>
        <w:rPr>
          <w:rFonts w:ascii="Times New Roman" w:cs="Nirmala UI" w:eastAsia="Times New Roman" w:hAnsi="Times New Roman"/>
          <w:b w:val="false"/>
          <w:bCs w:val="false"/>
          <w:i w:val="false"/>
          <w:iCs w:val="false"/>
          <w:smallCaps w:val="false"/>
        </w:rPr>
        <w:t xml:space="preserve">–</w:t>
      </w:r>
      <w:r>
        <w:rPr>
          <w:rFonts w:ascii="Times New Roman" w:cs="Nirmala UI" w:eastAsia="Times New Roman" w:hAnsi="Times New Roman"/>
          <w:b w:val="false"/>
          <w:bCs w:val="false"/>
          <w:i w:val="false"/>
          <w:iCs w:val="false"/>
          <w:smallCaps w:val="false"/>
        </w:rPr>
        <w:t xml:space="preserve">1.7</w:t>
      </w:r>
      <w:r>
        <w:rPr>
          <w:rFonts w:ascii="Times New Roman" w:cs="Nirmala UI" w:eastAsia="Times New Roman" w:hAnsi="Times New Roman"/>
          <w:b w:val="false"/>
          <w:bCs w:val="false"/>
          <w:i w:val="false"/>
          <w:iCs w:val="false"/>
          <w:smallCaps w:val="false"/>
        </w:rPr>
        <w:t xml:space="preserve">; chrF behaves correctly on identical pairs but rates unrelated pairs </w:t>
      </w:r>
      <w:r>
        <w:rPr>
          <w:rFonts w:ascii="Times New Roman" w:cs="Nirmala UI" w:eastAsia="Times New Roman" w:hAnsi="Times New Roman"/>
          <w:b w:val="false"/>
          <w:bCs w:val="false"/>
          <w:i w:val="false"/>
          <w:iCs w:val="false"/>
          <w:smallCaps w:val="false"/>
        </w:rPr>
        <w:t xml:space="preserve">2.9</w:t>
      </w:r>
      <w:r>
        <w:rPr>
          <w:rFonts w:ascii="Times New Roman" w:cs="Nirmala UI" w:eastAsia="Times New Roman" w:hAnsi="Times New Roman"/>
          <w:b w:val="false"/>
          <w:bCs w:val="false"/>
          <w:i w:val="false"/>
          <w:iCs w:val="false"/>
          <w:smallCaps w:val="false"/>
        </w:rPr>
        <w:t xml:space="preserve">. Embedding similarity fails both checks after calibration and gives unrelated </w:t>
      </w:r>
      <w:r>
        <w:rPr>
          <w:rFonts w:ascii="Times New Roman" w:cs="Nirmala UI" w:eastAsia="Times New Roman" w:hAnsi="Times New Roman"/>
          <w:b w:val="false"/>
          <w:bCs w:val="false"/>
          <w:i/>
          <w:iCs/>
          <w:smallCaps w:val="false"/>
        </w:rPr>
        <w:t xml:space="preserve">Hindi</w:t>
      </w:r>
      <w:r>
        <w:rPr>
          <w:rFonts w:ascii="Times New Roman" w:cs="Nirmala UI" w:eastAsia="Times New Roman" w:hAnsi="Times New Roman"/>
          <w:b w:val="false"/>
          <w:bCs w:val="false"/>
          <w:i w:val="false"/>
          <w:iCs w:val="false"/>
          <w:smallCaps w:val="false"/>
        </w:rPr>
        <w:t xml:space="preserve"> pairs </w:t>
      </w:r>
      <w:r>
        <w:rPr>
          <w:rFonts w:ascii="Times New Roman" w:cs="Nirmala UI" w:eastAsia="Times New Roman" w:hAnsi="Times New Roman"/>
          <w:b w:val="false"/>
          <w:bCs w:val="false"/>
          <w:i w:val="false"/>
          <w:iCs w:val="false"/>
          <w:smallCaps w:val="false"/>
        </w:rPr>
        <w:t xml:space="preserve">6.6/10</w:t>
      </w:r>
      <w:r>
        <w:rPr>
          <w:rFonts w:ascii="Times New Roman" w:cs="Nirmala UI" w:eastAsia="Times New Roman" w:hAnsi="Times New Roman"/>
          <w:b w:val="false"/>
          <w:bCs w:val="false"/>
          <w:i w:val="false"/>
          <w:iCs w:val="false"/>
          <w:smallCaps w:val="false"/>
        </w:rPr>
        <w:t xml:space="preserve">. The text-only encoder places unrelated pairs at </w:t>
      </w:r>
      <w:r>
        <w:rPr>
          <w:rFonts w:ascii="Times New Roman" w:cs="Nirmala UI" w:eastAsia="Times New Roman" w:hAnsi="Times New Roman"/>
          <w:b w:val="false"/>
          <w:bCs w:val="false"/>
          <w:i w:val="false"/>
          <w:iCs w:val="false"/>
          <w:smallCaps w:val="false"/>
        </w:rPr>
        <w:t xml:space="preserve">4.8</w:t>
      </w:r>
      <w:r>
        <w:rPr>
          <w:rFonts w:ascii="Times New Roman" w:cs="Nirmala UI" w:eastAsia="Times New Roman" w:hAnsi="Times New Roman"/>
          <w:b w:val="false"/>
          <w:bCs w:val="false"/>
          <w:i w:val="false"/>
          <w:iCs w:val="false"/>
          <w:smallCaps w:val="false"/>
        </w:rPr>
        <w:t xml:space="preserve">. Removing augmentation from the hybrid model changes little because LegalDiff already separates these extremes.</w:t>
      </w:r>
    </w:p>
    <w:p>
      <w:pPr>
        <w:keepNext/>
        <w:spacing w:after="0" w:before="120"/>
        <w:jc w:val="center"/>
      </w:pPr>
      <w:r>
        <w:rPr>
          <w:rFonts w:ascii="Times New Roman" w:cs="Nirmala UI" w:eastAsia="Times New Roman" w:hAnsi="Times New Roman"/>
          <w:sz w:val="16"/>
          <w:szCs w:val="16"/>
        </w:rPr>
        <w:t xml:space="preserve">TABLE V</w:t>
      </w:r>
    </w:p>
    <w:p>
      <w:pPr>
        <w:keepNext/>
        <w:spacing w:after="60"/>
        <w:jc w:val="center"/>
      </w:pPr>
      <w:r>
        <w:rPr>
          <w:rFonts w:ascii="Times New Roman" w:cs="Nirmala UI" w:eastAsia="Times New Roman" w:hAnsi="Times New Roman"/>
          <w:smallCaps/>
          <w:sz w:val="16"/>
          <w:szCs w:val="16"/>
        </w:rPr>
        <w:t xml:space="preserve">E4: Sanity checks (mean ŷ; share within tolerance)</w:t>
      </w:r>
    </w:p>
    <w:tbl>
      <w:tblPr>
        <w:tblW w:type="dxa" w:w="5021"/>
        <w:jc w:val="center"/>
        <w:tblBorders>
          <w:top w:val="single" w:color="auto" w:sz="4"/>
          <w:left w:val="single" w:color="auto" w:sz="4"/>
          <w:bottom w:val="single" w:color="auto" w:sz="4"/>
          <w:right w:val="single" w:color="auto" w:sz="4"/>
          <w:insideH w:val="single" w:color="auto" w:sz="4"/>
          <w:insideV w:val="single" w:color="auto" w:sz="4"/>
        </w:tblBorders>
      </w:tblPr>
      <w:tblGrid>
        <w:gridCol w:w="2221"/>
        <w:gridCol w:w="700"/>
        <w:gridCol w:w="700"/>
        <w:gridCol w:w="700"/>
        <w:gridCol w:w="700"/>
      </w:tblGrid>
      <w:tr>
        <w:trPr>
          <w:cantSplit/>
          <w:tblHeader/>
        </w:trPr>
        <w:tc>
          <w:tcPr>
            <w:tcW w:type="dxa" w:w="2221"/>
            <w:tcBorders>
              <w:top w:val="single" w:color="000000" w:sz="8"/>
              <w:left w:val="none" w:color="FFFFFF" w:sz="0"/>
              <w:bottom w:val="single" w:color="000000" w:sz="4"/>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5"/>
                <w:szCs w:val="15"/>
              </w:rPr>
              <w:t xml:space="preserve">System</w:t>
            </w:r>
          </w:p>
        </w:tc>
        <w:tc>
          <w:tcPr>
            <w:tcW w:type="dxa" w:w="700"/>
            <w:tcBorders>
              <w:top w:val="single" w:color="000000" w:sz="8"/>
              <w:left w:val="none" w:color="FFFFFF" w:sz="0"/>
              <w:bottom w:val="single" w:color="000000" w:sz="4"/>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Ident.</w:t>
            </w:r>
          </w:p>
        </w:tc>
        <w:tc>
          <w:tcPr>
            <w:tcW w:type="dxa" w:w="700"/>
            <w:tcBorders>
              <w:top w:val="single" w:color="000000" w:sz="8"/>
              <w:left w:val="none" w:color="FFFFFF" w:sz="0"/>
              <w:bottom w:val="single" w:color="000000" w:sz="4"/>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 9</w:t>
            </w:r>
          </w:p>
        </w:tc>
        <w:tc>
          <w:tcPr>
            <w:tcW w:type="dxa" w:w="700"/>
            <w:tcBorders>
              <w:top w:val="single" w:color="000000" w:sz="8"/>
              <w:left w:val="none" w:color="FFFFFF" w:sz="0"/>
              <w:bottom w:val="single" w:color="000000" w:sz="4"/>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Unrel.</w:t>
            </w:r>
          </w:p>
        </w:tc>
        <w:tc>
          <w:tcPr>
            <w:tcW w:type="dxa" w:w="700"/>
            <w:tcBorders>
              <w:top w:val="single" w:color="000000" w:sz="8"/>
              <w:left w:val="none" w:color="FFFFFF" w:sz="0"/>
              <w:bottom w:val="single" w:color="000000" w:sz="4"/>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 2</w:t>
            </w:r>
          </w:p>
        </w:tc>
      </w:tr>
      <w:tr>
        <w:trPr>
          <w:cantSplit/>
          <w:tblHeader w:val="false"/>
        </w:trPr>
        <w:tc>
          <w:tcPr>
            <w:tcW w:type="dxa" w:w="222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5"/>
                <w:szCs w:val="15"/>
              </w:rPr>
              <w:t xml:space="preserve">chrF</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10.00</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100%</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2.89</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4%</w:t>
            </w:r>
          </w:p>
        </w:tc>
      </w:tr>
      <w:tr>
        <w:trPr>
          <w:cantSplit/>
          <w:tblHeader w:val="false"/>
        </w:trPr>
        <w:tc>
          <w:tcPr>
            <w:tcW w:type="dxa" w:w="222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5"/>
                <w:szCs w:val="15"/>
              </w:rPr>
              <w:t xml:space="preserve">Embedding cosine</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7.10</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0%</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4.36</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20%</w:t>
            </w:r>
          </w:p>
        </w:tc>
      </w:tr>
      <w:tr>
        <w:trPr>
          <w:cantSplit/>
          <w:tblHeader w:val="false"/>
        </w:trPr>
        <w:tc>
          <w:tcPr>
            <w:tcW w:type="dxa" w:w="222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5"/>
                <w:szCs w:val="15"/>
              </w:rPr>
              <w:t xml:space="preserve">Token-align. F1</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7.15</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0%</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5.20</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0%</w:t>
            </w:r>
          </w:p>
        </w:tc>
      </w:tr>
      <w:tr>
        <w:trPr>
          <w:cantSplit/>
          <w:tblHeader w:val="false"/>
        </w:trPr>
        <w:tc>
          <w:tcPr>
            <w:tcW w:type="dxa" w:w="222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5"/>
                <w:szCs w:val="15"/>
              </w:rPr>
              <w:t xml:space="preserve">LegalDiff-GBR</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9.99</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100%</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1.22</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94%</w:t>
            </w:r>
          </w:p>
        </w:tc>
      </w:tr>
      <w:tr>
        <w:trPr>
          <w:cantSplit/>
          <w:tblHeader w:val="false"/>
        </w:trPr>
        <w:tc>
          <w:tcPr>
            <w:tcW w:type="dxa" w:w="222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5"/>
                <w:szCs w:val="15"/>
              </w:rPr>
              <w:t xml:space="preserve">ML-JudgeBERT (text)</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9.41</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80%</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4.78</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19%</w:t>
            </w:r>
          </w:p>
        </w:tc>
      </w:tr>
      <w:tr>
        <w:trPr>
          <w:cantSplit/>
          <w:tblHeader w:val="false"/>
        </w:trPr>
        <w:tc>
          <w:tcPr>
            <w:tcW w:type="dxa" w:w="222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5"/>
                <w:szCs w:val="15"/>
              </w:rPr>
              <w:t xml:space="preserve">ML-JudgeBERT+LegalDiff</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9.98</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100%</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1.70</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82%</w:t>
            </w:r>
          </w:p>
        </w:tc>
      </w:tr>
      <w:tr>
        <w:trPr>
          <w:cantSplit/>
          <w:tblHeader w:val="false"/>
        </w:trPr>
        <w:tc>
          <w:tcPr>
            <w:tcW w:type="dxa" w:w="2221"/>
            <w:tcBorders>
              <w:top w:val="none" w:color="FFFFFF" w:sz="0"/>
              <w:left w:val="none" w:color="FFFFFF" w:sz="0"/>
              <w:bottom w:val="single" w:color="000000" w:sz="8"/>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5"/>
                <w:szCs w:val="15"/>
              </w:rPr>
              <w:t xml:space="preserve">ML-JudgeBERT+LegalDiff, no aug.</w:t>
            </w:r>
          </w:p>
        </w:tc>
        <w:tc>
          <w:tcPr>
            <w:tcW w:type="dxa" w:w="700"/>
            <w:tcBorders>
              <w:top w:val="none" w:color="FFFFFF" w:sz="0"/>
              <w:left w:val="none" w:color="FFFFFF" w:sz="0"/>
              <w:bottom w:val="single" w:color="000000" w:sz="8"/>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9.92</w:t>
            </w:r>
          </w:p>
        </w:tc>
        <w:tc>
          <w:tcPr>
            <w:tcW w:type="dxa" w:w="700"/>
            <w:tcBorders>
              <w:top w:val="none" w:color="FFFFFF" w:sz="0"/>
              <w:left w:val="none" w:color="FFFFFF" w:sz="0"/>
              <w:bottom w:val="single" w:color="000000" w:sz="8"/>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99%</w:t>
            </w:r>
          </w:p>
        </w:tc>
        <w:tc>
          <w:tcPr>
            <w:tcW w:type="dxa" w:w="700"/>
            <w:tcBorders>
              <w:top w:val="none" w:color="FFFFFF" w:sz="0"/>
              <w:left w:val="none" w:color="FFFFFF" w:sz="0"/>
              <w:bottom w:val="single" w:color="000000" w:sz="8"/>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1.88</w:t>
            </w:r>
          </w:p>
        </w:tc>
        <w:tc>
          <w:tcPr>
            <w:tcW w:type="dxa" w:w="700"/>
            <w:tcBorders>
              <w:top w:val="none" w:color="FFFFFF" w:sz="0"/>
              <w:left w:val="none" w:color="FFFFFF" w:sz="0"/>
              <w:bottom w:val="single" w:color="000000" w:sz="8"/>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74%</w:t>
            </w:r>
          </w:p>
        </w:tc>
      </w:tr>
    </w:tbl>
    <w:p>
      <w:pPr>
        <w:spacing w:after="120" w:before="40"/>
        <w:jc w:val="left"/>
      </w:pPr>
      <w:r>
        <w:rPr>
          <w:rFonts w:ascii="Times New Roman" w:cs="Nirmala UI" w:eastAsia="Times New Roman" w:hAnsi="Times New Roman"/>
          <w:i/>
          <w:iCs/>
          <w:sz w:val="14"/>
          <w:szCs w:val="14"/>
        </w:rPr>
        <w:t xml:space="preserve"/>
      </w:r>
    </w:p>
    <w:p>
      <w:pPr>
        <w:spacing w:after="60" w:before="120"/>
      </w:pPr>
      <w:r>
        <w:rPr>
          <w:rFonts w:ascii="Times New Roman" w:cs="Nirmala UI" w:eastAsia="Times New Roman" w:hAnsi="Times New Roman"/>
          <w:i/>
          <w:iCs/>
        </w:rPr>
        <w:t xml:space="preserve">E. </w:t>
      </w:r>
      <w:r>
        <w:rPr>
          <w:rFonts w:ascii="Times New Roman" w:cs="Nirmala UI" w:eastAsia="Times New Roman" w:hAnsi="Times New Roman"/>
          <w:i/>
          <w:iCs/>
        </w:rPr>
        <w:t xml:space="preserve">E5: Error analysis and explanations</w:t>
      </w:r>
    </w:p>
    <w:p>
      <w:pPr>
        <w:spacing w:after="0" w:line="240"/>
        <w:ind w:firstLine="202"/>
        <w:jc w:val="both"/>
      </w:pPr>
      <w:r>
        <w:rPr>
          <w:rFonts w:ascii="Times New Roman" w:cs="Nirmala UI" w:eastAsia="Times New Roman" w:hAnsi="Times New Roman"/>
          <w:b w:val="false"/>
          <w:bCs w:val="false"/>
          <w:i w:val="false"/>
          <w:iCs w:val="false"/>
          <w:smallCaps w:val="false"/>
        </w:rPr>
        <w:t xml:space="preserve">Fig. 1 shows mean predictions per gold error type. Embedding cosine assigns roughly 6–7 to every type, i.e. it cannot separate a faithful rewrite from a negation, a changed number or a swapped party. LegalDiff-GBR tracks the gold profile, with the clearest separation for negation, numbers, dates, exceptions and omitted conditions, and the weakest for scope changes and hallucinated content, which have no dedicated lexical marker.</w:t>
      </w:r>
    </w:p>
    <w:p>
      <w:pPr>
        <w:spacing w:after="0" w:line="240"/>
        <w:ind w:firstLine="202"/>
        <w:jc w:val="both"/>
      </w:pPr>
      <w:r>
        <w:rPr>
          <w:rFonts w:ascii="Times New Roman" w:cs="Nirmala UI" w:eastAsia="Times New Roman" w:hAnsi="Times New Roman"/>
          <w:b w:val="false"/>
          <w:bCs w:val="false"/>
          <w:i w:val="false"/>
          <w:iCs w:val="false"/>
          <w:smallCaps w:val="false"/>
        </w:rPr>
        <w:t xml:space="preserve">Using the out-of-fold LegalDiff-GBR scores, the explainer detects that a legal error is present with precision </w:t>
      </w:r>
      <w:r>
        <w:rPr>
          <w:rFonts w:ascii="Times New Roman" w:cs="Nirmala UI" w:eastAsia="Times New Roman" w:hAnsi="Times New Roman"/>
          <w:b w:val="false"/>
          <w:bCs w:val="false"/>
          <w:i w:val="false"/>
          <w:iCs w:val="false"/>
          <w:smallCaps w:val="false"/>
        </w:rPr>
        <w:t xml:space="preserve">0.74</w:t>
      </w:r>
      <w:r>
        <w:rPr>
          <w:rFonts w:ascii="Times New Roman" w:cs="Nirmala UI" w:eastAsia="Times New Roman" w:hAnsi="Times New Roman"/>
          <w:b w:val="false"/>
          <w:bCs w:val="false"/>
          <w:i w:val="false"/>
          <w:iCs w:val="false"/>
          <w:smallCaps w:val="false"/>
        </w:rPr>
        <w:t xml:space="preserve">, recall </w:t>
      </w:r>
      <w:r>
        <w:rPr>
          <w:rFonts w:ascii="Times New Roman" w:cs="Nirmala UI" w:eastAsia="Times New Roman" w:hAnsi="Times New Roman"/>
          <w:b w:val="false"/>
          <w:bCs w:val="false"/>
          <w:i w:val="false"/>
          <w:iCs w:val="false"/>
          <w:smallCaps w:val="false"/>
        </w:rPr>
        <w:t xml:space="preserve">0.85</w:t>
      </w:r>
      <w:r>
        <w:rPr>
          <w:rFonts w:ascii="Times New Roman" w:cs="Nirmala UI" w:eastAsia="Times New Roman" w:hAnsi="Times New Roman"/>
          <w:b w:val="false"/>
          <w:bCs w:val="false"/>
          <w:i w:val="false"/>
          <w:iCs w:val="false"/>
          <w:smallCaps w:val="false"/>
        </w:rPr>
        <w:t xml:space="preserve"> and F1 </w:t>
      </w:r>
      <w:r>
        <w:rPr>
          <w:rFonts w:ascii="Times New Roman" w:cs="Nirmala UI" w:eastAsia="Times New Roman" w:hAnsi="Times New Roman"/>
          <w:b w:val="false"/>
          <w:bCs w:val="false"/>
          <w:i w:val="false"/>
          <w:iCs w:val="false"/>
          <w:smallCaps w:val="false"/>
        </w:rPr>
        <w:t xml:space="preserve">0.79</w:t>
      </w:r>
      <w:r>
        <w:rPr>
          <w:rFonts w:ascii="Times New Roman" w:cs="Nirmala UI" w:eastAsia="Times New Roman" w:hAnsi="Times New Roman"/>
          <w:b w:val="false"/>
          <w:bCs w:val="false"/>
          <w:i w:val="false"/>
          <w:iCs w:val="false"/>
          <w:smallCaps w:val="false"/>
        </w:rPr>
        <w:t xml:space="preserve">. It names the exact error type for </w:t>
      </w:r>
      <w:r>
        <w:rPr>
          <w:rFonts w:ascii="Times New Roman" w:cs="Nirmala UI" w:eastAsia="Times New Roman" w:hAnsi="Times New Roman"/>
          <w:b w:val="false"/>
          <w:bCs w:val="false"/>
          <w:i w:val="false"/>
          <w:iCs w:val="false"/>
          <w:smallCaps w:val="false"/>
        </w:rPr>
        <w:t xml:space="preserve">40%</w:t>
      </w:r>
      <w:r>
        <w:rPr>
          <w:rFonts w:ascii="Times New Roman" w:cs="Nirmala UI" w:eastAsia="Times New Roman" w:hAnsi="Times New Roman"/>
          <w:b w:val="false"/>
          <w:bCs w:val="false"/>
          <w:i w:val="false"/>
          <w:iCs w:val="false"/>
          <w:smallCaps w:val="false"/>
        </w:rPr>
        <w:t xml:space="preserve"> of all corrupted pairs (</w:t>
      </w:r>
      <w:r>
        <w:rPr>
          <w:rFonts w:ascii="Times New Roman" w:cs="Nirmala UI" w:eastAsia="Times New Roman" w:hAnsi="Times New Roman"/>
          <w:b w:val="false"/>
          <w:bCs w:val="false"/>
          <w:i w:val="false"/>
          <w:iCs w:val="false"/>
          <w:smallCaps w:val="false"/>
        </w:rPr>
        <w:t xml:space="preserve">47%</w:t>
      </w:r>
      <w:r>
        <w:rPr>
          <w:rFonts w:ascii="Times New Roman" w:cs="Nirmala UI" w:eastAsia="Times New Roman" w:hAnsi="Times New Roman"/>
          <w:b w:val="false"/>
          <w:bCs w:val="false"/>
          <w:i w:val="false"/>
          <w:iCs w:val="false"/>
          <w:smallCaps w:val="false"/>
        </w:rPr>
        <w:t xml:space="preserve"> of those it flags), with an 11-class macro-F1 of </w:t>
      </w:r>
      <w:r>
        <w:rPr>
          <w:rFonts w:ascii="Times New Roman" w:cs="Nirmala UI" w:eastAsia="Times New Roman" w:hAnsi="Times New Roman"/>
          <w:b w:val="false"/>
          <w:bCs w:val="false"/>
          <w:i w:val="false"/>
          <w:iCs w:val="false"/>
          <w:smallCaps w:val="false"/>
        </w:rPr>
        <w:t xml:space="preserve">0.41</w:t>
      </w:r>
      <w:r>
        <w:rPr>
          <w:rFonts w:ascii="Times New Roman" w:cs="Nirmala UI" w:eastAsia="Times New Roman" w:hAnsi="Times New Roman"/>
          <w:b w:val="false"/>
          <w:bCs w:val="false"/>
          <w:i w:val="false"/>
          <w:iCs w:val="false"/>
          <w:smallCaps w:val="false"/>
        </w:rPr>
        <w:t xml:space="preserve"> (Table VI). Exceptions (</w:t>
      </w:r>
      <w:r>
        <w:rPr>
          <w:rFonts w:ascii="Times New Roman" w:cs="Nirmala UI" w:eastAsia="Times New Roman" w:hAnsi="Times New Roman"/>
          <w:b w:val="false"/>
          <w:bCs w:val="false"/>
          <w:i w:val="false"/>
          <w:iCs w:val="false"/>
          <w:smallCaps w:val="false"/>
        </w:rPr>
        <w:t xml:space="preserve">0.67</w:t>
      </w:r>
      <w:r>
        <w:rPr>
          <w:rFonts w:ascii="Times New Roman" w:cs="Nirmala UI" w:eastAsia="Times New Roman" w:hAnsi="Times New Roman"/>
          <w:b w:val="false"/>
          <w:bCs w:val="false"/>
          <w:i w:val="false"/>
          <w:iCs w:val="false"/>
          <w:smallCaps w:val="false"/>
        </w:rPr>
        <w:t xml:space="preserve">), dates (</w:t>
      </w:r>
      <w:r>
        <w:rPr>
          <w:rFonts w:ascii="Times New Roman" w:cs="Nirmala UI" w:eastAsia="Times New Roman" w:hAnsi="Times New Roman"/>
          <w:b w:val="false"/>
          <w:bCs w:val="false"/>
          <w:i w:val="false"/>
          <w:iCs w:val="false"/>
          <w:smallCaps w:val="false"/>
        </w:rPr>
        <w:t xml:space="preserve">0.58</w:t>
      </w:r>
      <w:r>
        <w:rPr>
          <w:rFonts w:ascii="Times New Roman" w:cs="Nirmala UI" w:eastAsia="Times New Roman" w:hAnsi="Times New Roman"/>
          <w:b w:val="false"/>
          <w:bCs w:val="false"/>
          <w:i w:val="false"/>
          <w:iCs w:val="false"/>
          <w:smallCaps w:val="false"/>
        </w:rPr>
        <w:t xml:space="preserve">), parties (</w:t>
      </w:r>
      <w:r>
        <w:rPr>
          <w:rFonts w:ascii="Times New Roman" w:cs="Nirmala UI" w:eastAsia="Times New Roman" w:hAnsi="Times New Roman"/>
          <w:b w:val="false"/>
          <w:bCs w:val="false"/>
          <w:i w:val="false"/>
          <w:iCs w:val="false"/>
          <w:smallCaps w:val="false"/>
        </w:rPr>
        <w:t xml:space="preserve">0.51</w:t>
      </w:r>
      <w:r>
        <w:rPr>
          <w:rFonts w:ascii="Times New Roman" w:cs="Nirmala UI" w:eastAsia="Times New Roman" w:hAnsi="Times New Roman"/>
          <w:b w:val="false"/>
          <w:bCs w:val="false"/>
          <w:i w:val="false"/>
          <w:iCs w:val="false"/>
          <w:smallCaps w:val="false"/>
        </w:rPr>
        <w:t xml:space="preserve">), numbers (</w:t>
      </w:r>
      <w:r>
        <w:rPr>
          <w:rFonts w:ascii="Times New Roman" w:cs="Nirmala UI" w:eastAsia="Times New Roman" w:hAnsi="Times New Roman"/>
          <w:b w:val="false"/>
          <w:bCs w:val="false"/>
          <w:i w:val="false"/>
          <w:iCs w:val="false"/>
          <w:smallCaps w:val="false"/>
        </w:rPr>
        <w:t xml:space="preserve">0.50</w:t>
      </w:r>
      <w:r>
        <w:rPr>
          <w:rFonts w:ascii="Times New Roman" w:cs="Nirmala UI" w:eastAsia="Times New Roman" w:hAnsi="Times New Roman"/>
          <w:b w:val="false"/>
          <w:bCs w:val="false"/>
          <w:i w:val="false"/>
          <w:iCs w:val="false"/>
          <w:smallCaps w:val="false"/>
        </w:rPr>
        <w:t xml:space="preserve">) and modality (</w:t>
      </w:r>
      <w:r>
        <w:rPr>
          <w:rFonts w:ascii="Times New Roman" w:cs="Nirmala UI" w:eastAsia="Times New Roman" w:hAnsi="Times New Roman"/>
          <w:b w:val="false"/>
          <w:bCs w:val="false"/>
          <w:i w:val="false"/>
          <w:iCs w:val="false"/>
          <w:smallCaps w:val="false"/>
        </w:rPr>
        <w:t xml:space="preserve">0.49</w:t>
      </w:r>
      <w:r>
        <w:rPr>
          <w:rFonts w:ascii="Times New Roman" w:cs="Nirmala UI" w:eastAsia="Times New Roman" w:hAnsi="Times New Roman"/>
          <w:b w:val="false"/>
          <w:bCs w:val="false"/>
          <w:i w:val="false"/>
          <w:iCs w:val="false"/>
          <w:smallCaps w:val="false"/>
        </w:rPr>
        <w:t xml:space="preserve">) are explained best; scope changes are never typed correctly.</w:t>
      </w:r>
    </w:p>
    <w:p>
      <w:pPr>
        <w:spacing w:after="0" w:line="240"/>
        <w:ind w:firstLine="202"/>
        <w:jc w:val="both"/>
      </w:pPr>
      <w:r>
        <w:rPr>
          <w:rFonts w:ascii="Times New Roman" w:cs="Nirmala UI" w:eastAsia="Times New Roman" w:hAnsi="Times New Roman"/>
          <w:b w:val="false"/>
          <w:bCs w:val="false"/>
          <w:i w:val="false"/>
          <w:iCs w:val="false"/>
          <w:smallCaps w:val="false"/>
        </w:rPr>
        <w:t xml:space="preserve">Table VII lists 18 legally difficult cases: the 16 error pairs that embedding similarity over-scores most (at most one per type and language) and two faithful paraphrases with low lexical overlap. Typical successes are polarity reversals expressed with </w:t>
      </w:r>
      <w:r>
        <w:rPr>
          <w:rFonts w:ascii="Nirmala UI" w:cs="Nirmala UI" w:hAnsi="Nirmala UI"/>
          <w:b w:val="false"/>
          <w:bCs w:val="false"/>
          <w:i w:val="false"/>
          <w:iCs w:val="false"/>
          <w:smallCaps w:val="false"/>
        </w:rPr>
        <w:t xml:space="preserve">नहीं</w:t>
      </w:r>
      <w:r>
        <w:rPr>
          <w:rFonts w:ascii="Times New Roman" w:cs="Nirmala UI" w:eastAsia="Times New Roman" w:hAnsi="Times New Roman"/>
          <w:b w:val="false"/>
          <w:bCs w:val="false"/>
          <w:i w:val="false"/>
          <w:iCs w:val="false"/>
          <w:smallCaps w:val="false"/>
        </w:rPr>
        <w:t xml:space="preserve"> in Hindi (case 3) and figure or deadline changes (cases 12–13). Typical failures are (i) polarity changed through the verb rather than a negator (“does not cover” </w:t>
      </w:r>
      <w:r>
        <w:rPr>
          <w:rFonts w:ascii="Times New Roman" w:cs="Nirmala UI" w:eastAsia="Times New Roman" w:hAnsi="Times New Roman"/>
          <w:b w:val="false"/>
          <w:bCs w:val="false"/>
          <w:i w:val="false"/>
          <w:iCs w:val="false"/>
          <w:smallCaps w:val="false"/>
        </w:rPr>
        <w:t xml:space="preserve">→</w:t>
      </w:r>
      <w:r>
        <w:rPr>
          <w:rFonts w:ascii="Times New Roman" w:cs="Nirmala UI" w:eastAsia="Times New Roman" w:hAnsi="Times New Roman"/>
          <w:b w:val="false"/>
          <w:bCs w:val="false"/>
          <w:i w:val="false"/>
          <w:iCs w:val="false"/>
          <w:smallCaps w:val="false"/>
        </w:rPr>
        <w:t xml:space="preserve"> “pays for”, case 7), (ii) party swaps that keep the same role words (case 6) and (iii) a faithful Hindi paraphrase that reorders the clause and is wrongly flagged (case 17).</w:t>
      </w:r>
    </w:p>
    <w:p>
      <w:pPr>
        <w:keepNext/>
        <w:spacing w:before="120"/>
        <w:jc w:val="center"/>
      </w:pPr>
      <w:r>
        <w:drawing>
          <wp:inline distT="0" distB="0" distL="0" distR="0">
            <wp:extent cx="3143250"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143250" cy="1562100"/>
                    </a:xfrm>
                    <a:prstGeom prst="rect">
                      <a:avLst/>
                    </a:prstGeom>
                  </pic:spPr>
                </pic:pic>
              </a:graphicData>
            </a:graphic>
          </wp:inline>
        </w:drawing>
      </w:r>
    </w:p>
    <w:p>
      <w:pPr>
        <w:spacing w:after="160"/>
        <w:jc w:val="center"/>
      </w:pPr>
      <w:r>
        <w:rPr>
          <w:rFonts w:ascii="Times New Roman" w:cs="Nirmala UI" w:eastAsia="Times New Roman" w:hAnsi="Times New Roman"/>
          <w:sz w:val="16"/>
          <w:szCs w:val="16"/>
        </w:rPr>
        <w:t xml:space="preserve">Fig. 1. E5: mean LMP by gold error type (out-of-fold predictions, EN+HI).</w:t>
      </w:r>
    </w:p>
    <w:p>
      <w:pPr>
        <w:keepNext/>
        <w:spacing w:after="0" w:before="120"/>
        <w:jc w:val="center"/>
      </w:pPr>
      <w:r>
        <w:rPr>
          <w:rFonts w:ascii="Times New Roman" w:cs="Nirmala UI" w:eastAsia="Times New Roman" w:hAnsi="Times New Roman"/>
          <w:sz w:val="16"/>
          <w:szCs w:val="16"/>
        </w:rPr>
        <w:t xml:space="preserve">TABLE VI</w:t>
      </w:r>
    </w:p>
    <w:p>
      <w:pPr>
        <w:keepNext/>
        <w:spacing w:after="60"/>
        <w:jc w:val="center"/>
      </w:pPr>
      <w:r>
        <w:rPr>
          <w:rFonts w:ascii="Times New Roman" w:cs="Nirmala UI" w:eastAsia="Times New Roman" w:hAnsi="Times New Roman"/>
          <w:smallCaps/>
          <w:sz w:val="16"/>
          <w:szCs w:val="16"/>
        </w:rPr>
        <w:t xml:space="preserve">E5: Error-type explanation quality (LegalDiff-GBR scores)</w:t>
      </w:r>
    </w:p>
    <w:tbl>
      <w:tblPr>
        <w:tblW w:type="dxa" w:w="5021"/>
        <w:jc w:val="center"/>
        <w:tblBorders>
          <w:top w:val="single" w:color="auto" w:sz="4"/>
          <w:left w:val="single" w:color="auto" w:sz="4"/>
          <w:bottom w:val="single" w:color="auto" w:sz="4"/>
          <w:right w:val="single" w:color="auto" w:sz="4"/>
          <w:insideH w:val="single" w:color="auto" w:sz="4"/>
          <w:insideV w:val="single" w:color="auto" w:sz="4"/>
        </w:tblBorders>
      </w:tblPr>
      <w:tblGrid>
        <w:gridCol w:w="1821"/>
        <w:gridCol w:w="800"/>
        <w:gridCol w:w="800"/>
        <w:gridCol w:w="800"/>
        <w:gridCol w:w="800"/>
      </w:tblGrid>
      <w:tr>
        <w:trPr>
          <w:cantSplit/>
          <w:tblHeader/>
        </w:trPr>
        <w:tc>
          <w:tcPr>
            <w:tcW w:type="dxa" w:w="1821"/>
            <w:tcBorders>
              <w:top w:val="single" w:color="000000" w:sz="8"/>
              <w:left w:val="none" w:color="FFFFFF" w:sz="0"/>
              <w:bottom w:val="single" w:color="000000" w:sz="4"/>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5"/>
                <w:szCs w:val="15"/>
              </w:rPr>
              <w:t xml:space="preserve">Type</w:t>
            </w:r>
          </w:p>
        </w:tc>
        <w:tc>
          <w:tcPr>
            <w:tcW w:type="dxa" w:w="800"/>
            <w:tcBorders>
              <w:top w:val="single" w:color="000000" w:sz="8"/>
              <w:left w:val="none" w:color="FFFFFF" w:sz="0"/>
              <w:bottom w:val="single" w:color="000000" w:sz="4"/>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n</w:t>
            </w:r>
          </w:p>
        </w:tc>
        <w:tc>
          <w:tcPr>
            <w:tcW w:type="dxa" w:w="800"/>
            <w:tcBorders>
              <w:top w:val="single" w:color="000000" w:sz="8"/>
              <w:left w:val="none" w:color="FFFFFF" w:sz="0"/>
              <w:bottom w:val="single" w:color="000000" w:sz="4"/>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P</w:t>
            </w:r>
          </w:p>
        </w:tc>
        <w:tc>
          <w:tcPr>
            <w:tcW w:type="dxa" w:w="800"/>
            <w:tcBorders>
              <w:top w:val="single" w:color="000000" w:sz="8"/>
              <w:left w:val="none" w:color="FFFFFF" w:sz="0"/>
              <w:bottom w:val="single" w:color="000000" w:sz="4"/>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R</w:t>
            </w:r>
          </w:p>
        </w:tc>
        <w:tc>
          <w:tcPr>
            <w:tcW w:type="dxa" w:w="800"/>
            <w:tcBorders>
              <w:top w:val="single" w:color="000000" w:sz="8"/>
              <w:left w:val="none" w:color="FFFFFF" w:sz="0"/>
              <w:bottom w:val="single" w:color="000000" w:sz="4"/>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F1</w:t>
            </w:r>
          </w:p>
        </w:tc>
      </w:tr>
      <w:tr>
        <w:trPr>
          <w:cantSplit/>
          <w:tblHeader w:val="false"/>
        </w:trPr>
        <w:tc>
          <w:tcPr>
            <w:tcW w:type="dxa" w:w="182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5"/>
                <w:szCs w:val="15"/>
              </w:rPr>
              <w:t xml:space="preserve">NONE</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160</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0.82</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0.69</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0.75</w:t>
            </w:r>
          </w:p>
        </w:tc>
      </w:tr>
      <w:tr>
        <w:trPr>
          <w:cantSplit/>
          <w:tblHeader w:val="false"/>
        </w:trPr>
        <w:tc>
          <w:tcPr>
            <w:tcW w:type="dxa" w:w="182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5"/>
                <w:szCs w:val="15"/>
              </w:rPr>
              <w:t xml:space="preserve">SCOPE</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22</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0.00</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0.00</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0.00</w:t>
            </w:r>
          </w:p>
        </w:tc>
      </w:tr>
      <w:tr>
        <w:trPr>
          <w:cantSplit/>
          <w:tblHeader w:val="false"/>
        </w:trPr>
        <w:tc>
          <w:tcPr>
            <w:tcW w:type="dxa" w:w="182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5"/>
                <w:szCs w:val="15"/>
              </w:rPr>
              <w:t xml:space="preserve">DATE</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20</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0.61</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0.55</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0.58</w:t>
            </w:r>
          </w:p>
        </w:tc>
      </w:tr>
      <w:tr>
        <w:trPr>
          <w:cantSplit/>
          <w:tblHeader w:val="false"/>
        </w:trPr>
        <w:tc>
          <w:tcPr>
            <w:tcW w:type="dxa" w:w="182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5"/>
                <w:szCs w:val="15"/>
              </w:rPr>
              <w:t xml:space="preserve">OMIT_COND</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20</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0.32</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0.30</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0.31</w:t>
            </w:r>
          </w:p>
        </w:tc>
      </w:tr>
      <w:tr>
        <w:trPr>
          <w:cantSplit/>
          <w:tblHeader w:val="false"/>
        </w:trPr>
        <w:tc>
          <w:tcPr>
            <w:tcW w:type="dxa" w:w="182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5"/>
                <w:szCs w:val="15"/>
              </w:rPr>
              <w:t xml:space="preserve">ENTITY</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16</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0.37</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0.81</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0.51</w:t>
            </w:r>
          </w:p>
        </w:tc>
      </w:tr>
      <w:tr>
        <w:trPr>
          <w:cantSplit/>
          <w:tblHeader w:val="false"/>
        </w:trPr>
        <w:tc>
          <w:tcPr>
            <w:tcW w:type="dxa" w:w="182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5"/>
                <w:szCs w:val="15"/>
              </w:rPr>
              <w:t xml:space="preserve">HALLUC</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16</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0.18</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0.12</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0.15</w:t>
            </w:r>
          </w:p>
        </w:tc>
      </w:tr>
      <w:tr>
        <w:trPr>
          <w:cantSplit/>
          <w:tblHeader w:val="false"/>
        </w:trPr>
        <w:tc>
          <w:tcPr>
            <w:tcW w:type="dxa" w:w="182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5"/>
                <w:szCs w:val="15"/>
              </w:rPr>
              <w:t xml:space="preserve">MINOR</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16</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0.23</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0.44</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0.30</w:t>
            </w:r>
          </w:p>
        </w:tc>
      </w:tr>
      <w:tr>
        <w:trPr>
          <w:cantSplit/>
          <w:tblHeader w:val="false"/>
        </w:trPr>
        <w:tc>
          <w:tcPr>
            <w:tcW w:type="dxa" w:w="182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5"/>
                <w:szCs w:val="15"/>
              </w:rPr>
              <w:t xml:space="preserve">MODALITY</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16</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0.43</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0.56</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0.49</w:t>
            </w:r>
          </w:p>
        </w:tc>
      </w:tr>
      <w:tr>
        <w:trPr>
          <w:cantSplit/>
          <w:tblHeader w:val="false"/>
        </w:trPr>
        <w:tc>
          <w:tcPr>
            <w:tcW w:type="dxa" w:w="182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5"/>
                <w:szCs w:val="15"/>
              </w:rPr>
              <w:t xml:space="preserve">NEGATION</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14</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0.20</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0.50</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0.29</w:t>
            </w:r>
          </w:p>
        </w:tc>
      </w:tr>
      <w:tr>
        <w:trPr>
          <w:cantSplit/>
          <w:tblHeader w:val="false"/>
        </w:trPr>
        <w:tc>
          <w:tcPr>
            <w:tcW w:type="dxa" w:w="182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5"/>
                <w:szCs w:val="15"/>
              </w:rPr>
              <w:t xml:space="preserve">EXC_REMOVED</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12</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1.00</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0.50</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0.67</w:t>
            </w:r>
          </w:p>
        </w:tc>
      </w:tr>
      <w:tr>
        <w:trPr>
          <w:cantSplit/>
          <w:tblHeader w:val="false"/>
        </w:trPr>
        <w:tc>
          <w:tcPr>
            <w:tcW w:type="dxa" w:w="1821"/>
            <w:tcBorders>
              <w:top w:val="none" w:color="FFFFFF" w:sz="0"/>
              <w:left w:val="none" w:color="FFFFFF" w:sz="0"/>
              <w:bottom w:val="single" w:color="000000" w:sz="8"/>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5"/>
                <w:szCs w:val="15"/>
              </w:rPr>
              <w:t xml:space="preserve">NUMBER</w:t>
            </w:r>
          </w:p>
        </w:tc>
        <w:tc>
          <w:tcPr>
            <w:tcW w:type="dxa" w:w="800"/>
            <w:tcBorders>
              <w:top w:val="none" w:color="FFFFFF" w:sz="0"/>
              <w:left w:val="none" w:color="FFFFFF" w:sz="0"/>
              <w:bottom w:val="single" w:color="000000" w:sz="8"/>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8</w:t>
            </w:r>
          </w:p>
        </w:tc>
        <w:tc>
          <w:tcPr>
            <w:tcW w:type="dxa" w:w="800"/>
            <w:tcBorders>
              <w:top w:val="none" w:color="FFFFFF" w:sz="0"/>
              <w:left w:val="none" w:color="FFFFFF" w:sz="0"/>
              <w:bottom w:val="single" w:color="000000" w:sz="8"/>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0.75</w:t>
            </w:r>
          </w:p>
        </w:tc>
        <w:tc>
          <w:tcPr>
            <w:tcW w:type="dxa" w:w="800"/>
            <w:tcBorders>
              <w:top w:val="none" w:color="FFFFFF" w:sz="0"/>
              <w:left w:val="none" w:color="FFFFFF" w:sz="0"/>
              <w:bottom w:val="single" w:color="000000" w:sz="8"/>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0.38</w:t>
            </w:r>
          </w:p>
        </w:tc>
        <w:tc>
          <w:tcPr>
            <w:tcW w:type="dxa" w:w="800"/>
            <w:tcBorders>
              <w:top w:val="none" w:color="FFFFFF" w:sz="0"/>
              <w:left w:val="none" w:color="FFFFFF" w:sz="0"/>
              <w:bottom w:val="single" w:color="000000" w:sz="8"/>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5"/>
                <w:szCs w:val="15"/>
              </w:rPr>
              <w:t xml:space="preserve">0.50</w:t>
            </w:r>
          </w:p>
        </w:tc>
      </w:tr>
    </w:tbl>
    <w:p>
      <w:pPr>
        <w:spacing w:after="120" w:before="40"/>
        <w:jc w:val="left"/>
      </w:pPr>
      <w:r>
        <w:rPr>
          <w:rFonts w:ascii="Times New Roman" w:cs="Nirmala UI" w:eastAsia="Times New Roman" w:hAnsi="Times New Roman"/>
          <w:i/>
          <w:iCs/>
          <w:sz w:val="14"/>
          <w:szCs w:val="14"/>
        </w:rPr>
        <w:t xml:space="preserve"/>
      </w:r>
    </w:p>
    <w:p>
      <w:pPr>
        <w:sectPr>
          <w:type w:val="continuous"/>
          <w:pgSz w:w="11906" w:h="16838" w:orient="portrait"/>
          <w:pgMar w:top="1077" w:right="812" w:bottom="2438" w:left="812" w:header="708" w:footer="708" w:gutter="0"/>
          <w:pgNumType/>
          <w:cols w:space="239" w:num="2"/>
          <w:docGrid w:linePitch="360"/>
        </w:sectPr>
      </w:pPr>
    </w:p>
    <w:p>
      <w:pPr>
        <w:keepNext/>
        <w:spacing w:after="0" w:before="120"/>
        <w:jc w:val="center"/>
      </w:pPr>
      <w:r>
        <w:rPr>
          <w:rFonts w:ascii="Times New Roman" w:cs="Nirmala UI" w:eastAsia="Times New Roman" w:hAnsi="Times New Roman"/>
          <w:sz w:val="16"/>
          <w:szCs w:val="16"/>
        </w:rPr>
        <w:t xml:space="preserve">TABLE VII</w:t>
      </w:r>
    </w:p>
    <w:p>
      <w:pPr>
        <w:keepNext/>
        <w:spacing w:after="60"/>
        <w:jc w:val="center"/>
      </w:pPr>
      <w:r>
        <w:rPr>
          <w:rFonts w:ascii="Times New Roman" w:cs="Nirmala UI" w:eastAsia="Times New Roman" w:hAnsi="Times New Roman"/>
          <w:smallCaps/>
          <w:sz w:val="16"/>
          <w:szCs w:val="16"/>
        </w:rPr>
        <w:t xml:space="preserve">E5: Qualitative analysis of 18 legally difficult cases (1–10 LMP scale; × = wrong predicted type)</w:t>
      </w:r>
    </w:p>
    <w:tbl>
      <w:tblPr>
        <w:tblW w:type="dxa" w:w="10282"/>
        <w:jc w:val="center"/>
        <w:tblBorders>
          <w:top w:val="single" w:color="auto" w:sz="4"/>
          <w:left w:val="single" w:color="auto" w:sz="4"/>
          <w:bottom w:val="single" w:color="auto" w:sz="4"/>
          <w:right w:val="single" w:color="auto" w:sz="4"/>
          <w:insideH w:val="single" w:color="auto" w:sz="4"/>
          <w:insideV w:val="single" w:color="auto" w:sz="4"/>
        </w:tblBorders>
      </w:tblPr>
      <w:tblGrid>
        <w:gridCol w:w="330"/>
        <w:gridCol w:w="450"/>
        <w:gridCol w:w="1200"/>
        <w:gridCol w:w="4300"/>
        <w:gridCol w:w="500"/>
        <w:gridCol w:w="500"/>
        <w:gridCol w:w="500"/>
        <w:gridCol w:w="500"/>
        <w:gridCol w:w="600"/>
        <w:gridCol w:w="1402"/>
      </w:tblGrid>
      <w:tr>
        <w:trPr>
          <w:cantSplit/>
          <w:tblHeader/>
        </w:trPr>
        <w:tc>
          <w:tcPr>
            <w:tcW w:type="dxa" w:w="330"/>
            <w:tcBorders>
              <w:top w:val="single" w:color="000000" w:sz="8"/>
              <w:left w:val="none" w:color="FFFFFF" w:sz="0"/>
              <w:bottom w:val="single" w:color="000000" w:sz="4"/>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w:t>
            </w:r>
          </w:p>
        </w:tc>
        <w:tc>
          <w:tcPr>
            <w:tcW w:type="dxa" w:w="450"/>
            <w:tcBorders>
              <w:top w:val="single" w:color="000000" w:sz="8"/>
              <w:left w:val="none" w:color="FFFFFF" w:sz="0"/>
              <w:bottom w:val="single" w:color="000000" w:sz="4"/>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Lang</w:t>
            </w:r>
          </w:p>
        </w:tc>
        <w:tc>
          <w:tcPr>
            <w:tcW w:type="dxa" w:w="1200"/>
            <w:tcBorders>
              <w:top w:val="single" w:color="000000" w:sz="8"/>
              <w:left w:val="none" w:color="FFFFFF" w:sz="0"/>
              <w:bottom w:val="single" w:color="000000" w:sz="4"/>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4"/>
                <w:szCs w:val="14"/>
              </w:rPr>
              <w:t xml:space="preserve">Gold type</w:t>
            </w:r>
          </w:p>
        </w:tc>
        <w:tc>
          <w:tcPr>
            <w:tcW w:type="dxa" w:w="4300"/>
            <w:tcBorders>
              <w:top w:val="single" w:color="000000" w:sz="8"/>
              <w:left w:val="none" w:color="FFFFFF" w:sz="0"/>
              <w:bottom w:val="single" w:color="000000" w:sz="4"/>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4"/>
                <w:szCs w:val="14"/>
              </w:rPr>
              <w:t xml:space="preserve">Legal change (original → simplification)</w:t>
            </w:r>
          </w:p>
        </w:tc>
        <w:tc>
          <w:tcPr>
            <w:tcW w:type="dxa" w:w="500"/>
            <w:tcBorders>
              <w:top w:val="single" w:color="000000" w:sz="8"/>
              <w:left w:val="none" w:color="FFFFFF" w:sz="0"/>
              <w:bottom w:val="single" w:color="000000" w:sz="4"/>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Gold</w:t>
            </w:r>
          </w:p>
        </w:tc>
        <w:tc>
          <w:tcPr>
            <w:tcW w:type="dxa" w:w="500"/>
            <w:tcBorders>
              <w:top w:val="single" w:color="000000" w:sz="8"/>
              <w:left w:val="none" w:color="FFFFFF" w:sz="0"/>
              <w:bottom w:val="single" w:color="000000" w:sz="4"/>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chrF</w:t>
            </w:r>
          </w:p>
        </w:tc>
        <w:tc>
          <w:tcPr>
            <w:tcW w:type="dxa" w:w="500"/>
            <w:tcBorders>
              <w:top w:val="single" w:color="000000" w:sz="8"/>
              <w:left w:val="none" w:color="FFFFFF" w:sz="0"/>
              <w:bottom w:val="single" w:color="000000" w:sz="4"/>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Emb.</w:t>
            </w:r>
          </w:p>
        </w:tc>
        <w:tc>
          <w:tcPr>
            <w:tcW w:type="dxa" w:w="500"/>
            <w:tcBorders>
              <w:top w:val="single" w:color="000000" w:sz="8"/>
              <w:left w:val="none" w:color="FFFFFF" w:sz="0"/>
              <w:bottom w:val="single" w:color="000000" w:sz="4"/>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GBR</w:t>
            </w:r>
          </w:p>
        </w:tc>
        <w:tc>
          <w:tcPr>
            <w:tcW w:type="dxa" w:w="600"/>
            <w:tcBorders>
              <w:top w:val="single" w:color="000000" w:sz="8"/>
              <w:left w:val="none" w:color="FFFFFF" w:sz="0"/>
              <w:bottom w:val="single" w:color="000000" w:sz="4"/>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Hybrid</w:t>
            </w:r>
          </w:p>
        </w:tc>
        <w:tc>
          <w:tcPr>
            <w:tcW w:type="dxa" w:w="1402"/>
            <w:tcBorders>
              <w:top w:val="single" w:color="000000" w:sz="8"/>
              <w:left w:val="none" w:color="FFFFFF" w:sz="0"/>
              <w:bottom w:val="single" w:color="000000" w:sz="4"/>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4"/>
                <w:szCs w:val="14"/>
              </w:rPr>
              <w:t xml:space="preserve">Predicted type</w:t>
            </w:r>
          </w:p>
        </w:tc>
      </w:tr>
      <w:tr>
        <w:trPr>
          <w:cantSplit/>
          <w:tblHeader w:val="false"/>
        </w:trPr>
        <w:tc>
          <w:tcPr>
            <w:tcW w:type="dxa" w:w="3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1</w:t>
            </w:r>
          </w:p>
        </w:tc>
        <w:tc>
          <w:tcPr>
            <w:tcW w:type="dxa" w:w="4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HI</w:t>
            </w:r>
          </w:p>
        </w:tc>
        <w:tc>
          <w:tcPr>
            <w:tcW w:type="dxa" w:w="12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4"/>
                <w:szCs w:val="14"/>
              </w:rPr>
              <w:t xml:space="preserve">MODALITY</w:t>
            </w:r>
          </w:p>
        </w:tc>
        <w:tc>
          <w:tcPr>
            <w:tcW w:type="dxa" w:w="4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4"/>
                <w:szCs w:val="14"/>
              </w:rPr>
              <w:t xml:space="preserve">“must not” use for hire unless covered → “may” use unless excluded</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1</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6.2</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7.1</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4.2</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9.2</w:t>
            </w:r>
          </w:p>
        </w:tc>
        <w:tc>
          <w:tcPr>
            <w:tcW w:type="dxa" w:w="140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4"/>
                <w:szCs w:val="14"/>
              </w:rPr>
              <w:t xml:space="preserve">SCOPE×</w:t>
            </w:r>
          </w:p>
        </w:tc>
      </w:tr>
      <w:tr>
        <w:trPr>
          <w:cantSplit/>
          <w:tblHeader w:val="false"/>
        </w:trPr>
        <w:tc>
          <w:tcPr>
            <w:tcW w:type="dxa" w:w="3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2</w:t>
            </w:r>
          </w:p>
        </w:tc>
        <w:tc>
          <w:tcPr>
            <w:tcW w:type="dxa" w:w="4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HI</w:t>
            </w:r>
          </w:p>
        </w:tc>
        <w:tc>
          <w:tcPr>
            <w:tcW w:type="dxa" w:w="12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4"/>
                <w:szCs w:val="14"/>
              </w:rPr>
              <w:t xml:space="preserve">ENTITY</w:t>
            </w:r>
          </w:p>
        </w:tc>
        <w:tc>
          <w:tcPr>
            <w:tcW w:type="dxa" w:w="4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4"/>
                <w:szCs w:val="14"/>
              </w:rPr>
              <w:t xml:space="preserve">benefit goes to nominee on policyholder's death → roles swapped</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1</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7.6</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7.0</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5.2</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6.2</w:t>
            </w:r>
          </w:p>
        </w:tc>
        <w:tc>
          <w:tcPr>
            <w:tcW w:type="dxa" w:w="140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4"/>
                <w:szCs w:val="14"/>
              </w:rPr>
              <w:t xml:space="preserve">ENTITY</w:t>
            </w:r>
          </w:p>
        </w:tc>
      </w:tr>
      <w:tr>
        <w:trPr>
          <w:cantSplit/>
          <w:tblHeader w:val="false"/>
        </w:trPr>
        <w:tc>
          <w:tcPr>
            <w:tcW w:type="dxa" w:w="3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3</w:t>
            </w:r>
          </w:p>
        </w:tc>
        <w:tc>
          <w:tcPr>
            <w:tcW w:type="dxa" w:w="4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HI</w:t>
            </w:r>
          </w:p>
        </w:tc>
        <w:tc>
          <w:tcPr>
            <w:tcW w:type="dxa" w:w="12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4"/>
                <w:szCs w:val="14"/>
              </w:rPr>
              <w:t xml:space="preserve">NEGATION</w:t>
            </w:r>
          </w:p>
        </w:tc>
        <w:tc>
          <w:tcPr>
            <w:tcW w:type="dxa" w:w="4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4"/>
                <w:szCs w:val="14"/>
              </w:rPr>
              <w:t xml:space="preserve">landlord shall not cut water/power → may cut if rent unpaid</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1</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7.2</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7.0</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4.5</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9.3</w:t>
            </w:r>
          </w:p>
        </w:tc>
        <w:tc>
          <w:tcPr>
            <w:tcW w:type="dxa" w:w="140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4"/>
                <w:szCs w:val="14"/>
              </w:rPr>
              <w:t xml:space="preserve">NEGATION</w:t>
            </w:r>
          </w:p>
        </w:tc>
      </w:tr>
      <w:tr>
        <w:trPr>
          <w:cantSplit/>
          <w:tblHeader w:val="false"/>
        </w:trPr>
        <w:tc>
          <w:tcPr>
            <w:tcW w:type="dxa" w:w="3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4</w:t>
            </w:r>
          </w:p>
        </w:tc>
        <w:tc>
          <w:tcPr>
            <w:tcW w:type="dxa" w:w="4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HI</w:t>
            </w:r>
          </w:p>
        </w:tc>
        <w:tc>
          <w:tcPr>
            <w:tcW w:type="dxa" w:w="12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4"/>
                <w:szCs w:val="14"/>
              </w:rPr>
              <w:t xml:space="preserve">OMIT_COND</w:t>
            </w:r>
          </w:p>
        </w:tc>
        <w:tc>
          <w:tcPr>
            <w:tcW w:type="dxa" w:w="4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4"/>
                <w:szCs w:val="14"/>
              </w:rPr>
              <w:t xml:space="preserve">entry after 24-h notice, 8 a.m.–8 p.m. → any time, no notice</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1</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4.2</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6.9</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2.7</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1.3</w:t>
            </w:r>
          </w:p>
        </w:tc>
        <w:tc>
          <w:tcPr>
            <w:tcW w:type="dxa" w:w="140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4"/>
                <w:szCs w:val="14"/>
              </w:rPr>
              <w:t xml:space="preserve">NEGATION×</w:t>
            </w:r>
          </w:p>
        </w:tc>
      </w:tr>
      <w:tr>
        <w:trPr>
          <w:cantSplit/>
          <w:tblHeader w:val="false"/>
        </w:trPr>
        <w:tc>
          <w:tcPr>
            <w:tcW w:type="dxa" w:w="3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5</w:t>
            </w:r>
          </w:p>
        </w:tc>
        <w:tc>
          <w:tcPr>
            <w:tcW w:type="dxa" w:w="4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HI</w:t>
            </w:r>
          </w:p>
        </w:tc>
        <w:tc>
          <w:tcPr>
            <w:tcW w:type="dxa" w:w="12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4"/>
                <w:szCs w:val="14"/>
              </w:rPr>
              <w:t xml:space="preserve">HALLUC</w:t>
            </w:r>
          </w:p>
        </w:tc>
        <w:tc>
          <w:tcPr>
            <w:tcW w:type="dxa" w:w="4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4"/>
                <w:szCs w:val="14"/>
              </w:rPr>
              <w:t xml:space="preserve">eviction only by legal procedure → after 7 days' notice</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1</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5.0</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6.8</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6.0</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1.4</w:t>
            </w:r>
          </w:p>
        </w:tc>
        <w:tc>
          <w:tcPr>
            <w:tcW w:type="dxa" w:w="140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4"/>
                <w:szCs w:val="14"/>
              </w:rPr>
              <w:t xml:space="preserve">ENTITY×</w:t>
            </w:r>
          </w:p>
        </w:tc>
      </w:tr>
      <w:tr>
        <w:trPr>
          <w:cantSplit/>
          <w:tblHeader w:val="false"/>
        </w:trPr>
        <w:tc>
          <w:tcPr>
            <w:tcW w:type="dxa" w:w="3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6</w:t>
            </w:r>
          </w:p>
        </w:tc>
        <w:tc>
          <w:tcPr>
            <w:tcW w:type="dxa" w:w="4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EN</w:t>
            </w:r>
          </w:p>
        </w:tc>
        <w:tc>
          <w:tcPr>
            <w:tcW w:type="dxa" w:w="12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4"/>
                <w:szCs w:val="14"/>
              </w:rPr>
              <w:t xml:space="preserve">ENTITY</w:t>
            </w:r>
          </w:p>
        </w:tc>
        <w:tc>
          <w:tcPr>
            <w:tcW w:type="dxa" w:w="4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4"/>
                <w:szCs w:val="14"/>
              </w:rPr>
              <w:t xml:space="preserve">benefit goes to nominee on policyholder's death → roles swapped</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1</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8.3</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6.5</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7.9</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9.9</w:t>
            </w:r>
          </w:p>
        </w:tc>
        <w:tc>
          <w:tcPr>
            <w:tcW w:type="dxa" w:w="140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4"/>
                <w:szCs w:val="14"/>
              </w:rPr>
              <w:t xml:space="preserve">NONE×</w:t>
            </w:r>
          </w:p>
        </w:tc>
      </w:tr>
      <w:tr>
        <w:trPr>
          <w:cantSplit/>
          <w:tblHeader w:val="false"/>
        </w:trPr>
        <w:tc>
          <w:tcPr>
            <w:tcW w:type="dxa" w:w="3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7</w:t>
            </w:r>
          </w:p>
        </w:tc>
        <w:tc>
          <w:tcPr>
            <w:tcW w:type="dxa" w:w="4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EN</w:t>
            </w:r>
          </w:p>
        </w:tc>
        <w:tc>
          <w:tcPr>
            <w:tcW w:type="dxa" w:w="12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4"/>
                <w:szCs w:val="14"/>
              </w:rPr>
              <w:t xml:space="preserve">NEGATION</w:t>
            </w:r>
          </w:p>
        </w:tc>
        <w:tc>
          <w:tcPr>
            <w:tcW w:type="dxa" w:w="4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4"/>
                <w:szCs w:val="14"/>
              </w:rPr>
              <w:t xml:space="preserve">“does not cover” wear and tear → “pays for” it</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1</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8.8</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6.1</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8.9</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9.9</w:t>
            </w:r>
          </w:p>
        </w:tc>
        <w:tc>
          <w:tcPr>
            <w:tcW w:type="dxa" w:w="140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4"/>
                <w:szCs w:val="14"/>
              </w:rPr>
              <w:t xml:space="preserve">NONE×</w:t>
            </w:r>
          </w:p>
        </w:tc>
      </w:tr>
      <w:tr>
        <w:trPr>
          <w:cantSplit/>
          <w:tblHeader w:val="false"/>
        </w:trPr>
        <w:tc>
          <w:tcPr>
            <w:tcW w:type="dxa" w:w="3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8</w:t>
            </w:r>
          </w:p>
        </w:tc>
        <w:tc>
          <w:tcPr>
            <w:tcW w:type="dxa" w:w="4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HI</w:t>
            </w:r>
          </w:p>
        </w:tc>
        <w:tc>
          <w:tcPr>
            <w:tcW w:type="dxa" w:w="12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4"/>
                <w:szCs w:val="14"/>
              </w:rPr>
              <w:t xml:space="preserve">DATE</w:t>
            </w:r>
          </w:p>
        </w:tc>
        <w:tc>
          <w:tcPr>
            <w:tcW w:type="dxa" w:w="4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4"/>
                <w:szCs w:val="14"/>
              </w:rPr>
              <w:t xml:space="preserve">newborn covered from 91st day → from day of birth</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2</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5.6</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7.1</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5.1</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8.1</w:t>
            </w:r>
          </w:p>
        </w:tc>
        <w:tc>
          <w:tcPr>
            <w:tcW w:type="dxa" w:w="140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4"/>
                <w:szCs w:val="14"/>
              </w:rPr>
              <w:t xml:space="preserve">DATE</w:t>
            </w:r>
          </w:p>
        </w:tc>
      </w:tr>
      <w:tr>
        <w:trPr>
          <w:cantSplit/>
          <w:tblHeader w:val="false"/>
        </w:trPr>
        <w:tc>
          <w:tcPr>
            <w:tcW w:type="dxa" w:w="3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9</w:t>
            </w:r>
          </w:p>
        </w:tc>
        <w:tc>
          <w:tcPr>
            <w:tcW w:type="dxa" w:w="4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HI</w:t>
            </w:r>
          </w:p>
        </w:tc>
        <w:tc>
          <w:tcPr>
            <w:tcW w:type="dxa" w:w="12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4"/>
                <w:szCs w:val="14"/>
              </w:rPr>
              <w:t xml:space="preserve">EXC_REMOVED</w:t>
            </w:r>
          </w:p>
        </w:tc>
        <w:tc>
          <w:tcPr>
            <w:tcW w:type="dxa" w:w="4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4"/>
                <w:szCs w:val="14"/>
              </w:rPr>
              <w:t xml:space="preserve">liable for damage, wear and tear excepted → including wear and tear</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2</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5.7</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7.0</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5.4</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5.3</w:t>
            </w:r>
          </w:p>
        </w:tc>
        <w:tc>
          <w:tcPr>
            <w:tcW w:type="dxa" w:w="140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4"/>
                <w:szCs w:val="14"/>
              </w:rPr>
              <w:t xml:space="preserve">EXC_REMOVED</w:t>
            </w:r>
          </w:p>
        </w:tc>
      </w:tr>
      <w:tr>
        <w:trPr>
          <w:cantSplit/>
          <w:tblHeader w:val="false"/>
        </w:trPr>
        <w:tc>
          <w:tcPr>
            <w:tcW w:type="dxa" w:w="3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10</w:t>
            </w:r>
          </w:p>
        </w:tc>
        <w:tc>
          <w:tcPr>
            <w:tcW w:type="dxa" w:w="4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HI</w:t>
            </w:r>
          </w:p>
        </w:tc>
        <w:tc>
          <w:tcPr>
            <w:tcW w:type="dxa" w:w="12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4"/>
                <w:szCs w:val="14"/>
              </w:rPr>
              <w:t xml:space="preserve">SCOPE</w:t>
            </w:r>
          </w:p>
        </w:tc>
        <w:tc>
          <w:tcPr>
            <w:tcW w:type="dxa" w:w="4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4"/>
                <w:szCs w:val="14"/>
              </w:rPr>
              <w:t xml:space="preserve">insurer pays rateable share → pays entire loss</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2</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5.4</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7.0</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5.9</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9.1</w:t>
            </w:r>
          </w:p>
        </w:tc>
        <w:tc>
          <w:tcPr>
            <w:tcW w:type="dxa" w:w="140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4"/>
                <w:szCs w:val="14"/>
              </w:rPr>
              <w:t xml:space="preserve">MINOR×</w:t>
            </w:r>
          </w:p>
        </w:tc>
      </w:tr>
      <w:tr>
        <w:trPr>
          <w:cantSplit/>
          <w:tblHeader w:val="false"/>
        </w:trPr>
        <w:tc>
          <w:tcPr>
            <w:tcW w:type="dxa" w:w="3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11</w:t>
            </w:r>
          </w:p>
        </w:tc>
        <w:tc>
          <w:tcPr>
            <w:tcW w:type="dxa" w:w="4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HI</w:t>
            </w:r>
          </w:p>
        </w:tc>
        <w:tc>
          <w:tcPr>
            <w:tcW w:type="dxa" w:w="12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4"/>
                <w:szCs w:val="14"/>
              </w:rPr>
              <w:t xml:space="preserve">NUMBER</w:t>
            </w:r>
          </w:p>
        </w:tc>
        <w:tc>
          <w:tcPr>
            <w:tcW w:type="dxa" w:w="4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4"/>
                <w:szCs w:val="14"/>
              </w:rPr>
              <w:t xml:space="preserve">deposit ≤ 2 months' rent → ≤ 6 months' rent</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2</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4.9</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6.9</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2.3</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1.1</w:t>
            </w:r>
          </w:p>
        </w:tc>
        <w:tc>
          <w:tcPr>
            <w:tcW w:type="dxa" w:w="140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4"/>
                <w:szCs w:val="14"/>
              </w:rPr>
              <w:t xml:space="preserve">DATE×</w:t>
            </w:r>
          </w:p>
        </w:tc>
      </w:tr>
      <w:tr>
        <w:trPr>
          <w:cantSplit/>
          <w:tblHeader w:val="false"/>
        </w:trPr>
        <w:tc>
          <w:tcPr>
            <w:tcW w:type="dxa" w:w="3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12</w:t>
            </w:r>
          </w:p>
        </w:tc>
        <w:tc>
          <w:tcPr>
            <w:tcW w:type="dxa" w:w="4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EN</w:t>
            </w:r>
          </w:p>
        </w:tc>
        <w:tc>
          <w:tcPr>
            <w:tcW w:type="dxa" w:w="12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4"/>
                <w:szCs w:val="14"/>
              </w:rPr>
              <w:t xml:space="preserve">DATE</w:t>
            </w:r>
          </w:p>
        </w:tc>
        <w:tc>
          <w:tcPr>
            <w:tcW w:type="dxa" w:w="4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4"/>
                <w:szCs w:val="14"/>
              </w:rPr>
              <w:t xml:space="preserve">six-month lock-in → three-month lock-in</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2</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7.2</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6.6</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5.5</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10.0</w:t>
            </w:r>
          </w:p>
        </w:tc>
        <w:tc>
          <w:tcPr>
            <w:tcW w:type="dxa" w:w="140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4"/>
                <w:szCs w:val="14"/>
              </w:rPr>
              <w:t xml:space="preserve">DATE</w:t>
            </w:r>
          </w:p>
        </w:tc>
      </w:tr>
      <w:tr>
        <w:trPr>
          <w:cantSplit/>
          <w:tblHeader w:val="false"/>
        </w:trPr>
        <w:tc>
          <w:tcPr>
            <w:tcW w:type="dxa" w:w="3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13</w:t>
            </w:r>
          </w:p>
        </w:tc>
        <w:tc>
          <w:tcPr>
            <w:tcW w:type="dxa" w:w="4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EN</w:t>
            </w:r>
          </w:p>
        </w:tc>
        <w:tc>
          <w:tcPr>
            <w:tcW w:type="dxa" w:w="12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4"/>
                <w:szCs w:val="14"/>
              </w:rPr>
              <w:t xml:space="preserve">NUMBER</w:t>
            </w:r>
          </w:p>
        </w:tc>
        <w:tc>
          <w:tcPr>
            <w:tcW w:type="dxa" w:w="4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4"/>
                <w:szCs w:val="14"/>
              </w:rPr>
              <w:t xml:space="preserve">deductible Rs 5,000 → Rs 50,000</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2</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8.4</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6.6</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5.3</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9.4</w:t>
            </w:r>
          </w:p>
        </w:tc>
        <w:tc>
          <w:tcPr>
            <w:tcW w:type="dxa" w:w="140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4"/>
                <w:szCs w:val="14"/>
              </w:rPr>
              <w:t xml:space="preserve">NUMBER</w:t>
            </w:r>
          </w:p>
        </w:tc>
      </w:tr>
      <w:tr>
        <w:trPr>
          <w:cantSplit/>
          <w:tblHeader w:val="false"/>
        </w:trPr>
        <w:tc>
          <w:tcPr>
            <w:tcW w:type="dxa" w:w="3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14</w:t>
            </w:r>
          </w:p>
        </w:tc>
        <w:tc>
          <w:tcPr>
            <w:tcW w:type="dxa" w:w="4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EN</w:t>
            </w:r>
          </w:p>
        </w:tc>
        <w:tc>
          <w:tcPr>
            <w:tcW w:type="dxa" w:w="12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4"/>
                <w:szCs w:val="14"/>
              </w:rPr>
              <w:t xml:space="preserve">OMIT_COND</w:t>
            </w:r>
          </w:p>
        </w:tc>
        <w:tc>
          <w:tcPr>
            <w:tcW w:type="dxa" w:w="4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4"/>
                <w:szCs w:val="14"/>
              </w:rPr>
              <w:t xml:space="preserve">entry after 24-h notice, 8 a.m.–8 p.m. → any time, no notice</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1</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4.6</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5.4</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3.5</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1.1</w:t>
            </w:r>
          </w:p>
        </w:tc>
        <w:tc>
          <w:tcPr>
            <w:tcW w:type="dxa" w:w="140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4"/>
                <w:szCs w:val="14"/>
              </w:rPr>
              <w:t xml:space="preserve">DATE×</w:t>
            </w:r>
          </w:p>
        </w:tc>
      </w:tr>
      <w:tr>
        <w:trPr>
          <w:cantSplit/>
          <w:tblHeader w:val="false"/>
        </w:trPr>
        <w:tc>
          <w:tcPr>
            <w:tcW w:type="dxa" w:w="3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15</w:t>
            </w:r>
          </w:p>
        </w:tc>
        <w:tc>
          <w:tcPr>
            <w:tcW w:type="dxa" w:w="4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EN</w:t>
            </w:r>
          </w:p>
        </w:tc>
        <w:tc>
          <w:tcPr>
            <w:tcW w:type="dxa" w:w="12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4"/>
                <w:szCs w:val="14"/>
              </w:rPr>
              <w:t xml:space="preserve">HALLUC</w:t>
            </w:r>
          </w:p>
        </w:tc>
        <w:tc>
          <w:tcPr>
            <w:tcW w:type="dxa" w:w="4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4"/>
                <w:szCs w:val="14"/>
              </w:rPr>
              <w:t xml:space="preserve">eviction only by legal procedure → after 7 days' notice</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1</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5.0</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5.4</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3.6</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1.0</w:t>
            </w:r>
          </w:p>
        </w:tc>
        <w:tc>
          <w:tcPr>
            <w:tcW w:type="dxa" w:w="140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4"/>
                <w:szCs w:val="14"/>
              </w:rPr>
              <w:t xml:space="preserve">MODALITY×</w:t>
            </w:r>
          </w:p>
        </w:tc>
      </w:tr>
      <w:tr>
        <w:trPr>
          <w:cantSplit/>
          <w:tblHeader w:val="false"/>
        </w:trPr>
        <w:tc>
          <w:tcPr>
            <w:tcW w:type="dxa" w:w="3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16</w:t>
            </w:r>
          </w:p>
        </w:tc>
        <w:tc>
          <w:tcPr>
            <w:tcW w:type="dxa" w:w="4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EN</w:t>
            </w:r>
          </w:p>
        </w:tc>
        <w:tc>
          <w:tcPr>
            <w:tcW w:type="dxa" w:w="12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4"/>
                <w:szCs w:val="14"/>
              </w:rPr>
              <w:t xml:space="preserve">EXC_REMOVED</w:t>
            </w:r>
          </w:p>
        </w:tc>
        <w:tc>
          <w:tcPr>
            <w:tcW w:type="dxa" w:w="4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4"/>
                <w:szCs w:val="14"/>
              </w:rPr>
              <w:t xml:space="preserve">no hazardous goods except cooking gas → including cooking gas</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2</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7.7</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6.1</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7.6</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9.8</w:t>
            </w:r>
          </w:p>
        </w:tc>
        <w:tc>
          <w:tcPr>
            <w:tcW w:type="dxa" w:w="140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4"/>
                <w:szCs w:val="14"/>
              </w:rPr>
              <w:t xml:space="preserve">NONE×</w:t>
            </w:r>
          </w:p>
        </w:tc>
      </w:tr>
      <w:tr>
        <w:trPr>
          <w:cantSplit/>
          <w:tblHeader w:val="false"/>
        </w:trPr>
        <w:tc>
          <w:tcPr>
            <w:tcW w:type="dxa" w:w="3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17</w:t>
            </w:r>
          </w:p>
        </w:tc>
        <w:tc>
          <w:tcPr>
            <w:tcW w:type="dxa" w:w="4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HI</w:t>
            </w:r>
          </w:p>
        </w:tc>
        <w:tc>
          <w:tcPr>
            <w:tcW w:type="dxa" w:w="12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4"/>
                <w:szCs w:val="14"/>
              </w:rPr>
              <w:t xml:space="preserve">NONE</w:t>
            </w:r>
          </w:p>
        </w:tc>
        <w:tc>
          <w:tcPr>
            <w:tcW w:type="dxa" w:w="4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4"/>
                <w:szCs w:val="14"/>
              </w:rPr>
              <w:t xml:space="preserve">faithful: rent +5% after every 11 months</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10</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2.0</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6.2</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1.8</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5.4</w:t>
            </w:r>
          </w:p>
        </w:tc>
        <w:tc>
          <w:tcPr>
            <w:tcW w:type="dxa" w:w="140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4"/>
                <w:szCs w:val="14"/>
              </w:rPr>
              <w:t xml:space="preserve">HALLUC×</w:t>
            </w:r>
          </w:p>
        </w:tc>
      </w:tr>
      <w:tr>
        <w:trPr>
          <w:cantSplit/>
          <w:tblHeader w:val="false"/>
        </w:trPr>
        <w:tc>
          <w:tcPr>
            <w:tcW w:type="dxa" w:w="330"/>
            <w:tcBorders>
              <w:top w:val="none" w:color="FFFFFF" w:sz="0"/>
              <w:left w:val="none" w:color="FFFFFF" w:sz="0"/>
              <w:bottom w:val="single" w:color="000000" w:sz="8"/>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18</w:t>
            </w:r>
          </w:p>
        </w:tc>
        <w:tc>
          <w:tcPr>
            <w:tcW w:type="dxa" w:w="450"/>
            <w:tcBorders>
              <w:top w:val="none" w:color="FFFFFF" w:sz="0"/>
              <w:left w:val="none" w:color="FFFFFF" w:sz="0"/>
              <w:bottom w:val="single" w:color="000000" w:sz="8"/>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EN</w:t>
            </w:r>
          </w:p>
        </w:tc>
        <w:tc>
          <w:tcPr>
            <w:tcW w:type="dxa" w:w="1200"/>
            <w:tcBorders>
              <w:top w:val="none" w:color="FFFFFF" w:sz="0"/>
              <w:left w:val="none" w:color="FFFFFF" w:sz="0"/>
              <w:bottom w:val="single" w:color="000000" w:sz="8"/>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4"/>
                <w:szCs w:val="14"/>
              </w:rPr>
              <w:t xml:space="preserve">NONE</w:t>
            </w:r>
          </w:p>
        </w:tc>
        <w:tc>
          <w:tcPr>
            <w:tcW w:type="dxa" w:w="4300"/>
            <w:tcBorders>
              <w:top w:val="none" w:color="FFFFFF" w:sz="0"/>
              <w:left w:val="none" w:color="FFFFFF" w:sz="0"/>
              <w:bottom w:val="single" w:color="000000" w:sz="8"/>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4"/>
                <w:szCs w:val="14"/>
              </w:rPr>
              <w:t xml:space="preserve">faithful: rent +5% after every 11 months</w:t>
            </w:r>
          </w:p>
        </w:tc>
        <w:tc>
          <w:tcPr>
            <w:tcW w:type="dxa" w:w="500"/>
            <w:tcBorders>
              <w:top w:val="none" w:color="FFFFFF" w:sz="0"/>
              <w:left w:val="none" w:color="FFFFFF" w:sz="0"/>
              <w:bottom w:val="single" w:color="000000" w:sz="8"/>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10</w:t>
            </w:r>
          </w:p>
        </w:tc>
        <w:tc>
          <w:tcPr>
            <w:tcW w:type="dxa" w:w="500"/>
            <w:tcBorders>
              <w:top w:val="none" w:color="FFFFFF" w:sz="0"/>
              <w:left w:val="none" w:color="FFFFFF" w:sz="0"/>
              <w:bottom w:val="single" w:color="000000" w:sz="8"/>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3.2</w:t>
            </w:r>
          </w:p>
        </w:tc>
        <w:tc>
          <w:tcPr>
            <w:tcW w:type="dxa" w:w="500"/>
            <w:tcBorders>
              <w:top w:val="none" w:color="FFFFFF" w:sz="0"/>
              <w:left w:val="none" w:color="FFFFFF" w:sz="0"/>
              <w:bottom w:val="single" w:color="000000" w:sz="8"/>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5.2</w:t>
            </w:r>
          </w:p>
        </w:tc>
        <w:tc>
          <w:tcPr>
            <w:tcW w:type="dxa" w:w="500"/>
            <w:tcBorders>
              <w:top w:val="none" w:color="FFFFFF" w:sz="0"/>
              <w:left w:val="none" w:color="FFFFFF" w:sz="0"/>
              <w:bottom w:val="single" w:color="000000" w:sz="8"/>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9.0</w:t>
            </w:r>
          </w:p>
        </w:tc>
        <w:tc>
          <w:tcPr>
            <w:tcW w:type="dxa" w:w="600"/>
            <w:tcBorders>
              <w:top w:val="none" w:color="FFFFFF" w:sz="0"/>
              <w:left w:val="none" w:color="FFFFFF" w:sz="0"/>
              <w:bottom w:val="single" w:color="000000" w:sz="8"/>
              <w:right w:val="none" w:color="FFFFFF" w:sz="0"/>
            </w:tcBorders>
            <w:tcMar>
              <w:top w:type="dxa" w:w="20"/>
              <w:left w:type="dxa" w:w="50"/>
              <w:bottom w:type="dxa" w:w="20"/>
              <w:right w:type="dxa" w:w="50"/>
            </w:tcMar>
            <w:vAlign w:val="center"/>
          </w:tcPr>
          <w:p>
            <w:pPr>
              <w:keepNext/>
              <w:keepLines/>
              <w:spacing w:after="0"/>
              <w:jc w:val="center"/>
            </w:pPr>
            <w:r>
              <w:rPr>
                <w:rFonts w:ascii="Times New Roman" w:cs="Nirmala UI" w:eastAsia="Times New Roman" w:hAnsi="Times New Roman"/>
                <w:b w:val="false"/>
                <w:bCs w:val="false"/>
                <w:sz w:val="14"/>
                <w:szCs w:val="14"/>
              </w:rPr>
              <w:t xml:space="preserve">7.1</w:t>
            </w:r>
          </w:p>
        </w:tc>
        <w:tc>
          <w:tcPr>
            <w:tcW w:type="dxa" w:w="1402"/>
            <w:tcBorders>
              <w:top w:val="none" w:color="FFFFFF" w:sz="0"/>
              <w:left w:val="none" w:color="FFFFFF" w:sz="0"/>
              <w:bottom w:val="single" w:color="000000" w:sz="8"/>
              <w:right w:val="none" w:color="FFFFFF" w:sz="0"/>
            </w:tcBorders>
            <w:tcMar>
              <w:top w:type="dxa" w:w="20"/>
              <w:left w:type="dxa" w:w="50"/>
              <w:bottom w:type="dxa" w:w="20"/>
              <w:right w:type="dxa" w:w="50"/>
            </w:tcMar>
            <w:vAlign w:val="center"/>
          </w:tcPr>
          <w:p>
            <w:pPr>
              <w:keepNext/>
              <w:keepLines/>
              <w:spacing w:after="0"/>
              <w:jc w:val="left"/>
            </w:pPr>
            <w:r>
              <w:rPr>
                <w:rFonts w:ascii="Times New Roman" w:cs="Nirmala UI" w:eastAsia="Times New Roman" w:hAnsi="Times New Roman"/>
                <w:b w:val="false"/>
                <w:bCs w:val="false"/>
                <w:sz w:val="14"/>
                <w:szCs w:val="14"/>
              </w:rPr>
              <w:t xml:space="preserve">NONE</w:t>
            </w:r>
          </w:p>
        </w:tc>
      </w:tr>
    </w:tbl>
    <w:p>
      <w:pPr>
        <w:spacing w:after="120" w:before="40"/>
        <w:jc w:val="left"/>
      </w:pPr>
      <w:r>
        <w:rPr>
          <w:rFonts w:ascii="Times New Roman" w:cs="Nirmala UI" w:eastAsia="Times New Roman" w:hAnsi="Times New Roman"/>
          <w:i/>
          <w:iCs/>
          <w:sz w:val="14"/>
          <w:szCs w:val="14"/>
        </w:rPr>
        <w:t xml:space="preserve"/>
      </w:r>
    </w:p>
    <w:p>
      <w:pPr>
        <w:sectPr>
          <w:type w:val="continuous"/>
          <w:pgSz w:w="11906" w:h="16838" w:orient="portrait"/>
          <w:pgMar w:top="1077" w:right="812" w:bottom="2438" w:left="812" w:header="708" w:footer="708" w:gutter="0"/>
          <w:pgNumType/>
          <w:cols w:num="1"/>
          <w:docGrid w:linePitch="360"/>
        </w:sectPr>
      </w:pPr>
    </w:p>
    <w:p>
      <w:pPr>
        <w:spacing w:after="80" w:before="200"/>
        <w:jc w:val="center"/>
      </w:pPr>
      <w:r>
        <w:rPr>
          <w:rFonts w:ascii="Times New Roman" w:cs="Nirmala UI" w:eastAsia="Times New Roman" w:hAnsi="Times New Roman"/>
          <w:smallCaps/>
          <w:sz w:val="20"/>
          <w:szCs w:val="20"/>
        </w:rPr>
        <w:t xml:space="preserve">VIII. Discussion</w:t>
      </w:r>
    </w:p>
    <w:p>
      <w:pPr>
        <w:spacing w:after="0" w:line="240"/>
        <w:ind w:firstLine="202"/>
        <w:jc w:val="both"/>
      </w:pPr>
      <w:r>
        <w:rPr>
          <w:rFonts w:ascii="Times New Roman" w:cs="Nirmala UI" w:eastAsia="Times New Roman" w:hAnsi="Times New Roman"/>
          <w:b/>
          <w:bCs/>
          <w:i w:val="false"/>
          <w:iCs w:val="false"/>
          <w:smallCaps w:val="false"/>
        </w:rPr>
        <w:t xml:space="preserve">Does the model capture legal meaning better than generic similarity?</w:t>
      </w:r>
      <w:r>
        <w:rPr>
          <w:rFonts w:ascii="Times New Roman" w:cs="Nirmala UI" w:eastAsia="Times New Roman" w:hAnsi="Times New Roman"/>
          <w:b w:val="false"/>
          <w:bCs w:val="false"/>
          <w:i w:val="false"/>
          <w:iCs w:val="false"/>
          <w:smallCaps w:val="false"/>
        </w:rPr>
        <w:t xml:space="preserve"> Yes, when legal differences are modelled explicitly. LegalDiff-GBR beats every generic metric in every setting we tested: overall, per language, across domains and on French human judgements, and on decision F1 and sanity checks. The hybrid model beats them overall and on FrJUDGE, but not in every slice (e.g. English: </w:t>
      </w:r>
      <w:r>
        <w:rPr>
          <w:rFonts w:ascii="Times New Roman" w:cs="Nirmala UI" w:eastAsia="Times New Roman" w:hAnsi="Times New Roman"/>
          <w:b w:val="false"/>
          <w:bCs w:val="false"/>
          <w:i w:val="false"/>
          <w:iCs w:val="false"/>
          <w:smallCaps w:val="false"/>
        </w:rPr>
        <w:t xml:space="preserve">0.41</w:t>
      </w:r>
      <w:r>
        <w:rPr>
          <w:rFonts w:ascii="Times New Roman" w:cs="Nirmala UI" w:eastAsia="Times New Roman" w:hAnsi="Times New Roman"/>
          <w:b w:val="false"/>
          <w:bCs w:val="false"/>
          <w:i w:val="false"/>
          <w:iCs w:val="false"/>
          <w:smallCaps w:val="false"/>
        </w:rPr>
        <w:t xml:space="preserve"> vs. </w:t>
      </w:r>
      <w:r>
        <w:rPr>
          <w:rFonts w:ascii="Times New Roman" w:cs="Nirmala UI" w:eastAsia="Times New Roman" w:hAnsi="Times New Roman"/>
          <w:b w:val="false"/>
          <w:bCs w:val="false"/>
          <w:i w:val="false"/>
          <w:iCs w:val="false"/>
          <w:smallCaps w:val="false"/>
        </w:rPr>
        <w:t xml:space="preserve">0.42</w:t>
      </w:r>
      <w:r>
        <w:rPr>
          <w:rFonts w:ascii="Times New Roman" w:cs="Nirmala UI" w:eastAsia="Times New Roman" w:hAnsi="Times New Roman"/>
          <w:b w:val="false"/>
          <w:bCs w:val="false"/>
          <w:i w:val="false"/>
          <w:iCs w:val="false"/>
          <w:smallCaps w:val="false"/>
        </w:rPr>
        <w:t xml:space="preserve"> for token alignment; HI</w:t>
      </w:r>
      <w:r>
        <w:rPr>
          <w:rFonts w:ascii="Times New Roman" w:cs="Nirmala UI" w:eastAsia="Times New Roman" w:hAnsi="Times New Roman"/>
          <w:b w:val="false"/>
          <w:bCs w:val="false"/>
          <w:i w:val="false"/>
          <w:iCs w:val="false"/>
          <w:smallCaps w:val="false"/>
        </w:rPr>
        <w:t xml:space="preserve">→</w:t>
      </w:r>
      <w:r>
        <w:rPr>
          <w:rFonts w:ascii="Times New Roman" w:cs="Nirmala UI" w:eastAsia="Times New Roman" w:hAnsi="Times New Roman"/>
          <w:b w:val="false"/>
          <w:bCs w:val="false"/>
          <w:i w:val="false"/>
          <w:iCs w:val="false"/>
          <w:smallCaps w:val="false"/>
        </w:rPr>
        <w:t xml:space="preserve">HI: </w:t>
      </w:r>
      <w:r>
        <w:rPr>
          <w:rFonts w:ascii="Times New Roman" w:cs="Nirmala UI" w:eastAsia="Times New Roman" w:hAnsi="Times New Roman"/>
          <w:b w:val="false"/>
          <w:bCs w:val="false"/>
          <w:i w:val="false"/>
          <w:iCs w:val="false"/>
          <w:smallCaps w:val="false"/>
        </w:rPr>
        <w:t xml:space="preserve">0.34</w:t>
      </w:r>
      <w:r>
        <w:rPr>
          <w:rFonts w:ascii="Times New Roman" w:cs="Nirmala UI" w:eastAsia="Times New Roman" w:hAnsi="Times New Roman"/>
          <w:b w:val="false"/>
          <w:bCs w:val="false"/>
          <w:i w:val="false"/>
          <w:iCs w:val="false"/>
          <w:smallCaps w:val="false"/>
        </w:rPr>
        <w:t xml:space="preserve"> vs. </w:t>
      </w:r>
      <w:r>
        <w:rPr>
          <w:rFonts w:ascii="Times New Roman" w:cs="Nirmala UI" w:eastAsia="Times New Roman" w:hAnsi="Times New Roman"/>
          <w:b w:val="false"/>
          <w:bCs w:val="false"/>
          <w:i w:val="false"/>
          <w:iCs w:val="false"/>
          <w:smallCaps w:val="false"/>
        </w:rPr>
        <w:t xml:space="preserve">0.37</w:t>
      </w:r>
      <w:r>
        <w:rPr>
          <w:rFonts w:ascii="Times New Roman" w:cs="Nirmala UI" w:eastAsia="Times New Roman" w:hAnsi="Times New Roman"/>
          <w:b w:val="false"/>
          <w:bCs w:val="false"/>
          <w:i w:val="false"/>
          <w:iCs w:val="false"/>
          <w:smallCaps w:val="false"/>
        </w:rPr>
        <w:t xml:space="preserve"> for chrF). Generic similarity is especially unreliable for Hindi, where English-centric subword vocabularies degrade to characters.</w:t>
      </w:r>
    </w:p>
    <w:p>
      <w:pPr>
        <w:spacing w:after="0" w:line="240"/>
        <w:ind w:firstLine="202"/>
        <w:jc w:val="both"/>
      </w:pPr>
      <w:r>
        <w:rPr>
          <w:rFonts w:ascii="Times New Roman" w:cs="Nirmala UI" w:eastAsia="Times New Roman" w:hAnsi="Times New Roman"/>
          <w:b/>
          <w:bCs/>
          <w:i w:val="false"/>
          <w:iCs w:val="false"/>
          <w:smallCaps w:val="false"/>
        </w:rPr>
        <w:t xml:space="preserve">Why does the encoder underperform?</w:t>
      </w:r>
      <w:r>
        <w:rPr>
          <w:rFonts w:ascii="Times New Roman" w:cs="Nirmala UI" w:eastAsia="Times New Roman" w:hAnsi="Times New Roman"/>
          <w:b w:val="false"/>
          <w:bCs w:val="false"/>
          <w:i w:val="false"/>
          <w:iCs w:val="false"/>
          <w:smallCaps w:val="false"/>
        </w:rPr>
        <w:t xml:space="preserve"> JUDGEBERT fine-tunes an encoder that already knows the language; our encoder had to learn English, Hindi and legal semantics from 256 pairs. Its weak standalone result is evidence for pretraining, not against cross-encoding: once given LegalDiff it becomes competitive and is the best system on zero-shot FrJUDGE.</w:t>
      </w:r>
    </w:p>
    <w:p>
      <w:pPr>
        <w:spacing w:after="80" w:before="200"/>
        <w:jc w:val="center"/>
      </w:pPr>
      <w:r>
        <w:rPr>
          <w:rFonts w:ascii="Times New Roman" w:cs="Nirmala UI" w:eastAsia="Times New Roman" w:hAnsi="Times New Roman"/>
          <w:smallCaps/>
          <w:sz w:val="20"/>
          <w:szCs w:val="20"/>
        </w:rPr>
        <w:t xml:space="preserve">IX. Limitations</w:t>
      </w:r>
    </w:p>
    <w:p>
      <w:pPr>
        <w:spacing w:after="0" w:line="240"/>
        <w:ind w:firstLine="202"/>
        <w:jc w:val="both"/>
      </w:pPr>
      <w:r>
        <w:rPr>
          <w:rFonts w:ascii="Times New Roman" w:cs="Nirmala UI" w:eastAsia="Times New Roman" w:hAnsi="Times New Roman"/>
          <w:b w:val="false"/>
          <w:bCs w:val="false"/>
          <w:i w:val="false"/>
          <w:iCs w:val="false"/>
          <w:smallCaps w:val="false"/>
        </w:rPr>
        <w:t xml:space="preserve">(1) Gold scores are rubric-based silver labels written by the authors; inter-annotator agreement has not yet been measured, so absolute numbers may be optimistic, especially because LegalDiff's categories mirror the error taxonomy. The FrJUDGE results, based on independent human labels, partly address this. (2) Each corrupted pair contains one controlled error; naturally produced simplifications may combine several. (3) The encoder was trained from scratch for lack of pretrained checkpoints. (4) LegalDiff's lexicons are hand-built for English and Hindi, with a small French list (74 entries) added only for the FrJUDGE check. (5) Evaluation is sentence-level without document context.</w:t>
      </w:r>
    </w:p>
    <w:p>
      <w:pPr>
        <w:spacing w:after="80" w:before="200"/>
        <w:jc w:val="center"/>
      </w:pPr>
      <w:r>
        <w:rPr>
          <w:rFonts w:ascii="Times New Roman" w:cs="Nirmala UI" w:eastAsia="Times New Roman" w:hAnsi="Times New Roman"/>
          <w:smallCaps/>
          <w:sz w:val="20"/>
          <w:szCs w:val="20"/>
        </w:rPr>
        <w:t xml:space="preserve">X. Conclusion and Future Work</w:t>
      </w:r>
    </w:p>
    <w:p>
      <w:pPr>
        <w:spacing w:after="0" w:line="240"/>
        <w:ind w:firstLine="202"/>
        <w:jc w:val="both"/>
      </w:pPr>
      <w:r>
        <w:rPr>
          <w:rFonts w:ascii="Times New Roman" w:cs="Nirmala UI" w:eastAsia="Times New Roman" w:hAnsi="Times New Roman"/>
          <w:b w:val="false"/>
          <w:bCs w:val="false"/>
          <w:i w:val="false"/>
          <w:iCs w:val="false"/>
          <w:smallCaps w:val="false"/>
        </w:rPr>
        <w:t xml:space="preserve">We extended JUDGEBERT's legal meaning preservation task to English and Hindi and to tenancy law, released a 320-pair parallel dataset with typed legal errors and sanity sets, and showed that generic similarity is not a legal-meaning metric (</w:t>
      </w:r>
      <w:r>
        <w:rPr>
          <w:rFonts w:ascii="Times New Roman" w:cs="Nirmala UI" w:eastAsia="Times New Roman" w:hAnsi="Times New Roman"/>
          <w:b w:val="false"/>
          <w:bCs w:val="false"/>
          <w:i w:val="false"/>
          <w:iCs w:val="false"/>
          <w:smallCaps w:val="false"/>
        </w:rPr>
        <w:t xml:space="preserve">r≤0.37</w:t>
      </w:r>
      <w:r>
        <w:rPr>
          <w:rFonts w:ascii="Times New Roman" w:cs="Nirmala UI" w:eastAsia="Times New Roman" w:hAnsi="Times New Roman"/>
          <w:b w:val="false"/>
          <w:bCs w:val="false"/>
          <w:i w:val="false"/>
          <w:iCs w:val="false"/>
          <w:smallCaps w:val="false"/>
        </w:rPr>
        <w:t xml:space="preserve">). Explicit, bilingual legal-difference modelling gives the strongest and most transferable signal (</w:t>
      </w:r>
      <w:r>
        <w:rPr>
          <w:rFonts w:ascii="Times New Roman" w:cs="Nirmala UI" w:eastAsia="Times New Roman" w:hAnsi="Times New Roman"/>
          <w:b w:val="false"/>
          <w:bCs w:val="false"/>
          <w:i w:val="false"/>
          <w:iCs w:val="false"/>
          <w:smallCaps w:val="false"/>
        </w:rPr>
        <w:t xml:space="preserve">r=0.60</w:t>
      </w:r>
      <w:r>
        <w:rPr>
          <w:rFonts w:ascii="Times New Roman" w:cs="Nirmala UI" w:eastAsia="Times New Roman" w:hAnsi="Times New Roman"/>
          <w:b w:val="false"/>
          <w:bCs w:val="false"/>
          <w:i w:val="false"/>
          <w:iCs w:val="false"/>
          <w:smallCaps w:val="false"/>
        </w:rPr>
        <w:t xml:space="preserve"> in-domain; </w:t>
      </w:r>
      <w:r>
        <w:rPr>
          <w:rFonts w:ascii="Times New Roman" w:cs="Nirmala UI" w:eastAsia="Times New Roman" w:hAnsi="Times New Roman"/>
          <w:b w:val="false"/>
          <w:bCs w:val="false"/>
          <w:i w:val="false"/>
          <w:iCs w:val="false"/>
          <w:smallCaps w:val="false"/>
        </w:rPr>
        <w:t xml:space="preserve">0.56</w:t>
      </w:r>
      <w:r>
        <w:rPr>
          <w:rFonts w:ascii="Times New Roman" w:cs="Nirmala UI" w:eastAsia="Times New Roman" w:hAnsi="Times New Roman"/>
          <w:b w:val="false"/>
          <w:bCs w:val="false"/>
          <w:i w:val="false"/>
          <w:iCs w:val="false"/>
          <w:smallCaps w:val="false"/>
        </w:rPr>
        <w:t xml:space="preserve"> zero-shot on human-labelled French data) and produces typed explanations (error-detection F1 </w:t>
      </w:r>
      <w:r>
        <w:rPr>
          <w:rFonts w:ascii="Times New Roman" w:cs="Nirmala UI" w:eastAsia="Times New Roman" w:hAnsi="Times New Roman"/>
          <w:b w:val="false"/>
          <w:bCs w:val="false"/>
          <w:i w:val="false"/>
          <w:iCs w:val="false"/>
          <w:smallCaps w:val="false"/>
        </w:rPr>
        <w:t xml:space="preserve">0.79</w:t>
      </w:r>
      <w:r>
        <w:rPr>
          <w:rFonts w:ascii="Times New Roman" w:cs="Nirmala UI" w:eastAsia="Times New Roman" w:hAnsi="Times New Roman"/>
          <w:b w:val="false"/>
          <w:bCs w:val="false"/>
          <w:i w:val="false"/>
          <w:iCs w:val="false"/>
          <w:smallCaps w:val="false"/>
        </w:rPr>
        <w:t xml:space="preserve">). Next steps are double human annotation with Krippendorff's </w:t>
      </w:r>
      <w:r>
        <w:rPr>
          <w:rFonts w:ascii="Times New Roman" w:cs="Nirmala UI" w:eastAsia="Times New Roman" w:hAnsi="Times New Roman"/>
          <w:b w:val="false"/>
          <w:bCs w:val="false"/>
          <w:i w:val="false"/>
          <w:iCs w:val="false"/>
          <w:smallCaps w:val="false"/>
        </w:rPr>
        <w:t xml:space="preserve">α</w:t>
      </w:r>
      <w:r>
        <w:rPr>
          <w:rFonts w:ascii="Times New Roman" w:cs="Nirmala UI" w:eastAsia="Times New Roman" w:hAnsi="Times New Roman"/>
          <w:b w:val="false"/>
          <w:bCs w:val="false"/>
          <w:i w:val="false"/>
          <w:iCs w:val="false"/>
          <w:smallCaps w:val="false"/>
        </w:rPr>
        <w:t xml:space="preserve">, fine-tuning XLM-R and MuRIL backbones on GPU, LLM-generated simplifications with multiple errors, and paragraph-level context.</w:t>
      </w:r>
    </w:p>
    <w:p>
      <w:pPr>
        <w:spacing w:after="80" w:before="200"/>
        <w:jc w:val="center"/>
      </w:pPr>
      <w:r>
        <w:rPr>
          <w:rFonts w:ascii="Times New Roman" w:cs="Nirmala UI" w:eastAsia="Times New Roman" w:hAnsi="Times New Roman"/>
          <w:smallCaps/>
          <w:sz w:val="20"/>
          <w:szCs w:val="20"/>
        </w:rPr>
        <w:t xml:space="preserve">Acknowledgment</w:t>
      </w:r>
    </w:p>
    <w:p>
      <w:pPr>
        <w:spacing w:after="0" w:line="240"/>
        <w:ind w:firstLine="202"/>
        <w:jc w:val="both"/>
      </w:pPr>
      <w:r>
        <w:rPr>
          <w:rFonts w:ascii="Times New Roman" w:cs="Nirmala UI" w:eastAsia="Times New Roman" w:hAnsi="Times New Roman"/>
          <w:b w:val="false"/>
          <w:bCs w:val="false"/>
          <w:i w:val="false"/>
          <w:iCs w:val="false"/>
          <w:smallCaps w:val="false"/>
        </w:rPr>
        <w:t xml:space="preserve">We thank Dr. Surabhi Solanki for guidance, and the JUDGEBERT authors for releasing FrJUDGE and their code.</w:t>
      </w:r>
    </w:p>
    <w:p>
      <w:pPr>
        <w:spacing w:after="80" w:before="200"/>
        <w:jc w:val="center"/>
      </w:pPr>
      <w:r>
        <w:rPr>
          <w:rFonts w:ascii="Times New Roman" w:cs="Nirmala UI" w:eastAsia="Times New Roman" w:hAnsi="Times New Roman"/>
          <w:smallCaps/>
          <w:sz w:val="20"/>
          <w:szCs w:val="20"/>
        </w:rPr>
        <w:t xml:space="preserve">References</w:t>
      </w:r>
    </w:p>
    <w:p>
      <w:pPr>
        <w:tabs>
          <w:tab w:val="left" w:pos="360"/>
        </w:tabs>
        <w:spacing w:after="30"/>
        <w:ind w:left="360" w:hanging="360"/>
        <w:jc w:val="both"/>
      </w:pPr>
      <w:r>
        <w:rPr>
          <w:rFonts w:ascii="Times New Roman" w:cs="Nirmala UI" w:eastAsia="Times New Roman" w:hAnsi="Times New Roman"/>
          <w:sz w:val="16"/>
          <w:szCs w:val="16"/>
        </w:rPr>
        <w:t xml:space="preserve">[1]	D. Beauchemin, M. Albert-Rochette, R. Khoury, and P.-L. Déziel, “JUDGEBERT: Assessing legal meaning preservation between sentences,” in Proc. EMNLP, 2025, pp. 92–118.</w:t>
      </w:r>
    </w:p>
    <w:p>
      <w:pPr>
        <w:tabs>
          <w:tab w:val="left" w:pos="360"/>
        </w:tabs>
        <w:spacing w:after="30"/>
        <w:ind w:left="360" w:hanging="360"/>
        <w:jc w:val="both"/>
      </w:pPr>
      <w:r>
        <w:rPr>
          <w:rFonts w:ascii="Times New Roman" w:cs="Nirmala UI" w:eastAsia="Times New Roman" w:hAnsi="Times New Roman"/>
          <w:sz w:val="16"/>
          <w:szCs w:val="16"/>
        </w:rPr>
        <w:t xml:space="preserve">[2]	K. Papineni, S. Roukos, T. Ward, and W.-J. Zhu, “BLEU: A method for automatic evaluation of machine translation,” in Proc. ACL, 2002, pp. 311–318.</w:t>
      </w:r>
    </w:p>
    <w:p>
      <w:pPr>
        <w:tabs>
          <w:tab w:val="left" w:pos="360"/>
        </w:tabs>
        <w:spacing w:after="30"/>
        <w:ind w:left="360" w:hanging="360"/>
        <w:jc w:val="both"/>
      </w:pPr>
      <w:r>
        <w:rPr>
          <w:rFonts w:ascii="Times New Roman" w:cs="Nirmala UI" w:eastAsia="Times New Roman" w:hAnsi="Times New Roman"/>
          <w:sz w:val="16"/>
          <w:szCs w:val="16"/>
        </w:rPr>
        <w:t xml:space="preserve">[3]	M. Popović, “chrF: Character n-gram F-score for automatic MT evaluation,” in Proc. WMT, 2015, pp. 392–395.</w:t>
      </w:r>
    </w:p>
    <w:p>
      <w:pPr>
        <w:tabs>
          <w:tab w:val="left" w:pos="360"/>
        </w:tabs>
        <w:spacing w:after="30"/>
        <w:ind w:left="360" w:hanging="360"/>
        <w:jc w:val="both"/>
      </w:pPr>
      <w:r>
        <w:rPr>
          <w:rFonts w:ascii="Times New Roman" w:cs="Nirmala UI" w:eastAsia="Times New Roman" w:hAnsi="Times New Roman"/>
          <w:sz w:val="16"/>
          <w:szCs w:val="16"/>
        </w:rPr>
        <w:t xml:space="preserve">[4]	W. Xu, C. Napoles, E. Pavlick, Q. Chen, and C. Callison-Burch, “Optimizing statistical machine translation for text simplification,” TACL, vol. 4, pp. 401–415, 2016.</w:t>
      </w:r>
    </w:p>
    <w:p>
      <w:pPr>
        <w:tabs>
          <w:tab w:val="left" w:pos="360"/>
        </w:tabs>
        <w:spacing w:after="30"/>
        <w:ind w:left="360" w:hanging="360"/>
        <w:jc w:val="both"/>
      </w:pPr>
      <w:r>
        <w:rPr>
          <w:rFonts w:ascii="Times New Roman" w:cs="Nirmala UI" w:eastAsia="Times New Roman" w:hAnsi="Times New Roman"/>
          <w:sz w:val="16"/>
          <w:szCs w:val="16"/>
        </w:rPr>
        <w:t xml:space="preserve">[5]	N. Reimers and I. Gurevych, “Sentence-BERT: Sentence embeddings using Siamese BERT-networks,” in Proc. EMNLP-IJCNLP, 2019, pp. 3982–3992.</w:t>
      </w:r>
    </w:p>
    <w:p>
      <w:pPr>
        <w:tabs>
          <w:tab w:val="left" w:pos="360"/>
        </w:tabs>
        <w:spacing w:after="30"/>
        <w:ind w:left="360" w:hanging="360"/>
        <w:jc w:val="both"/>
      </w:pPr>
      <w:r>
        <w:rPr>
          <w:rFonts w:ascii="Times New Roman" w:cs="Nirmala UI" w:eastAsia="Times New Roman" w:hAnsi="Times New Roman"/>
          <w:sz w:val="16"/>
          <w:szCs w:val="16"/>
        </w:rPr>
        <w:t xml:space="preserve">[6]	T. Zhang, V. Kishore, F. Wu, K. Q. Weinberger, and Y. Artzi, “BERTScore: Evaluating text generation with BERT,” in Proc. ICLR, 2020.</w:t>
      </w:r>
    </w:p>
    <w:p>
      <w:pPr>
        <w:tabs>
          <w:tab w:val="left" w:pos="360"/>
        </w:tabs>
        <w:spacing w:after="30"/>
        <w:ind w:left="360" w:hanging="360"/>
        <w:jc w:val="both"/>
      </w:pPr>
      <w:r>
        <w:rPr>
          <w:rFonts w:ascii="Times New Roman" w:cs="Nirmala UI" w:eastAsia="Times New Roman" w:hAnsi="Times New Roman"/>
          <w:sz w:val="16"/>
          <w:szCs w:val="16"/>
        </w:rPr>
        <w:t xml:space="preserve">[7]	D. Beauchemin, H. Saggion, and R. Khoury, “MeaningBERT: Assessing meaning preservation between sentences,” Frontiers in Artificial Intelligence, vol. 6, 2023.</w:t>
      </w:r>
    </w:p>
    <w:p>
      <w:pPr>
        <w:tabs>
          <w:tab w:val="left" w:pos="360"/>
        </w:tabs>
        <w:spacing w:after="30"/>
        <w:ind w:left="360" w:hanging="360"/>
        <w:jc w:val="both"/>
      </w:pPr>
      <w:r>
        <w:rPr>
          <w:rFonts w:ascii="Times New Roman" w:cs="Nirmala UI" w:eastAsia="Times New Roman" w:hAnsi="Times New Roman"/>
          <w:sz w:val="16"/>
          <w:szCs w:val="16"/>
        </w:rPr>
        <w:t xml:space="preserve">[8]	Y. Liu, D. Iter, Y. Xu, S. Wang, R. Xu, and C. Zhu, “G-Eval: NLG evaluation using GPT-4 with better human alignment,” in Proc. EMNLP, 2023, pp. 2511–2522.</w:t>
      </w:r>
    </w:p>
    <w:p>
      <w:pPr>
        <w:tabs>
          <w:tab w:val="left" w:pos="360"/>
        </w:tabs>
        <w:spacing w:after="30"/>
        <w:ind w:left="360" w:hanging="360"/>
        <w:jc w:val="both"/>
      </w:pPr>
      <w:r>
        <w:rPr>
          <w:rFonts w:ascii="Times New Roman" w:cs="Nirmala UI" w:eastAsia="Times New Roman" w:hAnsi="Times New Roman"/>
          <w:sz w:val="16"/>
          <w:szCs w:val="16"/>
        </w:rPr>
        <w:t xml:space="preserve">[9]	A. Conneau et al., “Unsupervised cross-lingual representation learning at scale,” in Proc. ACL, 2020, pp. 8440–8451.</w:t>
      </w:r>
    </w:p>
    <w:p>
      <w:pPr>
        <w:tabs>
          <w:tab w:val="left" w:pos="360"/>
        </w:tabs>
        <w:spacing w:after="30"/>
        <w:ind w:left="360" w:hanging="360"/>
        <w:jc w:val="both"/>
      </w:pPr>
      <w:r>
        <w:rPr>
          <w:rFonts w:ascii="Times New Roman" w:cs="Nirmala UI" w:eastAsia="Times New Roman" w:hAnsi="Times New Roman"/>
          <w:sz w:val="16"/>
          <w:szCs w:val="16"/>
        </w:rPr>
        <w:t xml:space="preserve">[10]	S. Khanuja et al., “MuRIL: Multilingual representations for Indian languages,” arXiv:2103.10730, 2021.</w:t>
      </w:r>
    </w:p>
    <w:p>
      <w:pPr>
        <w:tabs>
          <w:tab w:val="left" w:pos="360"/>
        </w:tabs>
        <w:spacing w:after="30"/>
        <w:ind w:left="360" w:hanging="360"/>
        <w:jc w:val="both"/>
      </w:pPr>
      <w:r>
        <w:rPr>
          <w:rFonts w:ascii="Times New Roman" w:cs="Nirmala UI" w:eastAsia="Times New Roman" w:hAnsi="Times New Roman"/>
          <w:sz w:val="16"/>
          <w:szCs w:val="16"/>
        </w:rPr>
        <w:t xml:space="preserve">[11]	K. Krippendorff, Content Analysis: An Introduction to Its Methodology, 4th ed. Thousand Oaks, CA: SAGE, 2018.</w:t>
      </w:r>
    </w:p>
    <w:sectPr>
      <w:type w:val="continuous"/>
      <w:pgSz w:w="11906" w:h="16838" w:orient="portrait"/>
      <w:pgMar w:top="1077" w:right="812" w:bottom="2438" w:left="812" w:header="708" w:footer="708" w:gutter="0"/>
      <w:pgNumType/>
      <w:cols w:space="239"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Nirmala UI"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a339542281fe2a1ae68e3ef08b1c7e8f305b39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Explainable Multilingual Legal Meaning Preservation Using JUDGEBERT</dc:title>
  <dc:creator>CSET 346 Project Team</dc:creator>
  <cp:lastModifiedBy>Un-named</cp:lastModifiedBy>
  <cp:revision>1</cp:revision>
  <dcterms:created xsi:type="dcterms:W3CDTF">2026-10-13T16:14:52.627Z</dcterms:created>
  <dcterms:modified xsi:type="dcterms:W3CDTF">2026-10-13T16:14:52.627Z</dcterms:modified>
</cp:coreProperties>
</file>

<file path=docProps/custom.xml><?xml version="1.0" encoding="utf-8"?>
<Properties xmlns="http://schemas.openxmlformats.org/officeDocument/2006/custom-properties" xmlns:vt="http://schemas.openxmlformats.org/officeDocument/2006/docPropsVTypes"/>
</file>