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33754"/>
          <w:sz w:val="68"/>
        </w:rPr>
        <w:t>LUME</w:t>
      </w:r>
    </w:p>
    <w:p>
      <w:pPr>
        <w:jc w:val="center"/>
      </w:pPr>
      <w:r>
        <w:rPr>
          <w:b/>
          <w:color w:val="255A78"/>
          <w:sz w:val="30"/>
        </w:rPr>
        <w:t>REAL-DATA &amp; PRODUCTION EVOLUTION BLUEPRINT</w:t>
      </w:r>
    </w:p>
    <w:p>
      <w:pPr>
        <w:jc w:val="center"/>
      </w:pPr>
      <w:r>
        <w:rPr>
          <w:sz w:val="22"/>
        </w:rPr>
        <w:t>SIH26017 • Land Acquisition Early-Warning, Foresight &amp; Intervention Intelligence</w:t>
      </w:r>
    </w:p>
    <w:p>
      <w:pPr>
        <w:jc w:val="center"/>
      </w:pPr>
      <w:r>
        <w:rPr>
          <w:i/>
          <w:sz w:val="20"/>
        </w:rPr>
        <w:t>Version 7.0 • September 2026</w:t>
      </w:r>
    </w:p>
    <w:tbl>
      <w:tblPr>
        <w:tblStyle w:val="TableGrid"/>
        <w:tblW w:type="auto" w:w="0"/>
        <w:tblLook w:firstColumn="1" w:firstRow="1" w:lastColumn="0" w:lastRow="0" w:noHBand="0" w:noVBand="1" w:val="04A0"/>
      </w:tblPr>
      <w:tblGrid>
        <w:gridCol w:w="10224"/>
      </w:tblGrid>
      <w:tr>
        <w:tc>
          <w:tcPr>
            <w:tcW w:type="dxa" w:w="10224"/>
            <w:shd w:fill="EEF6FA"/>
          </w:tcPr>
          <w:p>
            <w:r>
              <w:rPr>
                <w:b/>
                <w:color w:val="133754"/>
                <w:sz w:val="21"/>
              </w:rPr>
              <w:t>North-star upgrade</w:t>
              <w:br/>
            </w:r>
            <w:r>
              <w:rPr>
                <w:sz w:val="18"/>
              </w:rPr>
              <w:t>LUME should not feel like an ML dashboard. It should feel like an acquisition control tower: it continuously understands what changed, predicts which milestone is drifting, proves why, tells an officer what to investigate next, records the action, and learns from the result.</w:t>
            </w:r>
          </w:p>
        </w:tc>
      </w:tr>
    </w:tbl>
    <w:p/>
    <w:p>
      <w:pPr>
        <w:pStyle w:val="Heading1"/>
      </w:pPr>
      <w:r>
        <w:t>1. Executive Recommendation</w:t>
      </w:r>
    </w:p>
    <w:p>
      <w:r>
        <w:t>The existing LUME PRD already defines a strong closed loop: See → Understand → Explain → Compare → Explore → Prioritize → Act → Learn. The upgrade in this blueprint is to make that loop operate on realistic, heterogeneous, time-changing records rather than a mostly static demo dataset.</w:t>
      </w:r>
    </w:p>
    <w:tbl>
      <w:tblPr>
        <w:tblStyle w:val="TableGrid"/>
        <w:tblW w:type="auto" w:w="0"/>
        <w:tblLook w:firstColumn="1" w:firstRow="1" w:lastColumn="0" w:lastRow="0" w:noHBand="0" w:noVBand="1" w:val="04A0"/>
      </w:tblPr>
      <w:tblGrid>
        <w:gridCol w:w="10224"/>
      </w:tblGrid>
      <w:tr>
        <w:tc>
          <w:tcPr>
            <w:tcW w:type="dxa" w:w="10224"/>
            <w:shd w:fill="EEF6FA"/>
          </w:tcPr>
          <w:p>
            <w:r>
              <w:rPr>
                <w:b/>
                <w:color w:val="133754"/>
                <w:sz w:val="21"/>
              </w:rPr>
              <w:t>What changes</w:t>
              <w:br/>
            </w:r>
            <w:r>
              <w:rPr>
                <w:sz w:val="18"/>
              </w:rPr>
              <w:t>From: “Here is a project with a risk score.”</w:t>
              <w:br/>
              <w:t>To: “Two new records arrived, the evidence changed, the expected milestone is now slipping, these three historical cases behaved similarly, and this is the highest-value follow-up to make today.”</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center"/>
            <w:shd w:fill="D9EAF4"/>
          </w:tcPr>
          <w:p>
            <w:r/>
            <w:r>
              <w:rPr>
                <w:b/>
                <w:sz w:val="17"/>
              </w:rPr>
              <w:t>Dimension</w:t>
            </w:r>
          </w:p>
        </w:tc>
        <w:tc>
          <w:tcPr>
            <w:tcW w:type="dxa" w:w="2880"/>
            <w:vAlign w:val="center"/>
            <w:shd w:fill="D9EAF4"/>
          </w:tcPr>
          <w:p>
            <w:r/>
            <w:r>
              <w:rPr>
                <w:b/>
                <w:sz w:val="17"/>
              </w:rPr>
              <w:t>Current strength</w:t>
            </w:r>
          </w:p>
        </w:tc>
        <w:tc>
          <w:tcPr>
            <w:tcW w:type="dxa" w:w="5184"/>
            <w:vAlign w:val="center"/>
            <w:shd w:fill="D9EAF4"/>
          </w:tcPr>
          <w:p>
            <w:r/>
            <w:r>
              <w:rPr>
                <w:b/>
                <w:sz w:val="17"/>
              </w:rPr>
              <w:t>V7 upgrade</w:t>
            </w:r>
          </w:p>
        </w:tc>
      </w:tr>
      <w:tr>
        <w:tc>
          <w:tcPr>
            <w:tcW w:type="dxa" w:w="1440"/>
            <w:vAlign w:val="center"/>
          </w:tcPr>
          <w:p>
            <w:r/>
            <w:r>
              <w:rPr>
                <w:b w:val="0"/>
                <w:sz w:val="16"/>
              </w:rPr>
              <w:t>Data</w:t>
            </w:r>
          </w:p>
        </w:tc>
        <w:tc>
          <w:tcPr>
            <w:tcW w:type="dxa" w:w="2880"/>
            <w:vAlign w:val="center"/>
          </w:tcPr>
          <w:p>
            <w:r/>
            <w:r>
              <w:rPr>
                <w:b w:val="0"/>
                <w:sz w:val="16"/>
              </w:rPr>
              <w:t>Canonical schema and evidence model</w:t>
            </w:r>
          </w:p>
        </w:tc>
        <w:tc>
          <w:tcPr>
            <w:tcW w:type="dxa" w:w="5184"/>
            <w:vAlign w:val="center"/>
          </w:tcPr>
          <w:p>
            <w:r/>
            <w:r>
              <w:rPr>
                <w:b w:val="0"/>
                <w:sz w:val="16"/>
              </w:rPr>
              <w:t>Connector-based ingestion with data contracts, source reliability, freshness, conflict handling and point-in-time snapshots</w:t>
            </w:r>
          </w:p>
        </w:tc>
      </w:tr>
      <w:tr>
        <w:tc>
          <w:tcPr>
            <w:tcW w:type="dxa" w:w="1440"/>
            <w:vAlign w:val="center"/>
          </w:tcPr>
          <w:p>
            <w:r/>
            <w:r>
              <w:rPr>
                <w:b w:val="0"/>
                <w:sz w:val="16"/>
              </w:rPr>
              <w:t>Workflow</w:t>
            </w:r>
          </w:p>
        </w:tc>
        <w:tc>
          <w:tcPr>
            <w:tcW w:type="dxa" w:w="2880"/>
            <w:vAlign w:val="center"/>
          </w:tcPr>
          <w:p>
            <w:r/>
            <w:r>
              <w:rPr>
                <w:b w:val="0"/>
                <w:sz w:val="16"/>
              </w:rPr>
              <w:t>Prediction-to-action loop</w:t>
            </w:r>
          </w:p>
        </w:tc>
        <w:tc>
          <w:tcPr>
            <w:tcW w:type="dxa" w:w="5184"/>
            <w:vAlign w:val="center"/>
          </w:tcPr>
          <w:p>
            <w:r/>
            <w:r>
              <w:rPr>
                <w:b w:val="0"/>
                <w:sz w:val="16"/>
              </w:rPr>
              <w:t>Action Queue becomes the primary home screen; every decision has a next-best investigation and an owner/due date</w:t>
            </w:r>
          </w:p>
        </w:tc>
      </w:tr>
      <w:tr>
        <w:tc>
          <w:tcPr>
            <w:tcW w:type="dxa" w:w="1440"/>
            <w:vAlign w:val="center"/>
          </w:tcPr>
          <w:p>
            <w:r/>
            <w:r>
              <w:rPr>
                <w:b w:val="0"/>
                <w:sz w:val="16"/>
              </w:rPr>
              <w:t>ML</w:t>
            </w:r>
          </w:p>
        </w:tc>
        <w:tc>
          <w:tcPr>
            <w:tcW w:type="dxa" w:w="2880"/>
            <w:vAlign w:val="center"/>
          </w:tcPr>
          <w:p>
            <w:r/>
            <w:r>
              <w:rPr>
                <w:b w:val="0"/>
                <w:sz w:val="16"/>
              </w:rPr>
              <w:t>Stage-level delay probability</w:t>
            </w:r>
          </w:p>
        </w:tc>
        <w:tc>
          <w:tcPr>
            <w:tcW w:type="dxa" w:w="5184"/>
            <w:vAlign w:val="center"/>
          </w:tcPr>
          <w:p>
            <w:r/>
            <w:r>
              <w:rPr>
                <w:b w:val="0"/>
                <w:sz w:val="16"/>
              </w:rPr>
              <w:t>Event-driven re-scoring, risk trajectory, coverage-aware predictions and optional time-to-event extension</w:t>
            </w:r>
          </w:p>
        </w:tc>
      </w:tr>
      <w:tr>
        <w:tc>
          <w:tcPr>
            <w:tcW w:type="dxa" w:w="1440"/>
            <w:vAlign w:val="center"/>
          </w:tcPr>
          <w:p>
            <w:r/>
            <w:r>
              <w:rPr>
                <w:b w:val="0"/>
                <w:sz w:val="16"/>
              </w:rPr>
              <w:t>GIS</w:t>
            </w:r>
          </w:p>
        </w:tc>
        <w:tc>
          <w:tcPr>
            <w:tcW w:type="dxa" w:w="2880"/>
            <w:vAlign w:val="center"/>
          </w:tcPr>
          <w:p>
            <w:r/>
            <w:r>
              <w:rPr>
                <w:b w:val="0"/>
                <w:sz w:val="16"/>
              </w:rPr>
              <w:t>Risk and precedent map</w:t>
            </w:r>
          </w:p>
        </w:tc>
        <w:tc>
          <w:tcPr>
            <w:tcW w:type="dxa" w:w="5184"/>
            <w:vAlign w:val="center"/>
          </w:tcPr>
          <w:p>
            <w:r/>
            <w:r>
              <w:rPr>
                <w:b w:val="0"/>
                <w:sz w:val="16"/>
              </w:rPr>
              <w:t>Geospatial context becomes part of case diagnosis, not a separate map tab</w:t>
            </w:r>
          </w:p>
        </w:tc>
      </w:tr>
      <w:tr>
        <w:tc>
          <w:tcPr>
            <w:tcW w:type="dxa" w:w="1440"/>
            <w:vAlign w:val="center"/>
          </w:tcPr>
          <w:p>
            <w:r/>
            <w:r>
              <w:rPr>
                <w:b w:val="0"/>
                <w:sz w:val="16"/>
              </w:rPr>
              <w:t>Operations</w:t>
            </w:r>
          </w:p>
        </w:tc>
        <w:tc>
          <w:tcPr>
            <w:tcW w:type="dxa" w:w="2880"/>
            <w:vAlign w:val="center"/>
          </w:tcPr>
          <w:p>
            <w:r/>
            <w:r>
              <w:rPr>
                <w:b w:val="0"/>
                <w:sz w:val="16"/>
              </w:rPr>
              <w:t>Audit and model registry</w:t>
            </w:r>
          </w:p>
        </w:tc>
        <w:tc>
          <w:tcPr>
            <w:tcW w:type="dxa" w:w="5184"/>
            <w:vAlign w:val="center"/>
          </w:tcPr>
          <w:p>
            <w:r/>
            <w:r>
              <w:rPr>
                <w:b w:val="0"/>
                <w:sz w:val="16"/>
              </w:rPr>
              <w:t>Continuous data/model/service health with material-change alerts</w:t>
            </w:r>
          </w:p>
        </w:tc>
      </w:tr>
      <w:tr>
        <w:tc>
          <w:tcPr>
            <w:tcW w:type="dxa" w:w="1440"/>
            <w:vAlign w:val="center"/>
          </w:tcPr>
          <w:p>
            <w:r/>
            <w:r>
              <w:rPr>
                <w:b w:val="0"/>
                <w:sz w:val="16"/>
              </w:rPr>
              <w:t>Business</w:t>
            </w:r>
          </w:p>
        </w:tc>
        <w:tc>
          <w:tcPr>
            <w:tcW w:type="dxa" w:w="2880"/>
            <w:vAlign w:val="center"/>
          </w:tcPr>
          <w:p>
            <w:r/>
            <w:r>
              <w:rPr>
                <w:b w:val="0"/>
                <w:sz w:val="16"/>
              </w:rPr>
              <w:t>Government pilot → scale</w:t>
            </w:r>
          </w:p>
        </w:tc>
        <w:tc>
          <w:tcPr>
            <w:tcW w:type="dxa" w:w="5184"/>
            <w:vAlign w:val="center"/>
          </w:tcPr>
          <w:p>
            <w:r/>
            <w:r>
              <w:rPr>
                <w:b w:val="0"/>
                <w:sz w:val="16"/>
              </w:rPr>
              <w:t>Dual wedge: government intelligence + permissioned infrastructure-program readiness product</w:t>
            </w:r>
          </w:p>
        </w:tc>
      </w:tr>
    </w:tbl>
    <w:p/>
    <w:p>
      <w:pPr>
        <w:pStyle w:val="Heading1"/>
      </w:pPr>
      <w:r>
        <w:t>2. Real-Data Strategy: Build for the Dataset You Have and the Data You Will Earn</w:t>
      </w:r>
    </w:p>
    <w:p>
      <w:r>
        <w:t>The SIH-provided dataset should remain the primary model-development dataset for the competition. Around it, LUME should use a layered source strategy so the architecture is immediately credible for a pilot without pretending that every public portal has a production API or that every record is legally shareable.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92"/>
            <w:vAlign w:val="center"/>
            <w:shd w:fill="D9EAF4"/>
          </w:tcPr>
          <w:p>
            <w:r/>
            <w:r>
              <w:rPr>
                <w:b/>
                <w:sz w:val="17"/>
              </w:rPr>
              <w:t>Tier</w:t>
            </w:r>
          </w:p>
        </w:tc>
        <w:tc>
          <w:tcPr>
            <w:tcW w:type="dxa" w:w="2376"/>
            <w:vAlign w:val="center"/>
            <w:shd w:fill="D9EAF4"/>
          </w:tcPr>
          <w:p>
            <w:r/>
            <w:r>
              <w:rPr>
                <w:b/>
                <w:sz w:val="17"/>
              </w:rPr>
              <w:t>Source family</w:t>
            </w:r>
          </w:p>
        </w:tc>
        <w:tc>
          <w:tcPr>
            <w:tcW w:type="dxa" w:w="4464"/>
            <w:vAlign w:val="center"/>
            <w:shd w:fill="D9EAF4"/>
          </w:tcPr>
          <w:p>
            <w:r/>
            <w:r>
              <w:rPr>
                <w:b/>
                <w:sz w:val="17"/>
              </w:rPr>
              <w:t>How LUME uses it</w:t>
            </w:r>
          </w:p>
        </w:tc>
        <w:tc>
          <w:tcPr>
            <w:tcW w:type="dxa" w:w="1872"/>
            <w:vAlign w:val="center"/>
            <w:shd w:fill="D9EAF4"/>
          </w:tcPr>
          <w:p>
            <w:r/>
            <w:r>
              <w:rPr>
                <w:b/>
                <w:sz w:val="17"/>
              </w:rPr>
              <w:t>SIH treatment</w:t>
            </w:r>
          </w:p>
        </w:tc>
      </w:tr>
      <w:tr>
        <w:tc>
          <w:tcPr>
            <w:tcW w:type="dxa" w:w="792"/>
            <w:vAlign w:val="center"/>
          </w:tcPr>
          <w:p>
            <w:r/>
            <w:r>
              <w:rPr>
                <w:b w:val="0"/>
                <w:sz w:val="16"/>
              </w:rPr>
              <w:t>A</w:t>
            </w:r>
          </w:p>
        </w:tc>
        <w:tc>
          <w:tcPr>
            <w:tcW w:type="dxa" w:w="2376"/>
            <w:vAlign w:val="center"/>
          </w:tcPr>
          <w:p>
            <w:r/>
            <w:r>
              <w:rPr>
                <w:b w:val="0"/>
                <w:sz w:val="16"/>
              </w:rPr>
              <w:t>SIH-provided dataset</w:t>
            </w:r>
          </w:p>
        </w:tc>
        <w:tc>
          <w:tcPr>
            <w:tcW w:type="dxa" w:w="4464"/>
            <w:vAlign w:val="center"/>
          </w:tcPr>
          <w:p>
            <w:r/>
            <w:r>
              <w:rPr>
                <w:b w:val="0"/>
                <w:sz w:val="16"/>
              </w:rPr>
              <w:t>Train/evaluate stage-risk model, create temporal snapshots, validate labels and demo predictions</w:t>
            </w:r>
          </w:p>
        </w:tc>
        <w:tc>
          <w:tcPr>
            <w:tcW w:type="dxa" w:w="1872"/>
            <w:vAlign w:val="center"/>
          </w:tcPr>
          <w:p>
            <w:r/>
            <w:r>
              <w:rPr>
                <w:b w:val="0"/>
                <w:sz w:val="16"/>
              </w:rPr>
              <w:t>Mandatory core</w:t>
            </w:r>
          </w:p>
        </w:tc>
      </w:tr>
      <w:tr>
        <w:tc>
          <w:tcPr>
            <w:tcW w:type="dxa" w:w="792"/>
            <w:vAlign w:val="center"/>
          </w:tcPr>
          <w:p>
            <w:r/>
            <w:r>
              <w:rPr>
                <w:b w:val="0"/>
                <w:sz w:val="16"/>
              </w:rPr>
              <w:t>B</w:t>
            </w:r>
          </w:p>
        </w:tc>
        <w:tc>
          <w:tcPr>
            <w:tcW w:type="dxa" w:w="2376"/>
            <w:vAlign w:val="center"/>
          </w:tcPr>
          <w:p>
            <w:r/>
            <w:r>
              <w:rPr>
                <w:b w:val="0"/>
                <w:sz w:val="16"/>
              </w:rPr>
              <w:t>Authorized land-acquisition workflow records</w:t>
            </w:r>
          </w:p>
        </w:tc>
        <w:tc>
          <w:tcPr>
            <w:tcW w:type="dxa" w:w="4464"/>
            <w:vAlign w:val="center"/>
          </w:tcPr>
          <w:p>
            <w:r/>
            <w:r>
              <w:rPr>
                <w:b w:val="0"/>
                <w:sz w:val="16"/>
              </w:rPr>
              <w:t>Projects, stages, notifications, dates, compensation/process milestones, file movement and case status where legally permitted</w:t>
            </w:r>
          </w:p>
        </w:tc>
        <w:tc>
          <w:tcPr>
            <w:tcW w:type="dxa" w:w="1872"/>
            <w:vAlign w:val="center"/>
          </w:tcPr>
          <w:p>
            <w:r/>
            <w:r>
              <w:rPr>
                <w:b w:val="0"/>
                <w:sz w:val="16"/>
              </w:rPr>
              <w:t>Adapter-ready; seed with public examples only where permitted</w:t>
            </w:r>
          </w:p>
        </w:tc>
      </w:tr>
      <w:tr>
        <w:tc>
          <w:tcPr>
            <w:tcW w:type="dxa" w:w="792"/>
            <w:vAlign w:val="center"/>
          </w:tcPr>
          <w:p>
            <w:r/>
            <w:r>
              <w:rPr>
                <w:b w:val="0"/>
                <w:sz w:val="16"/>
              </w:rPr>
              <w:t>B</w:t>
            </w:r>
          </w:p>
        </w:tc>
        <w:tc>
          <w:tcPr>
            <w:tcW w:type="dxa" w:w="2376"/>
            <w:vAlign w:val="center"/>
          </w:tcPr>
          <w:p>
            <w:r/>
            <w:r>
              <w:rPr>
                <w:b w:val="0"/>
                <w:sz w:val="16"/>
              </w:rPr>
              <w:t>DILRMP / NAKSHA / state land-record systems</w:t>
            </w:r>
          </w:p>
        </w:tc>
        <w:tc>
          <w:tcPr>
            <w:tcW w:type="dxa" w:w="4464"/>
            <w:vAlign w:val="center"/>
          </w:tcPr>
          <w:p>
            <w:r/>
            <w:r>
              <w:rPr>
                <w:b w:val="0"/>
                <w:sz w:val="16"/>
              </w:rPr>
              <w:t>Parcel/map linkage, land-record maturity, geospatial context, data-quality signals</w:t>
            </w:r>
          </w:p>
        </w:tc>
        <w:tc>
          <w:tcPr>
            <w:tcW w:type="dxa" w:w="1872"/>
            <w:vAlign w:val="center"/>
          </w:tcPr>
          <w:p>
            <w:r/>
            <w:r>
              <w:rPr>
                <w:b w:val="0"/>
                <w:sz w:val="16"/>
              </w:rPr>
              <w:t>Use as context/connector boundary; do not replace source-of-truth</w:t>
            </w:r>
          </w:p>
        </w:tc>
      </w:tr>
      <w:tr>
        <w:tc>
          <w:tcPr>
            <w:tcW w:type="dxa" w:w="792"/>
            <w:vAlign w:val="center"/>
          </w:tcPr>
          <w:p>
            <w:r/>
            <w:r>
              <w:rPr>
                <w:b w:val="0"/>
                <w:sz w:val="16"/>
              </w:rPr>
              <w:t>B</w:t>
            </w:r>
          </w:p>
        </w:tc>
        <w:tc>
          <w:tcPr>
            <w:tcW w:type="dxa" w:w="2376"/>
            <w:vAlign w:val="center"/>
          </w:tcPr>
          <w:p>
            <w:r/>
            <w:r>
              <w:rPr>
                <w:b w:val="0"/>
                <w:sz w:val="16"/>
              </w:rPr>
              <w:t>Judicial systems such as NJDG/eCourts</w:t>
            </w:r>
          </w:p>
        </w:tc>
        <w:tc>
          <w:tcPr>
            <w:tcW w:type="dxa" w:w="4464"/>
            <w:vAlign w:val="center"/>
          </w:tcPr>
          <w:p>
            <w:r/>
            <w:r>
              <w:rPr>
                <w:b w:val="0"/>
                <w:sz w:val="16"/>
              </w:rPr>
              <w:t>Authorized case metadata and judicial-stage signals related to acquisition disputes</w:t>
            </w:r>
          </w:p>
        </w:tc>
        <w:tc>
          <w:tcPr>
            <w:tcW w:type="dxa" w:w="1872"/>
            <w:vAlign w:val="center"/>
          </w:tcPr>
          <w:p>
            <w:r/>
            <w:r>
              <w:rPr>
                <w:b w:val="0"/>
                <w:sz w:val="16"/>
              </w:rPr>
              <w:t>Metadata-only by default; integrate through approved interfaces</w:t>
            </w:r>
          </w:p>
        </w:tc>
      </w:tr>
      <w:tr>
        <w:tc>
          <w:tcPr>
            <w:tcW w:type="dxa" w:w="792"/>
            <w:vAlign w:val="center"/>
          </w:tcPr>
          <w:p>
            <w:r/>
            <w:r>
              <w:rPr>
                <w:b w:val="0"/>
                <w:sz w:val="16"/>
              </w:rPr>
              <w:t>C</w:t>
            </w:r>
          </w:p>
        </w:tc>
        <w:tc>
          <w:tcPr>
            <w:tcW w:type="dxa" w:w="2376"/>
            <w:vAlign w:val="center"/>
          </w:tcPr>
          <w:p>
            <w:r/>
            <w:r>
              <w:rPr>
                <w:b w:val="0"/>
                <w:sz w:val="16"/>
              </w:rPr>
              <w:t>Department/program systems</w:t>
            </w:r>
          </w:p>
        </w:tc>
        <w:tc>
          <w:tcPr>
            <w:tcW w:type="dxa" w:w="4464"/>
            <w:vAlign w:val="center"/>
          </w:tcPr>
          <w:p>
            <w:r/>
            <w:r>
              <w:rPr>
                <w:b w:val="0"/>
                <w:sz w:val="16"/>
              </w:rPr>
              <w:t>Clearances, R&amp;R progress, compensation workflows, approvals, utility/right-of-way dependencies</w:t>
            </w:r>
          </w:p>
        </w:tc>
        <w:tc>
          <w:tcPr>
            <w:tcW w:type="dxa" w:w="1872"/>
            <w:vAlign w:val="center"/>
          </w:tcPr>
          <w:p>
            <w:r/>
            <w:r>
              <w:rPr>
                <w:b w:val="0"/>
                <w:sz w:val="16"/>
              </w:rPr>
              <w:t>Pilot-specific connectors</w:t>
            </w:r>
          </w:p>
        </w:tc>
      </w:tr>
      <w:tr>
        <w:tc>
          <w:tcPr>
            <w:tcW w:type="dxa" w:w="792"/>
            <w:vAlign w:val="center"/>
          </w:tcPr>
          <w:p>
            <w:r/>
            <w:r>
              <w:rPr>
                <w:b w:val="0"/>
                <w:sz w:val="16"/>
              </w:rPr>
              <w:t>C</w:t>
            </w:r>
          </w:p>
        </w:tc>
        <w:tc>
          <w:tcPr>
            <w:tcW w:type="dxa" w:w="2376"/>
            <w:vAlign w:val="center"/>
          </w:tcPr>
          <w:p>
            <w:r/>
            <w:r>
              <w:rPr>
                <w:b w:val="0"/>
                <w:sz w:val="16"/>
              </w:rPr>
              <w:t>Geospatial/context layers</w:t>
            </w:r>
          </w:p>
        </w:tc>
        <w:tc>
          <w:tcPr>
            <w:tcW w:type="dxa" w:w="4464"/>
            <w:vAlign w:val="center"/>
          </w:tcPr>
          <w:p>
            <w:r/>
            <w:r>
              <w:rPr>
                <w:b w:val="0"/>
                <w:sz w:val="16"/>
              </w:rPr>
              <w:t>Administrative boundaries, roads, project proximity, terrain or other approved contextual layers</w:t>
            </w:r>
          </w:p>
        </w:tc>
        <w:tc>
          <w:tcPr>
            <w:tcW w:type="dxa" w:w="1872"/>
            <w:vAlign w:val="center"/>
          </w:tcPr>
          <w:p>
            <w:r/>
            <w:r>
              <w:rPr>
                <w:b w:val="0"/>
                <w:sz w:val="16"/>
              </w:rPr>
              <w:t>Feature/context layer, never a sole basis for legal decisions</w:t>
            </w:r>
          </w:p>
        </w:tc>
      </w:tr>
    </w:tbl>
    <w:p/>
    <w:tbl>
      <w:tblPr>
        <w:tblStyle w:val="TableGrid"/>
        <w:tblW w:type="auto" w:w="0"/>
        <w:tblLook w:firstColumn="1" w:firstRow="1" w:lastColumn="0" w:lastRow="0" w:noHBand="0" w:noVBand="1" w:val="04A0"/>
      </w:tblPr>
      <w:tblGrid>
        <w:gridCol w:w="10224"/>
      </w:tblGrid>
      <w:tr>
        <w:tc>
          <w:tcPr>
            <w:tcW w:type="dxa" w:w="10224"/>
            <w:shd w:fill="EEF6FA"/>
          </w:tcPr>
          <w:p>
            <w:r>
              <w:rPr>
                <w:b/>
                <w:color w:val="133754"/>
                <w:sz w:val="21"/>
              </w:rPr>
              <w:t>Important boundary</w:t>
              <w:br/>
            </w:r>
            <w:r>
              <w:rPr>
                <w:sz w:val="18"/>
              </w:rPr>
              <w:t>LUME should never present a web-accessible public page as proof of an integration. The product should distinguish “public evidence observed,” “authorized connected source,” and “demo seed data.” Production connectors require permission, data contracts and security review.</w:t>
            </w:r>
          </w:p>
        </w:tc>
      </w:tr>
    </w:tbl>
    <w:p/>
    <w:p>
      <w:pPr>
        <w:pStyle w:val="Heading1"/>
      </w:pPr>
      <w:r>
        <w:t>3. Why the Real-Data Story Is Credible in 2026</w:t>
      </w:r>
    </w:p>
    <w:p>
      <w:r>
        <w:t>Current government infrastructure already shows the kind of structured signals LUME can sit above. The BhoomiRashi Land Acquisition Portal exposes searchable acquisition project dimensions including agency, state, district, land required, sanctioned acquisition cost, and notification dates. Source: Ministry of Road Transport &amp; Highways, BhoomiRashi Land Acquisition Portal (bhoomirashi.gov.in).</w:t>
      </w:r>
    </w:p>
    <w:p>
      <w:r>
        <w:t>The Department of Land Resources is publishing DILRMP 3.0 operational guidelines for 2026–2031, while its current platform reports large-scale land-record and Bhu-Aadhar digitization. NAKSHA is operating as a GIS-integrated urban/peri-urban land survey initiative. These developments support treating land-record quality and geospatial maturity as evidence-health inputs. Sources: Department of Land Resources (dolr.gov.in); NAKSHA (naksha.dolr.gov.in).</w:t>
      </w:r>
    </w:p>
    <w:p>
      <w:r>
        <w:t>NJDG provides searchable case information and analytical dashboards, and a 2026 Department of Justice document states that an Open API is being used for sharing judicial data with government departments. That supports a future, permissioned judicial-signal connector rather than requiring LUME to become a court portal. Sources: NJDG/eCourts (njdg.ecourts.gov.in); Department of Justice (doj.gov.in).</w:t>
      </w:r>
    </w:p>
    <w:p>
      <w:pPr>
        <w:pStyle w:val="Heading1"/>
      </w:pPr>
      <w:r>
        <w:t>4. New Core Concept: The LUME Data Passport</w:t>
      </w:r>
    </w:p>
    <w:p>
      <w:r>
        <w:t>Every imported dataset, file or API feed gets a Data Passport before it can influence a prediction. This makes heterogeneous real-world data manageable and gives the judge a concrete answer to “Can I trust this input?”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4"/>
          </w:tcPr>
          <w:p>
            <w:r/>
            <w:r>
              <w:rPr>
                <w:b/>
                <w:sz w:val="17"/>
              </w:rPr>
              <w:t>Field</w:t>
            </w:r>
          </w:p>
        </w:tc>
        <w:tc>
          <w:tcPr>
            <w:tcW w:type="dxa" w:w="3408"/>
            <w:vAlign w:val="center"/>
            <w:shd w:fill="D9EAF4"/>
          </w:tcPr>
          <w:p>
            <w:r/>
            <w:r>
              <w:rPr>
                <w:b/>
                <w:sz w:val="17"/>
              </w:rPr>
              <w:t>Example</w:t>
            </w:r>
          </w:p>
        </w:tc>
        <w:tc>
          <w:tcPr>
            <w:tcW w:type="dxa" w:w="3408"/>
            <w:vAlign w:val="center"/>
            <w:shd w:fill="D9EAF4"/>
          </w:tcPr>
          <w:p>
            <w:r/>
            <w:r>
              <w:rPr>
                <w:b/>
                <w:sz w:val="17"/>
              </w:rPr>
              <w:t>Purpose</w:t>
            </w:r>
          </w:p>
        </w:tc>
      </w:tr>
      <w:tr>
        <w:tc>
          <w:tcPr>
            <w:tcW w:type="dxa" w:w="3408"/>
            <w:vAlign w:val="center"/>
          </w:tcPr>
          <w:p>
            <w:r/>
            <w:r>
              <w:rPr>
                <w:b w:val="0"/>
                <w:sz w:val="16"/>
              </w:rPr>
              <w:t>Source identity</w:t>
            </w:r>
          </w:p>
        </w:tc>
        <w:tc>
          <w:tcPr>
            <w:tcW w:type="dxa" w:w="3408"/>
            <w:vAlign w:val="center"/>
          </w:tcPr>
          <w:p>
            <w:r/>
            <w:r>
              <w:rPr>
                <w:b w:val="0"/>
                <w:sz w:val="16"/>
              </w:rPr>
              <w:t>BhoomiRashi / State Revenue / SIH Dataset</w:t>
            </w:r>
          </w:p>
        </w:tc>
        <w:tc>
          <w:tcPr>
            <w:tcW w:type="dxa" w:w="3408"/>
            <w:vAlign w:val="center"/>
          </w:tcPr>
          <w:p>
            <w:r/>
            <w:r>
              <w:rPr>
                <w:b w:val="0"/>
                <w:sz w:val="16"/>
              </w:rPr>
              <w:t>Provenance</w:t>
            </w:r>
          </w:p>
        </w:tc>
      </w:tr>
      <w:tr>
        <w:tc>
          <w:tcPr>
            <w:tcW w:type="dxa" w:w="3408"/>
            <w:vAlign w:val="center"/>
          </w:tcPr>
          <w:p>
            <w:r/>
            <w:r>
              <w:rPr>
                <w:b w:val="0"/>
                <w:sz w:val="16"/>
              </w:rPr>
              <w:t>Authority</w:t>
            </w:r>
          </w:p>
        </w:tc>
        <w:tc>
          <w:tcPr>
            <w:tcW w:type="dxa" w:w="3408"/>
            <w:vAlign w:val="center"/>
          </w:tcPr>
          <w:p>
            <w:r/>
            <w:r>
              <w:rPr>
                <w:b w:val="0"/>
                <w:sz w:val="16"/>
              </w:rPr>
              <w:t>Department / agency / pilot owner</w:t>
            </w:r>
          </w:p>
        </w:tc>
        <w:tc>
          <w:tcPr>
            <w:tcW w:type="dxa" w:w="3408"/>
            <w:vAlign w:val="center"/>
          </w:tcPr>
          <w:p>
            <w:r/>
            <w:r>
              <w:rPr>
                <w:b w:val="0"/>
                <w:sz w:val="16"/>
              </w:rPr>
              <w:t>Ownership and permission</w:t>
            </w:r>
          </w:p>
        </w:tc>
      </w:tr>
      <w:tr>
        <w:tc>
          <w:tcPr>
            <w:tcW w:type="dxa" w:w="3408"/>
            <w:vAlign w:val="center"/>
          </w:tcPr>
          <w:p>
            <w:r/>
            <w:r>
              <w:rPr>
                <w:b w:val="0"/>
                <w:sz w:val="16"/>
              </w:rPr>
              <w:t>Schema version</w:t>
            </w:r>
          </w:p>
        </w:tc>
        <w:tc>
          <w:tcPr>
            <w:tcW w:type="dxa" w:w="3408"/>
            <w:vAlign w:val="center"/>
          </w:tcPr>
          <w:p>
            <w:r/>
            <w:r>
              <w:rPr>
                <w:b w:val="0"/>
                <w:sz w:val="16"/>
              </w:rPr>
              <w:t>v1.4</w:t>
            </w:r>
          </w:p>
        </w:tc>
        <w:tc>
          <w:tcPr>
            <w:tcW w:type="dxa" w:w="3408"/>
            <w:vAlign w:val="center"/>
          </w:tcPr>
          <w:p>
            <w:r/>
            <w:r>
              <w:rPr>
                <w:b w:val="0"/>
                <w:sz w:val="16"/>
              </w:rPr>
              <w:t>Reproducibility</w:t>
            </w:r>
          </w:p>
        </w:tc>
      </w:tr>
      <w:tr>
        <w:tc>
          <w:tcPr>
            <w:tcW w:type="dxa" w:w="3408"/>
            <w:vAlign w:val="center"/>
          </w:tcPr>
          <w:p>
            <w:r/>
            <w:r>
              <w:rPr>
                <w:b w:val="0"/>
                <w:sz w:val="16"/>
              </w:rPr>
              <w:t>Refresh mode</w:t>
            </w:r>
          </w:p>
        </w:tc>
        <w:tc>
          <w:tcPr>
            <w:tcW w:type="dxa" w:w="3408"/>
            <w:vAlign w:val="center"/>
          </w:tcPr>
          <w:p>
            <w:r/>
            <w:r>
              <w:rPr>
                <w:b w:val="0"/>
                <w:sz w:val="16"/>
              </w:rPr>
              <w:t>Daily / event-driven / manual</w:t>
            </w:r>
          </w:p>
        </w:tc>
        <w:tc>
          <w:tcPr>
            <w:tcW w:type="dxa" w:w="3408"/>
            <w:vAlign w:val="center"/>
          </w:tcPr>
          <w:p>
            <w:r/>
            <w:r>
              <w:rPr>
                <w:b w:val="0"/>
                <w:sz w:val="16"/>
              </w:rPr>
              <w:t>Freshness expectations</w:t>
            </w:r>
          </w:p>
        </w:tc>
      </w:tr>
      <w:tr>
        <w:tc>
          <w:tcPr>
            <w:tcW w:type="dxa" w:w="3408"/>
            <w:vAlign w:val="center"/>
          </w:tcPr>
          <w:p>
            <w:r/>
            <w:r>
              <w:rPr>
                <w:b w:val="0"/>
                <w:sz w:val="16"/>
              </w:rPr>
              <w:t>Coverage</w:t>
            </w:r>
          </w:p>
        </w:tc>
        <w:tc>
          <w:tcPr>
            <w:tcW w:type="dxa" w:w="3408"/>
            <w:vAlign w:val="center"/>
          </w:tcPr>
          <w:p>
            <w:r/>
            <w:r>
              <w:rPr>
                <w:b w:val="0"/>
                <w:sz w:val="16"/>
              </w:rPr>
              <w:t>92% of active projects</w:t>
            </w:r>
          </w:p>
        </w:tc>
        <w:tc>
          <w:tcPr>
            <w:tcW w:type="dxa" w:w="3408"/>
            <w:vAlign w:val="center"/>
          </w:tcPr>
          <w:p>
            <w:r/>
            <w:r>
              <w:rPr>
                <w:b w:val="0"/>
                <w:sz w:val="16"/>
              </w:rPr>
              <w:t>Model support</w:t>
            </w:r>
          </w:p>
        </w:tc>
      </w:tr>
      <w:tr>
        <w:tc>
          <w:tcPr>
            <w:tcW w:type="dxa" w:w="3408"/>
            <w:vAlign w:val="center"/>
          </w:tcPr>
          <w:p>
            <w:r/>
            <w:r>
              <w:rPr>
                <w:b w:val="0"/>
                <w:sz w:val="16"/>
              </w:rPr>
              <w:t>Freshness</w:t>
            </w:r>
          </w:p>
        </w:tc>
        <w:tc>
          <w:tcPr>
            <w:tcW w:type="dxa" w:w="3408"/>
            <w:vAlign w:val="center"/>
          </w:tcPr>
          <w:p>
            <w:r/>
            <w:r>
              <w:rPr>
                <w:b w:val="0"/>
                <w:sz w:val="16"/>
              </w:rPr>
              <w:t>Last received 2h ago</w:t>
            </w:r>
          </w:p>
        </w:tc>
        <w:tc>
          <w:tcPr>
            <w:tcW w:type="dxa" w:w="3408"/>
            <w:vAlign w:val="center"/>
          </w:tcPr>
          <w:p>
            <w:r/>
            <w:r>
              <w:rPr>
                <w:b w:val="0"/>
                <w:sz w:val="16"/>
              </w:rPr>
              <w:t>Evidence health</w:t>
            </w:r>
          </w:p>
        </w:tc>
      </w:tr>
      <w:tr>
        <w:tc>
          <w:tcPr>
            <w:tcW w:type="dxa" w:w="3408"/>
            <w:vAlign w:val="center"/>
          </w:tcPr>
          <w:p>
            <w:r/>
            <w:r>
              <w:rPr>
                <w:b w:val="0"/>
                <w:sz w:val="16"/>
              </w:rPr>
              <w:t>Reliability class</w:t>
            </w:r>
          </w:p>
        </w:tc>
        <w:tc>
          <w:tcPr>
            <w:tcW w:type="dxa" w:w="3408"/>
            <w:vAlign w:val="center"/>
          </w:tcPr>
          <w:p>
            <w:r/>
            <w:r>
              <w:rPr>
                <w:b w:val="0"/>
                <w:sz w:val="16"/>
              </w:rPr>
              <w:t>Verified operational / public / demo seed</w:t>
            </w:r>
          </w:p>
        </w:tc>
        <w:tc>
          <w:tcPr>
            <w:tcW w:type="dxa" w:w="3408"/>
            <w:vAlign w:val="center"/>
          </w:tcPr>
          <w:p>
            <w:r/>
            <w:r>
              <w:rPr>
                <w:b w:val="0"/>
                <w:sz w:val="16"/>
              </w:rPr>
              <w:t>Trust weighting</w:t>
            </w:r>
          </w:p>
        </w:tc>
      </w:tr>
      <w:tr>
        <w:tc>
          <w:tcPr>
            <w:tcW w:type="dxa" w:w="3408"/>
            <w:vAlign w:val="center"/>
          </w:tcPr>
          <w:p>
            <w:r/>
            <w:r>
              <w:rPr>
                <w:b w:val="0"/>
                <w:sz w:val="16"/>
              </w:rPr>
              <w:t>Conflict policy</w:t>
            </w:r>
          </w:p>
        </w:tc>
        <w:tc>
          <w:tcPr>
            <w:tcW w:type="dxa" w:w="3408"/>
            <w:vAlign w:val="center"/>
          </w:tcPr>
          <w:p>
            <w:r/>
            <w:r>
              <w:rPr>
                <w:b w:val="0"/>
                <w:sz w:val="16"/>
              </w:rPr>
              <w:t>Source-of-truth hierarchy</w:t>
            </w:r>
          </w:p>
        </w:tc>
        <w:tc>
          <w:tcPr>
            <w:tcW w:type="dxa" w:w="3408"/>
            <w:vAlign w:val="center"/>
          </w:tcPr>
          <w:p>
            <w:r/>
            <w:r>
              <w:rPr>
                <w:b w:val="0"/>
                <w:sz w:val="16"/>
              </w:rPr>
              <w:t>Resolve inconsistent records</w:t>
            </w:r>
          </w:p>
        </w:tc>
      </w:tr>
      <w:tr>
        <w:tc>
          <w:tcPr>
            <w:tcW w:type="dxa" w:w="3408"/>
            <w:vAlign w:val="center"/>
          </w:tcPr>
          <w:p>
            <w:r/>
            <w:r>
              <w:rPr>
                <w:b w:val="0"/>
                <w:sz w:val="16"/>
              </w:rPr>
              <w:t>Privacy class</w:t>
            </w:r>
          </w:p>
        </w:tc>
        <w:tc>
          <w:tcPr>
            <w:tcW w:type="dxa" w:w="3408"/>
            <w:vAlign w:val="center"/>
          </w:tcPr>
          <w:p>
            <w:r/>
            <w:r>
              <w:rPr>
                <w:b w:val="0"/>
                <w:sz w:val="16"/>
              </w:rPr>
              <w:t>Public / internal / restricted</w:t>
            </w:r>
          </w:p>
        </w:tc>
        <w:tc>
          <w:tcPr>
            <w:tcW w:type="dxa" w:w="3408"/>
            <w:vAlign w:val="center"/>
          </w:tcPr>
          <w:p>
            <w:r/>
            <w:r>
              <w:rPr>
                <w:b w:val="0"/>
                <w:sz w:val="16"/>
              </w:rPr>
              <w:t>Access control</w:t>
            </w:r>
          </w:p>
        </w:tc>
      </w:tr>
      <w:tr>
        <w:tc>
          <w:tcPr>
            <w:tcW w:type="dxa" w:w="3408"/>
            <w:vAlign w:val="center"/>
          </w:tcPr>
          <w:p>
            <w:r/>
            <w:r>
              <w:rPr>
                <w:b w:val="0"/>
                <w:sz w:val="16"/>
              </w:rPr>
              <w:t>Effective-time support</w:t>
            </w:r>
          </w:p>
        </w:tc>
        <w:tc>
          <w:tcPr>
            <w:tcW w:type="dxa" w:w="3408"/>
            <w:vAlign w:val="center"/>
          </w:tcPr>
          <w:p>
            <w:r/>
            <w:r>
              <w:rPr>
                <w:b w:val="0"/>
                <w:sz w:val="16"/>
              </w:rPr>
              <w:t>Yes</w:t>
            </w:r>
          </w:p>
        </w:tc>
        <w:tc>
          <w:tcPr>
            <w:tcW w:type="dxa" w:w="3408"/>
            <w:vAlign w:val="center"/>
          </w:tcPr>
          <w:p>
            <w:r/>
            <w:r>
              <w:rPr>
                <w:b w:val="0"/>
                <w:sz w:val="16"/>
              </w:rPr>
              <w:t>Point-in-time ML safety</w:t>
            </w:r>
          </w:p>
        </w:tc>
      </w:tr>
    </w:tbl>
    <w:p/>
    <w:p>
      <w:pPr>
        <w:pStyle w:val="Heading1"/>
      </w:pPr>
      <w:r>
        <w:t>5. V7 Real-Time Data Pipeline</w:t>
      </w:r>
    </w:p>
    <w:p>
      <w:pPr>
        <w:pStyle w:val="ListBullet"/>
        <w:spacing w:after="40"/>
      </w:pPr>
      <w:r>
        <w:t>1. CONNECT — Adapter receives CSV, JSON, API or approved file export.</w:t>
      </w:r>
    </w:p>
    <w:p>
      <w:pPr>
        <w:pStyle w:val="ListBullet"/>
        <w:spacing w:after="40"/>
      </w:pPr>
      <w:r>
        <w:t>2. VALIDATE — Schema, types, ranges, identifiers, dates and references are checked.</w:t>
      </w:r>
    </w:p>
    <w:p>
      <w:pPr>
        <w:pStyle w:val="ListBullet"/>
        <w:spacing w:after="40"/>
      </w:pPr>
      <w:r>
        <w:t>3. NORMALIZE — Source terminology is mapped to the canonical Project/Stage/Event/Dependency model.</w:t>
      </w:r>
    </w:p>
    <w:p>
      <w:pPr>
        <w:pStyle w:val="ListBullet"/>
        <w:spacing w:after="40"/>
      </w:pPr>
      <w:r>
        <w:t>4. RECONCILE — Duplicates, conflicting values and late-arriving records are handled using explicit precedence rules.</w:t>
      </w:r>
    </w:p>
    <w:p>
      <w:pPr>
        <w:pStyle w:val="ListBullet"/>
        <w:spacing w:after="40"/>
      </w:pPr>
      <w:r>
        <w:t>5. SNAPSHOT — The system stores what was knowable at time t, separating effective time from ingestion time.</w:t>
      </w:r>
    </w:p>
    <w:p>
      <w:pPr>
        <w:pStyle w:val="ListBullet"/>
        <w:spacing w:after="40"/>
      </w:pPr>
      <w:r>
        <w:t>6. ENRICH — Approved spatial, historical and project-context features are added.</w:t>
      </w:r>
    </w:p>
    <w:p>
      <w:pPr>
        <w:pStyle w:val="ListBullet"/>
        <w:spacing w:after="40"/>
      </w:pPr>
      <w:r>
        <w:t>7. SCORE — Only supported features feed the model; missing or stale evidence can downgrade or abstain.</w:t>
      </w:r>
    </w:p>
    <w:p>
      <w:pPr>
        <w:pStyle w:val="ListBullet"/>
        <w:spacing w:after="40"/>
      </w:pPr>
      <w:r>
        <w:t>8. PUBLISH — Prediction, drivers, evidence health, coverage and version are persisted.</w:t>
      </w:r>
    </w:p>
    <w:p>
      <w:pPr>
        <w:pStyle w:val="ListBullet"/>
        <w:spacing w:after="40"/>
      </w:pPr>
      <w:r>
        <w:t>9. ACTIVATE — Material changes can trigger an alert and recompute the action queue.</w:t>
      </w:r>
    </w:p>
    <w:p>
      <w:pPr>
        <w:pStyle w:val="ListBullet"/>
        <w:spacing w:after="40"/>
      </w:pPr>
      <w:r>
        <w:t>10. LEARN — Final outcomes become labeled precedent and future evaluation data.</w:t>
      </w:r>
    </w:p>
    <w:tbl>
      <w:tblPr>
        <w:tblStyle w:val="TableGrid"/>
        <w:tblW w:type="auto" w:w="0"/>
        <w:tblLook w:firstColumn="1" w:firstRow="1" w:lastColumn="0" w:lastRow="0" w:noHBand="0" w:noVBand="1" w:val="04A0"/>
      </w:tblPr>
      <w:tblGrid>
        <w:gridCol w:w="10224"/>
      </w:tblGrid>
      <w:tr>
        <w:tc>
          <w:tcPr>
            <w:tcW w:type="dxa" w:w="10224"/>
            <w:shd w:fill="EEF6FA"/>
          </w:tcPr>
          <w:p>
            <w:r>
              <w:rPr>
                <w:b/>
                <w:color w:val="133754"/>
                <w:sz w:val="21"/>
              </w:rPr>
              <w:t>Design improvement</w:t>
              <w:br/>
            </w:r>
            <w:r>
              <w:rPr>
                <w:sz w:val="18"/>
              </w:rPr>
              <w:t>Do not recalculate the whole portfolio every time. Use two modes: scheduled portfolio refresh for broad benchmarking, and event-driven micro-refresh for a project when a material event, status change, overdue dependency or new evidence arrives.</w:t>
            </w:r>
          </w:p>
        </w:tc>
      </w:tr>
    </w:tbl>
    <w:p/>
    <w:p>
      <w:pPr>
        <w:pStyle w:val="Heading1"/>
      </w:pPr>
      <w:r>
        <w:t>6. Better User Workflow: From Dashboard to Control Tower</w:t>
      </w:r>
    </w:p>
    <w:p>
      <w:r>
        <w:t>The current end-to-end journey is correct, but the product can feel even more operational by making the “Action Queue” the center of the experience. Officers should not have to hunt for a risk.</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D9EAF4"/>
          </w:tcPr>
          <w:p>
            <w:r/>
            <w:r>
              <w:rPr>
                <w:b/>
                <w:sz w:val="17"/>
              </w:rPr>
              <w:t>Screen / state</w:t>
            </w:r>
          </w:p>
        </w:tc>
        <w:tc>
          <w:tcPr>
            <w:tcW w:type="dxa" w:w="5112"/>
            <w:vAlign w:val="center"/>
            <w:shd w:fill="D9EAF4"/>
          </w:tcPr>
          <w:p>
            <w:r/>
            <w:r>
              <w:rPr>
                <w:b/>
                <w:sz w:val="17"/>
              </w:rPr>
              <w:t>What appears first</w:t>
            </w:r>
          </w:p>
        </w:tc>
        <w:tc>
          <w:tcPr>
            <w:tcW w:type="dxa" w:w="2736"/>
            <w:vAlign w:val="center"/>
            <w:shd w:fill="D9EAF4"/>
          </w:tcPr>
          <w:p>
            <w:r/>
            <w:r>
              <w:rPr>
                <w:b/>
                <w:sz w:val="17"/>
              </w:rPr>
              <w:t>Primary action</w:t>
            </w:r>
          </w:p>
        </w:tc>
      </w:tr>
      <w:tr>
        <w:tc>
          <w:tcPr>
            <w:tcW w:type="dxa" w:w="2016"/>
            <w:vAlign w:val="center"/>
          </w:tcPr>
          <w:p>
            <w:r/>
            <w:r>
              <w:rPr>
                <w:b w:val="0"/>
                <w:sz w:val="16"/>
              </w:rPr>
              <w:t>1. Action Queue</w:t>
            </w:r>
          </w:p>
        </w:tc>
        <w:tc>
          <w:tcPr>
            <w:tcW w:type="dxa" w:w="5112"/>
            <w:vAlign w:val="center"/>
          </w:tcPr>
          <w:p>
            <w:r/>
            <w:r>
              <w:rPr>
                <w:b w:val="0"/>
                <w:sz w:val="16"/>
              </w:rPr>
              <w:t>Top 5–20 cases requiring attention, ranked by urgency × criticality × actionability</w:t>
            </w:r>
          </w:p>
        </w:tc>
        <w:tc>
          <w:tcPr>
            <w:tcW w:type="dxa" w:w="2736"/>
            <w:vAlign w:val="center"/>
          </w:tcPr>
          <w:p>
            <w:r/>
            <w:r>
              <w:rPr>
                <w:b w:val="0"/>
                <w:sz w:val="16"/>
              </w:rPr>
              <w:t>Open case</w:t>
            </w:r>
          </w:p>
        </w:tc>
      </w:tr>
      <w:tr>
        <w:tc>
          <w:tcPr>
            <w:tcW w:type="dxa" w:w="2016"/>
            <w:vAlign w:val="center"/>
          </w:tcPr>
          <w:p>
            <w:r/>
            <w:r>
              <w:rPr>
                <w:b w:val="0"/>
                <w:sz w:val="16"/>
              </w:rPr>
              <w:t>2. Case Pulse</w:t>
            </w:r>
          </w:p>
        </w:tc>
        <w:tc>
          <w:tcPr>
            <w:tcW w:type="dxa" w:w="5112"/>
            <w:vAlign w:val="center"/>
          </w:tcPr>
          <w:p>
            <w:r/>
            <w:r>
              <w:rPr>
                <w:b w:val="0"/>
                <w:sz w:val="16"/>
              </w:rPr>
              <w:t>Stage, expected milestone, countdown/overdue state, risk trend, evidence health, latest changes</w:t>
            </w:r>
          </w:p>
        </w:tc>
        <w:tc>
          <w:tcPr>
            <w:tcW w:type="dxa" w:w="2736"/>
            <w:vAlign w:val="center"/>
          </w:tcPr>
          <w:p>
            <w:r/>
            <w:r>
              <w:rPr>
                <w:b w:val="0"/>
                <w:sz w:val="16"/>
              </w:rPr>
              <w:t>Understand what changed</w:t>
            </w:r>
          </w:p>
        </w:tc>
      </w:tr>
      <w:tr>
        <w:tc>
          <w:tcPr>
            <w:tcW w:type="dxa" w:w="2016"/>
            <w:vAlign w:val="center"/>
          </w:tcPr>
          <w:p>
            <w:r/>
            <w:r>
              <w:rPr>
                <w:b w:val="0"/>
                <w:sz w:val="16"/>
              </w:rPr>
              <w:t>3. Bottleneck Diagnosis</w:t>
            </w:r>
          </w:p>
        </w:tc>
        <w:tc>
          <w:tcPr>
            <w:tcW w:type="dxa" w:w="5112"/>
            <w:vAlign w:val="center"/>
          </w:tcPr>
          <w:p>
            <w:r/>
            <w:r>
              <w:rPr>
                <w:b w:val="0"/>
                <w:sz w:val="16"/>
              </w:rPr>
              <w:t>Critical dependency, risk drivers and source evidence</w:t>
            </w:r>
          </w:p>
        </w:tc>
        <w:tc>
          <w:tcPr>
            <w:tcW w:type="dxa" w:w="2736"/>
            <w:vAlign w:val="center"/>
          </w:tcPr>
          <w:p>
            <w:r/>
            <w:r>
              <w:rPr>
                <w:b w:val="0"/>
                <w:sz w:val="16"/>
              </w:rPr>
              <w:t>Verify the reason</w:t>
            </w:r>
          </w:p>
        </w:tc>
      </w:tr>
      <w:tr>
        <w:tc>
          <w:tcPr>
            <w:tcW w:type="dxa" w:w="2016"/>
            <w:vAlign w:val="center"/>
          </w:tcPr>
          <w:p>
            <w:r/>
            <w:r>
              <w:rPr>
                <w:b w:val="0"/>
                <w:sz w:val="16"/>
              </w:rPr>
              <w:t>4. Precedent Strip</w:t>
            </w:r>
          </w:p>
        </w:tc>
        <w:tc>
          <w:tcPr>
            <w:tcW w:type="dxa" w:w="5112"/>
            <w:vAlign w:val="center"/>
          </w:tcPr>
          <w:p>
            <w:r/>
            <w:r>
              <w:rPr>
                <w:b w:val="0"/>
                <w:sz w:val="16"/>
              </w:rPr>
              <w:t>Three best comparable completed cases and what happened next</w:t>
            </w:r>
          </w:p>
        </w:tc>
        <w:tc>
          <w:tcPr>
            <w:tcW w:type="dxa" w:w="2736"/>
            <w:vAlign w:val="center"/>
          </w:tcPr>
          <w:p>
            <w:r/>
            <w:r>
              <w:rPr>
                <w:b w:val="0"/>
                <w:sz w:val="16"/>
              </w:rPr>
              <w:t>Compare</w:t>
            </w:r>
          </w:p>
        </w:tc>
      </w:tr>
      <w:tr>
        <w:tc>
          <w:tcPr>
            <w:tcW w:type="dxa" w:w="2016"/>
            <w:vAlign w:val="center"/>
          </w:tcPr>
          <w:p>
            <w:r/>
            <w:r>
              <w:rPr>
                <w:b w:val="0"/>
                <w:sz w:val="16"/>
              </w:rPr>
              <w:t>5. Intervention Playbook</w:t>
            </w:r>
          </w:p>
        </w:tc>
        <w:tc>
          <w:tcPr>
            <w:tcW w:type="dxa" w:w="5112"/>
            <w:vAlign w:val="center"/>
          </w:tcPr>
          <w:p>
            <w:r/>
            <w:r>
              <w:rPr>
                <w:b w:val="0"/>
                <w:sz w:val="16"/>
              </w:rPr>
              <w:t>Supported investigation options with expected information value / priority</w:t>
            </w:r>
          </w:p>
        </w:tc>
        <w:tc>
          <w:tcPr>
            <w:tcW w:type="dxa" w:w="2736"/>
            <w:vAlign w:val="center"/>
          </w:tcPr>
          <w:p>
            <w:r/>
            <w:r>
              <w:rPr>
                <w:b w:val="0"/>
                <w:sz w:val="16"/>
              </w:rPr>
              <w:t>Choose follow-up</w:t>
            </w:r>
          </w:p>
        </w:tc>
      </w:tr>
      <w:tr>
        <w:tc>
          <w:tcPr>
            <w:tcW w:type="dxa" w:w="2016"/>
            <w:vAlign w:val="center"/>
          </w:tcPr>
          <w:p>
            <w:r/>
            <w:r>
              <w:rPr>
                <w:b w:val="0"/>
                <w:sz w:val="16"/>
              </w:rPr>
              <w:t>6. Scenario Check</w:t>
            </w:r>
          </w:p>
        </w:tc>
        <w:tc>
          <w:tcPr>
            <w:tcW w:type="dxa" w:w="5112"/>
            <w:vAlign w:val="center"/>
          </w:tcPr>
          <w:p>
            <w:r/>
            <w:r>
              <w:rPr>
                <w:b w:val="0"/>
                <w:sz w:val="16"/>
              </w:rPr>
              <w:t>Optional supported sensitivity test, baseline vs scenario</w:t>
            </w:r>
          </w:p>
        </w:tc>
        <w:tc>
          <w:tcPr>
            <w:tcW w:type="dxa" w:w="2736"/>
            <w:vAlign w:val="center"/>
          </w:tcPr>
          <w:p>
            <w:r/>
            <w:r>
              <w:rPr>
                <w:b w:val="0"/>
                <w:sz w:val="16"/>
              </w:rPr>
              <w:t>Stress-test assumption</w:t>
            </w:r>
          </w:p>
        </w:tc>
      </w:tr>
      <w:tr>
        <w:tc>
          <w:tcPr>
            <w:tcW w:type="dxa" w:w="2016"/>
            <w:vAlign w:val="center"/>
          </w:tcPr>
          <w:p>
            <w:r/>
            <w:r>
              <w:rPr>
                <w:b w:val="0"/>
                <w:sz w:val="16"/>
              </w:rPr>
              <w:t>7. Commit</w:t>
            </w:r>
          </w:p>
        </w:tc>
        <w:tc>
          <w:tcPr>
            <w:tcW w:type="dxa" w:w="5112"/>
            <w:vAlign w:val="center"/>
          </w:tcPr>
          <w:p>
            <w:r/>
            <w:r>
              <w:rPr>
                <w:b w:val="0"/>
                <w:sz w:val="16"/>
              </w:rPr>
              <w:t>Assign owner, due date, note and action type</w:t>
            </w:r>
          </w:p>
        </w:tc>
        <w:tc>
          <w:tcPr>
            <w:tcW w:type="dxa" w:w="2736"/>
            <w:vAlign w:val="center"/>
          </w:tcPr>
          <w:p>
            <w:r/>
            <w:r>
              <w:rPr>
                <w:b w:val="0"/>
                <w:sz w:val="16"/>
              </w:rPr>
              <w:t>Record decision</w:t>
            </w:r>
          </w:p>
        </w:tc>
      </w:tr>
      <w:tr>
        <w:tc>
          <w:tcPr>
            <w:tcW w:type="dxa" w:w="2016"/>
            <w:vAlign w:val="center"/>
          </w:tcPr>
          <w:p>
            <w:r/>
            <w:r>
              <w:rPr>
                <w:b w:val="0"/>
                <w:sz w:val="16"/>
              </w:rPr>
              <w:t>8. Follow-up</w:t>
            </w:r>
          </w:p>
        </w:tc>
        <w:tc>
          <w:tcPr>
            <w:tcW w:type="dxa" w:w="5112"/>
            <w:vAlign w:val="center"/>
          </w:tcPr>
          <w:p>
            <w:r/>
            <w:r>
              <w:rPr>
                <w:b w:val="0"/>
                <w:sz w:val="16"/>
              </w:rPr>
              <w:t>Case returns to queue until resolved or explicitly closed</w:t>
            </w:r>
          </w:p>
        </w:tc>
        <w:tc>
          <w:tcPr>
            <w:tcW w:type="dxa" w:w="2736"/>
            <w:vAlign w:val="center"/>
          </w:tcPr>
          <w:p>
            <w:r/>
            <w:r>
              <w:rPr>
                <w:b w:val="0"/>
                <w:sz w:val="16"/>
              </w:rPr>
              <w:t>Track outcome</w:t>
            </w:r>
          </w:p>
        </w:tc>
      </w:tr>
      <w:tr>
        <w:tc>
          <w:tcPr>
            <w:tcW w:type="dxa" w:w="2016"/>
            <w:vAlign w:val="center"/>
          </w:tcPr>
          <w:p>
            <w:r/>
            <w:r>
              <w:rPr>
                <w:b w:val="0"/>
                <w:sz w:val="16"/>
              </w:rPr>
              <w:t>9. Learning</w:t>
            </w:r>
          </w:p>
        </w:tc>
        <w:tc>
          <w:tcPr>
            <w:tcW w:type="dxa" w:w="5112"/>
            <w:vAlign w:val="center"/>
          </w:tcPr>
          <w:p>
            <w:r/>
            <w:r>
              <w:rPr>
                <w:b w:val="0"/>
                <w:sz w:val="16"/>
              </w:rPr>
              <w:t>Outcome updates precedent, KPI and model-validation datasets</w:t>
            </w:r>
          </w:p>
        </w:tc>
        <w:tc>
          <w:tcPr>
            <w:tcW w:type="dxa" w:w="2736"/>
            <w:vAlign w:val="center"/>
          </w:tcPr>
          <w:p>
            <w:r/>
            <w:r>
              <w:rPr>
                <w:b w:val="0"/>
                <w:sz w:val="16"/>
              </w:rPr>
              <w:t>Improve system</w:t>
            </w:r>
          </w:p>
        </w:tc>
      </w:tr>
    </w:tbl>
    <w:p/>
    <w:p>
      <w:pPr>
        <w:pStyle w:val="Heading1"/>
      </w:pPr>
      <w:r>
        <w:t>7. The “Case Pulse” — The Signature UI</w:t>
      </w:r>
    </w:p>
    <w:p>
      <w:r>
        <w:t>Replace a generic project profile page with a compact operational pulse. It should answer the officer’s questions in under 20 seconds.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4"/>
          </w:tcPr>
          <w:p>
            <w:r/>
            <w:r>
              <w:rPr>
                <w:b/>
                <w:sz w:val="17"/>
              </w:rPr>
              <w:t>Block</w:t>
            </w:r>
          </w:p>
        </w:tc>
        <w:tc>
          <w:tcPr>
            <w:tcW w:type="dxa" w:w="5112"/>
            <w:vAlign w:val="center"/>
            <w:shd w:fill="D9EAF4"/>
          </w:tcPr>
          <w:p>
            <w:r/>
            <w:r>
              <w:rPr>
                <w:b/>
                <w:sz w:val="17"/>
              </w:rPr>
              <w:t>Contents</w:t>
            </w:r>
          </w:p>
        </w:tc>
      </w:tr>
      <w:tr>
        <w:tc>
          <w:tcPr>
            <w:tcW w:type="dxa" w:w="5112"/>
            <w:vAlign w:val="center"/>
          </w:tcPr>
          <w:p>
            <w:r/>
            <w:r>
              <w:rPr>
                <w:b w:val="0"/>
                <w:sz w:val="16"/>
              </w:rPr>
              <w:t>Header</w:t>
            </w:r>
          </w:p>
        </w:tc>
        <w:tc>
          <w:tcPr>
            <w:tcW w:type="dxa" w:w="5112"/>
            <w:vAlign w:val="center"/>
          </w:tcPr>
          <w:p>
            <w:r/>
            <w:r>
              <w:rPr>
                <w:b w:val="0"/>
                <w:sz w:val="16"/>
              </w:rPr>
              <w:t>Project ID • route • district • criticality • last updated</w:t>
            </w:r>
          </w:p>
        </w:tc>
      </w:tr>
      <w:tr>
        <w:tc>
          <w:tcPr>
            <w:tcW w:type="dxa" w:w="5112"/>
            <w:vAlign w:val="center"/>
          </w:tcPr>
          <w:p>
            <w:r/>
            <w:r>
              <w:rPr>
                <w:b w:val="0"/>
                <w:sz w:val="16"/>
              </w:rPr>
              <w:t>Status</w:t>
            </w:r>
          </w:p>
        </w:tc>
        <w:tc>
          <w:tcPr>
            <w:tcW w:type="dxa" w:w="5112"/>
            <w:vAlign w:val="center"/>
          </w:tcPr>
          <w:p>
            <w:r/>
            <w:r>
              <w:rPr>
                <w:b w:val="0"/>
                <w:sz w:val="16"/>
              </w:rPr>
              <w:t>Current stage + stage age + expected window + days remaining/overdue</w:t>
            </w:r>
          </w:p>
        </w:tc>
      </w:tr>
      <w:tr>
        <w:tc>
          <w:tcPr>
            <w:tcW w:type="dxa" w:w="5112"/>
            <w:vAlign w:val="center"/>
          </w:tcPr>
          <w:p>
            <w:r/>
            <w:r>
              <w:rPr>
                <w:b w:val="0"/>
                <w:sz w:val="16"/>
              </w:rPr>
              <w:t>Risk</w:t>
            </w:r>
          </w:p>
        </w:tc>
        <w:tc>
          <w:tcPr>
            <w:tcW w:type="dxa" w:w="5112"/>
            <w:vAlign w:val="center"/>
          </w:tcPr>
          <w:p>
            <w:r/>
            <w:r>
              <w:rPr>
                <w:b w:val="0"/>
                <w:sz w:val="16"/>
              </w:rPr>
              <w:t>Next-milestone miss probability + 7/30-day risk trajectory</w:t>
            </w:r>
          </w:p>
        </w:tc>
      </w:tr>
      <w:tr>
        <w:tc>
          <w:tcPr>
            <w:tcW w:type="dxa" w:w="5112"/>
            <w:vAlign w:val="center"/>
          </w:tcPr>
          <w:p>
            <w:r/>
            <w:r>
              <w:rPr>
                <w:b w:val="0"/>
                <w:sz w:val="16"/>
              </w:rPr>
              <w:t>Evidence</w:t>
            </w:r>
          </w:p>
        </w:tc>
        <w:tc>
          <w:tcPr>
            <w:tcW w:type="dxa" w:w="5112"/>
            <w:vAlign w:val="center"/>
          </w:tcPr>
          <w:p>
            <w:r/>
            <w:r>
              <w:rPr>
                <w:b w:val="0"/>
                <w:sz w:val="16"/>
              </w:rPr>
              <w:t>GREEN / AMBER / RED + exactly what is missing or stale</w:t>
            </w:r>
          </w:p>
        </w:tc>
      </w:tr>
      <w:tr>
        <w:tc>
          <w:tcPr>
            <w:tcW w:type="dxa" w:w="5112"/>
            <w:vAlign w:val="center"/>
          </w:tcPr>
          <w:p>
            <w:r/>
            <w:r>
              <w:rPr>
                <w:b w:val="0"/>
                <w:sz w:val="16"/>
              </w:rPr>
              <w:t>What changed</w:t>
            </w:r>
          </w:p>
        </w:tc>
        <w:tc>
          <w:tcPr>
            <w:tcW w:type="dxa" w:w="5112"/>
            <w:vAlign w:val="center"/>
          </w:tcPr>
          <w:p>
            <w:r/>
            <w:r>
              <w:rPr>
                <w:b w:val="0"/>
                <w:sz w:val="16"/>
              </w:rPr>
              <w:t>Latest material events since last review</w:t>
            </w:r>
          </w:p>
        </w:tc>
      </w:tr>
      <w:tr>
        <w:tc>
          <w:tcPr>
            <w:tcW w:type="dxa" w:w="5112"/>
            <w:vAlign w:val="center"/>
          </w:tcPr>
          <w:p>
            <w:r/>
            <w:r>
              <w:rPr>
                <w:b w:val="0"/>
                <w:sz w:val="16"/>
              </w:rPr>
              <w:t>Why</w:t>
            </w:r>
          </w:p>
        </w:tc>
        <w:tc>
          <w:tcPr>
            <w:tcW w:type="dxa" w:w="5112"/>
            <w:vAlign w:val="center"/>
          </w:tcPr>
          <w:p>
            <w:r/>
            <w:r>
              <w:rPr>
                <w:b w:val="0"/>
                <w:sz w:val="16"/>
              </w:rPr>
              <w:t>Top 3 drivers with direct source references</w:t>
            </w:r>
          </w:p>
        </w:tc>
      </w:tr>
      <w:tr>
        <w:tc>
          <w:tcPr>
            <w:tcW w:type="dxa" w:w="5112"/>
            <w:vAlign w:val="center"/>
          </w:tcPr>
          <w:p>
            <w:r/>
            <w:r>
              <w:rPr>
                <w:b w:val="0"/>
                <w:sz w:val="16"/>
              </w:rPr>
              <w:t>Blocker</w:t>
            </w:r>
          </w:p>
        </w:tc>
        <w:tc>
          <w:tcPr>
            <w:tcW w:type="dxa" w:w="5112"/>
            <w:vAlign w:val="center"/>
          </w:tcPr>
          <w:p>
            <w:r/>
            <w:r>
              <w:rPr>
                <w:b w:val="0"/>
                <w:sz w:val="16"/>
              </w:rPr>
              <w:t>Critical dependency + owner state + downstream reach</w:t>
            </w:r>
          </w:p>
        </w:tc>
      </w:tr>
      <w:tr>
        <w:tc>
          <w:tcPr>
            <w:tcW w:type="dxa" w:w="5112"/>
            <w:vAlign w:val="center"/>
          </w:tcPr>
          <w:p>
            <w:r/>
            <w:r>
              <w:rPr>
                <w:b w:val="0"/>
                <w:sz w:val="16"/>
              </w:rPr>
              <w:t>Precedent</w:t>
            </w:r>
          </w:p>
        </w:tc>
        <w:tc>
          <w:tcPr>
            <w:tcW w:type="dxa" w:w="5112"/>
            <w:vAlign w:val="center"/>
          </w:tcPr>
          <w:p>
            <w:r/>
            <w:r>
              <w:rPr>
                <w:b w:val="0"/>
                <w:sz w:val="16"/>
              </w:rPr>
              <w:t>Best comparable cases + observed outcome</w:t>
            </w:r>
          </w:p>
        </w:tc>
      </w:tr>
      <w:tr>
        <w:tc>
          <w:tcPr>
            <w:tcW w:type="dxa" w:w="5112"/>
            <w:vAlign w:val="center"/>
          </w:tcPr>
          <w:p>
            <w:r/>
            <w:r>
              <w:rPr>
                <w:b w:val="0"/>
                <w:sz w:val="16"/>
              </w:rPr>
              <w:t>Action</w:t>
            </w:r>
          </w:p>
        </w:tc>
        <w:tc>
          <w:tcPr>
            <w:tcW w:type="dxa" w:w="5112"/>
            <w:vAlign w:val="center"/>
          </w:tcPr>
          <w:p>
            <w:r/>
            <w:r>
              <w:rPr>
                <w:b w:val="0"/>
                <w:sz w:val="16"/>
              </w:rPr>
              <w:t>Recommended investigation priority + owner + due date</w:t>
            </w:r>
          </w:p>
        </w:tc>
      </w:tr>
      <w:tr>
        <w:tc>
          <w:tcPr>
            <w:tcW w:type="dxa" w:w="5112"/>
            <w:vAlign w:val="center"/>
          </w:tcPr>
          <w:p>
            <w:r/>
            <w:r>
              <w:rPr>
                <w:b w:val="0"/>
                <w:sz w:val="16"/>
              </w:rPr>
              <w:t>Audit</w:t>
            </w:r>
          </w:p>
        </w:tc>
        <w:tc>
          <w:tcPr>
            <w:tcW w:type="dxa" w:w="5112"/>
            <w:vAlign w:val="center"/>
          </w:tcPr>
          <w:p>
            <w:r/>
            <w:r>
              <w:rPr>
                <w:b w:val="0"/>
                <w:sz w:val="16"/>
              </w:rPr>
              <w:t>Model/data snapshot + last decision event</w:t>
            </w:r>
          </w:p>
        </w:tc>
      </w:tr>
    </w:tbl>
    <w:p/>
    <w:p>
      <w:pPr>
        <w:pStyle w:val="Heading1"/>
      </w:pPr>
      <w:r>
        <w:t>8. Add “What Changed?” Intelligence</w:t>
      </w:r>
    </w:p>
    <w:p>
      <w:r>
        <w:t>A major usability improvement is to stop showing only the current state. LUME should always compare the current snapshot with the last reviewed snapshot.</w:t>
      </w:r>
    </w:p>
    <w:p>
      <w:pPr>
        <w:pStyle w:val="ListBullet"/>
        <w:spacing w:after="40"/>
      </w:pPr>
      <w:r>
        <w:t>“Compensation dependency moved from 6 days old to 19 days old.”</w:t>
      </w:r>
    </w:p>
    <w:p>
      <w:pPr>
        <w:pStyle w:val="ListBullet"/>
        <w:spacing w:after="40"/>
      </w:pPr>
      <w:r>
        <w:t>“A previously missing stage date was received; evidence health moved AMBER → GREEN.”</w:t>
      </w:r>
    </w:p>
    <w:p>
      <w:pPr>
        <w:pStyle w:val="ListBullet"/>
        <w:spacing w:after="40"/>
      </w:pPr>
      <w:r>
        <w:t>“Case entered a support region where comparable historical cases had elevated delay rates.”</w:t>
      </w:r>
    </w:p>
    <w:p>
      <w:pPr>
        <w:pStyle w:val="ListBullet"/>
        <w:spacing w:after="40"/>
      </w:pPr>
      <w:r>
        <w:t>“The next milestone window is now 10 days away and the current dependency remains unresolved.”</w:t>
      </w:r>
    </w:p>
    <w:p>
      <w:pPr>
        <w:pStyle w:val="ListBullet"/>
        <w:spacing w:after="40"/>
      </w:pPr>
      <w:r>
        <w:t>“Prediction changed from 0.41 to 0.68 after new evidence; the change is attributable to these features.”</w:t>
      </w:r>
    </w:p>
    <w:p>
      <w:r>
        <w:t>This turns LUME into an early-warning system rather than a reporting screen.</w:t>
      </w:r>
    </w:p>
    <w:p>
      <w:pPr>
        <w:pStyle w:val="Heading1"/>
      </w:pPr>
      <w:r>
        <w:t>9. Make Recommendations More Useful Without Becoming an Autonomous Decision-Maker</w:t>
      </w:r>
    </w:p>
    <w:p>
      <w:r>
        <w:t>Recommendations should be investigation playbooks, not legal or administrative commands. Each recommendation should explain why it is appearing, what evidence would confirm it, who could own it, and what outcome would close the loop.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4"/>
          </w:tcPr>
          <w:p>
            <w:r/>
            <w:r>
              <w:rPr>
                <w:b/>
                <w:sz w:val="17"/>
              </w:rPr>
              <w:t>Priority type</w:t>
            </w:r>
          </w:p>
        </w:tc>
        <w:tc>
          <w:tcPr>
            <w:tcW w:type="dxa" w:w="3408"/>
            <w:vAlign w:val="center"/>
            <w:shd w:fill="D9EAF4"/>
          </w:tcPr>
          <w:p>
            <w:r/>
            <w:r>
              <w:rPr>
                <w:b/>
                <w:sz w:val="17"/>
              </w:rPr>
              <w:t>Trigger</w:t>
            </w:r>
          </w:p>
        </w:tc>
        <w:tc>
          <w:tcPr>
            <w:tcW w:type="dxa" w:w="3408"/>
            <w:vAlign w:val="center"/>
            <w:shd w:fill="D9EAF4"/>
          </w:tcPr>
          <w:p>
            <w:r/>
            <w:r>
              <w:rPr>
                <w:b/>
                <w:sz w:val="17"/>
              </w:rPr>
              <w:t>Suggested follow-up</w:t>
            </w:r>
          </w:p>
        </w:tc>
      </w:tr>
      <w:tr>
        <w:tc>
          <w:tcPr>
            <w:tcW w:type="dxa" w:w="3408"/>
            <w:vAlign w:val="center"/>
          </w:tcPr>
          <w:p>
            <w:r/>
            <w:r>
              <w:rPr>
                <w:b w:val="0"/>
                <w:sz w:val="16"/>
              </w:rPr>
              <w:t>Documentation gap</w:t>
            </w:r>
          </w:p>
        </w:tc>
        <w:tc>
          <w:tcPr>
            <w:tcW w:type="dxa" w:w="3408"/>
            <w:vAlign w:val="center"/>
          </w:tcPr>
          <w:p>
            <w:r/>
            <w:r>
              <w:rPr>
                <w:b w:val="0"/>
                <w:sz w:val="16"/>
              </w:rPr>
              <w:t>Required field / event missing beyond freshness threshold</w:t>
            </w:r>
          </w:p>
        </w:tc>
        <w:tc>
          <w:tcPr>
            <w:tcW w:type="dxa" w:w="3408"/>
            <w:vAlign w:val="center"/>
          </w:tcPr>
          <w:p>
            <w:r/>
            <w:r>
              <w:rPr>
                <w:b w:val="0"/>
                <w:sz w:val="16"/>
              </w:rPr>
              <w:t>Verify source record and request update</w:t>
            </w:r>
          </w:p>
        </w:tc>
      </w:tr>
      <w:tr>
        <w:tc>
          <w:tcPr>
            <w:tcW w:type="dxa" w:w="3408"/>
            <w:vAlign w:val="center"/>
          </w:tcPr>
          <w:p>
            <w:r/>
            <w:r>
              <w:rPr>
                <w:b w:val="0"/>
                <w:sz w:val="16"/>
              </w:rPr>
              <w:t>Stalled dependency</w:t>
            </w:r>
          </w:p>
        </w:tc>
        <w:tc>
          <w:tcPr>
            <w:tcW w:type="dxa" w:w="3408"/>
            <w:vAlign w:val="center"/>
          </w:tcPr>
          <w:p>
            <w:r/>
            <w:r>
              <w:rPr>
                <w:b w:val="0"/>
                <w:sz w:val="16"/>
              </w:rPr>
              <w:t>Dependency age high and owner unresolved</w:t>
            </w:r>
          </w:p>
        </w:tc>
        <w:tc>
          <w:tcPr>
            <w:tcW w:type="dxa" w:w="3408"/>
            <w:vAlign w:val="center"/>
          </w:tcPr>
          <w:p>
            <w:r/>
            <w:r>
              <w:rPr>
                <w:b w:val="0"/>
                <w:sz w:val="16"/>
              </w:rPr>
              <w:t>Contact/route to responsible office; record status</w:t>
            </w:r>
          </w:p>
        </w:tc>
      </w:tr>
      <w:tr>
        <w:tc>
          <w:tcPr>
            <w:tcW w:type="dxa" w:w="3408"/>
            <w:vAlign w:val="center"/>
          </w:tcPr>
          <w:p>
            <w:r/>
            <w:r>
              <w:rPr>
                <w:b w:val="0"/>
                <w:sz w:val="16"/>
              </w:rPr>
              <w:t>Upcoming window</w:t>
            </w:r>
          </w:p>
        </w:tc>
        <w:tc>
          <w:tcPr>
            <w:tcW w:type="dxa" w:w="3408"/>
            <w:vAlign w:val="center"/>
          </w:tcPr>
          <w:p>
            <w:r/>
            <w:r>
              <w:rPr>
                <w:b w:val="0"/>
                <w:sz w:val="16"/>
              </w:rPr>
              <w:t>Expected milestone approaching while prerequisites remain open</w:t>
            </w:r>
          </w:p>
        </w:tc>
        <w:tc>
          <w:tcPr>
            <w:tcW w:type="dxa" w:w="3408"/>
            <w:vAlign w:val="center"/>
          </w:tcPr>
          <w:p>
            <w:r/>
            <w:r>
              <w:rPr>
                <w:b w:val="0"/>
                <w:sz w:val="16"/>
              </w:rPr>
              <w:t>Review critical path before window breach</w:t>
            </w:r>
          </w:p>
        </w:tc>
      </w:tr>
      <w:tr>
        <w:tc>
          <w:tcPr>
            <w:tcW w:type="dxa" w:w="3408"/>
            <w:vAlign w:val="center"/>
          </w:tcPr>
          <w:p>
            <w:r/>
            <w:r>
              <w:rPr>
                <w:b w:val="0"/>
                <w:sz w:val="16"/>
              </w:rPr>
              <w:t>Dispute signal</w:t>
            </w:r>
          </w:p>
        </w:tc>
        <w:tc>
          <w:tcPr>
            <w:tcW w:type="dxa" w:w="3408"/>
            <w:vAlign w:val="center"/>
          </w:tcPr>
          <w:p>
            <w:r/>
            <w:r>
              <w:rPr>
                <w:b w:val="0"/>
                <w:sz w:val="16"/>
              </w:rPr>
              <w:t>Authorized case metadata indicates active dispute pattern</w:t>
            </w:r>
          </w:p>
        </w:tc>
        <w:tc>
          <w:tcPr>
            <w:tcW w:type="dxa" w:w="3408"/>
            <w:vAlign w:val="center"/>
          </w:tcPr>
          <w:p>
            <w:r/>
            <w:r>
              <w:rPr>
                <w:b w:val="0"/>
                <w:sz w:val="16"/>
              </w:rPr>
              <w:t>Route for legal/process review</w:t>
            </w:r>
          </w:p>
        </w:tc>
      </w:tr>
      <w:tr>
        <w:tc>
          <w:tcPr>
            <w:tcW w:type="dxa" w:w="3408"/>
            <w:vAlign w:val="center"/>
          </w:tcPr>
          <w:p>
            <w:r/>
            <w:r>
              <w:rPr>
                <w:b w:val="0"/>
                <w:sz w:val="16"/>
              </w:rPr>
              <w:t>Data conflict</w:t>
            </w:r>
          </w:p>
        </w:tc>
        <w:tc>
          <w:tcPr>
            <w:tcW w:type="dxa" w:w="3408"/>
            <w:vAlign w:val="center"/>
          </w:tcPr>
          <w:p>
            <w:r/>
            <w:r>
              <w:rPr>
                <w:b w:val="0"/>
                <w:sz w:val="16"/>
              </w:rPr>
              <w:t>Two trusted sources disagree</w:t>
            </w:r>
          </w:p>
        </w:tc>
        <w:tc>
          <w:tcPr>
            <w:tcW w:type="dxa" w:w="3408"/>
            <w:vAlign w:val="center"/>
          </w:tcPr>
          <w:p>
            <w:r/>
            <w:r>
              <w:rPr>
                <w:b w:val="0"/>
                <w:sz w:val="16"/>
              </w:rPr>
              <w:t>Resolve source hierarchy before acting on model output</w:t>
            </w:r>
          </w:p>
        </w:tc>
      </w:tr>
      <w:tr>
        <w:tc>
          <w:tcPr>
            <w:tcW w:type="dxa" w:w="3408"/>
            <w:vAlign w:val="center"/>
          </w:tcPr>
          <w:p>
            <w:r/>
            <w:r>
              <w:rPr>
                <w:b w:val="0"/>
                <w:sz w:val="16"/>
              </w:rPr>
              <w:t>Critical project</w:t>
            </w:r>
          </w:p>
        </w:tc>
        <w:tc>
          <w:tcPr>
            <w:tcW w:type="dxa" w:w="3408"/>
            <w:vAlign w:val="center"/>
          </w:tcPr>
          <w:p>
            <w:r/>
            <w:r>
              <w:rPr>
                <w:b w:val="0"/>
                <w:sz w:val="16"/>
              </w:rPr>
              <w:t>High portfolio criticality plus elevated stage risk</w:t>
            </w:r>
          </w:p>
        </w:tc>
        <w:tc>
          <w:tcPr>
            <w:tcW w:type="dxa" w:w="3408"/>
            <w:vAlign w:val="center"/>
          </w:tcPr>
          <w:p>
            <w:r/>
            <w:r>
              <w:rPr>
                <w:b w:val="0"/>
                <w:sz w:val="16"/>
              </w:rPr>
              <w:t>Escalate for program-level review</w:t>
            </w:r>
          </w:p>
        </w:tc>
      </w:tr>
    </w:tbl>
    <w:p/>
    <w:p>
      <w:pPr>
        <w:pStyle w:val="Heading1"/>
      </w:pPr>
      <w:r>
        <w:t>10. ML Upgrade: More Realistic, Still Explainable</w:t>
      </w:r>
    </w:p>
    <w:p>
      <w:r>
        <w:t>Keep the current baseline + calibrated gradient-boosted champion approach for SIH. The important upgrade is the surrounding system: temporal snapshots, event-driven scoring, risk trajectory, coverage and abstention. Avoid adding deep learning just for technical theatre.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4"/>
          </w:tcPr>
          <w:p>
            <w:r/>
            <w:r>
              <w:rPr>
                <w:b/>
                <w:sz w:val="17"/>
              </w:rPr>
              <w:t>Capability</w:t>
            </w:r>
          </w:p>
        </w:tc>
        <w:tc>
          <w:tcPr>
            <w:tcW w:type="dxa" w:w="5112"/>
            <w:vAlign w:val="center"/>
            <w:shd w:fill="D9EAF4"/>
          </w:tcPr>
          <w:p>
            <w:r/>
            <w:r>
              <w:rPr>
                <w:b/>
                <w:sz w:val="17"/>
              </w:rPr>
              <w:t>V7 behavior</w:t>
            </w:r>
          </w:p>
        </w:tc>
      </w:tr>
      <w:tr>
        <w:tc>
          <w:tcPr>
            <w:tcW w:type="dxa" w:w="5112"/>
            <w:vAlign w:val="center"/>
          </w:tcPr>
          <w:p>
            <w:r/>
            <w:r>
              <w:rPr>
                <w:b w:val="0"/>
                <w:sz w:val="16"/>
              </w:rPr>
              <w:t>Baseline</w:t>
            </w:r>
          </w:p>
        </w:tc>
        <w:tc>
          <w:tcPr>
            <w:tcW w:type="dxa" w:w="5112"/>
            <w:vAlign w:val="center"/>
          </w:tcPr>
          <w:p>
            <w:r/>
            <w:r>
              <w:rPr>
                <w:b w:val="0"/>
                <w:sz w:val="16"/>
              </w:rPr>
              <w:t>Historical stage-duration quantiles + simple calibrated benchmark</w:t>
            </w:r>
          </w:p>
        </w:tc>
      </w:tr>
      <w:tr>
        <w:tc>
          <w:tcPr>
            <w:tcW w:type="dxa" w:w="5112"/>
            <w:vAlign w:val="center"/>
          </w:tcPr>
          <w:p>
            <w:r/>
            <w:r>
              <w:rPr>
                <w:b w:val="0"/>
                <w:sz w:val="16"/>
              </w:rPr>
              <w:t>Champion</w:t>
            </w:r>
          </w:p>
        </w:tc>
        <w:tc>
          <w:tcPr>
            <w:tcW w:type="dxa" w:w="5112"/>
            <w:vAlign w:val="center"/>
          </w:tcPr>
          <w:p>
            <w:r/>
            <w:r>
              <w:rPr>
                <w:b w:val="0"/>
                <w:sz w:val="16"/>
              </w:rPr>
              <w:t>LightGBM/XGBoost on supported tabular features</w:t>
            </w:r>
          </w:p>
        </w:tc>
      </w:tr>
      <w:tr>
        <w:tc>
          <w:tcPr>
            <w:tcW w:type="dxa" w:w="5112"/>
            <w:vAlign w:val="center"/>
          </w:tcPr>
          <w:p>
            <w:r/>
            <w:r>
              <w:rPr>
                <w:b w:val="0"/>
                <w:sz w:val="16"/>
              </w:rPr>
              <w:t>Probability</w:t>
            </w:r>
          </w:p>
        </w:tc>
        <w:tc>
          <w:tcPr>
            <w:tcW w:type="dxa" w:w="5112"/>
            <w:vAlign w:val="center"/>
          </w:tcPr>
          <w:p>
            <w:r/>
            <w:r>
              <w:rPr>
                <w:b w:val="0"/>
                <w:sz w:val="16"/>
              </w:rPr>
              <w:t>Calibrated probability, not an arbitrary risk score</w:t>
            </w:r>
          </w:p>
        </w:tc>
      </w:tr>
      <w:tr>
        <w:tc>
          <w:tcPr>
            <w:tcW w:type="dxa" w:w="5112"/>
            <w:vAlign w:val="center"/>
          </w:tcPr>
          <w:p>
            <w:r/>
            <w:r>
              <w:rPr>
                <w:b w:val="0"/>
                <w:sz w:val="16"/>
              </w:rPr>
              <w:t>Trajectory</w:t>
            </w:r>
          </w:p>
        </w:tc>
        <w:tc>
          <w:tcPr>
            <w:tcW w:type="dxa" w:w="5112"/>
            <w:vAlign w:val="center"/>
          </w:tcPr>
          <w:p>
            <w:r/>
            <w:r>
              <w:rPr>
                <w:b w:val="0"/>
                <w:sz w:val="16"/>
              </w:rPr>
              <w:t>Store prior predictions to show whether risk is rising/falling</w:t>
            </w:r>
          </w:p>
        </w:tc>
      </w:tr>
      <w:tr>
        <w:tc>
          <w:tcPr>
            <w:tcW w:type="dxa" w:w="5112"/>
            <w:vAlign w:val="center"/>
          </w:tcPr>
          <w:p>
            <w:r/>
            <w:r>
              <w:rPr>
                <w:b w:val="0"/>
                <w:sz w:val="16"/>
              </w:rPr>
              <w:t>Coverage</w:t>
            </w:r>
          </w:p>
        </w:tc>
        <w:tc>
          <w:tcPr>
            <w:tcW w:type="dxa" w:w="5112"/>
            <w:vAlign w:val="center"/>
          </w:tcPr>
          <w:p>
            <w:r/>
            <w:r>
              <w:rPr>
                <w:b w:val="0"/>
                <w:sz w:val="16"/>
              </w:rPr>
              <w:t>Detect whether the case resembles the training support</w:t>
            </w:r>
          </w:p>
        </w:tc>
      </w:tr>
      <w:tr>
        <w:tc>
          <w:tcPr>
            <w:tcW w:type="dxa" w:w="5112"/>
            <w:vAlign w:val="center"/>
          </w:tcPr>
          <w:p>
            <w:r/>
            <w:r>
              <w:rPr>
                <w:b w:val="0"/>
                <w:sz w:val="16"/>
              </w:rPr>
              <w:t>Abstention</w:t>
            </w:r>
          </w:p>
        </w:tc>
        <w:tc>
          <w:tcPr>
            <w:tcW w:type="dxa" w:w="5112"/>
            <w:vAlign w:val="center"/>
          </w:tcPr>
          <w:p>
            <w:r/>
            <w:r>
              <w:rPr>
                <w:b w:val="0"/>
                <w:sz w:val="16"/>
              </w:rPr>
              <w:t>Use baseline-only / insufficient-support states instead of false precision</w:t>
            </w:r>
          </w:p>
        </w:tc>
      </w:tr>
      <w:tr>
        <w:tc>
          <w:tcPr>
            <w:tcW w:type="dxa" w:w="5112"/>
            <w:vAlign w:val="center"/>
          </w:tcPr>
          <w:p>
            <w:r/>
            <w:r>
              <w:rPr>
                <w:b w:val="0"/>
                <w:sz w:val="16"/>
              </w:rPr>
              <w:t>Explainability</w:t>
            </w:r>
          </w:p>
        </w:tc>
        <w:tc>
          <w:tcPr>
            <w:tcW w:type="dxa" w:w="5112"/>
            <w:vAlign w:val="center"/>
          </w:tcPr>
          <w:p>
            <w:r/>
            <w:r>
              <w:rPr>
                <w:b w:val="0"/>
                <w:sz w:val="16"/>
              </w:rPr>
              <w:t>Local attribution + evidence mapping</w:t>
            </w:r>
          </w:p>
        </w:tc>
      </w:tr>
      <w:tr>
        <w:tc>
          <w:tcPr>
            <w:tcW w:type="dxa" w:w="5112"/>
            <w:vAlign w:val="center"/>
          </w:tcPr>
          <w:p>
            <w:r/>
            <w:r>
              <w:rPr>
                <w:b w:val="0"/>
                <w:sz w:val="16"/>
              </w:rPr>
              <w:t>Future extension</w:t>
            </w:r>
          </w:p>
        </w:tc>
        <w:tc>
          <w:tcPr>
            <w:tcW w:type="dxa" w:w="5112"/>
            <w:vAlign w:val="center"/>
          </w:tcPr>
          <w:p>
            <w:r/>
            <w:r>
              <w:rPr>
                <w:b w:val="0"/>
                <w:sz w:val="16"/>
              </w:rPr>
              <w:t>Time-to-event / survival models once enough longitudinal data exists</w:t>
            </w:r>
          </w:p>
        </w:tc>
      </w:tr>
    </w:tbl>
    <w:p/>
    <w:p>
      <w:pPr>
        <w:pStyle w:val="Heading1"/>
      </w:pPr>
      <w:r>
        <w:t>11. Performance &amp; Scalability Upgrade</w:t>
      </w:r>
    </w:p>
    <w:p>
      <w:r>
        <w:t>The product should feel instant even when the underlying data pipeline is heavy. Separate “fresh data processing” from “what the officer sees now.”</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4"/>
          </w:tcPr>
          <w:p>
            <w:r/>
            <w:r>
              <w:rPr>
                <w:b/>
                <w:sz w:val="17"/>
              </w:rPr>
              <w:t>Area</w:t>
            </w:r>
          </w:p>
        </w:tc>
        <w:tc>
          <w:tcPr>
            <w:tcW w:type="dxa" w:w="3408"/>
            <w:vAlign w:val="center"/>
            <w:shd w:fill="D9EAF4"/>
          </w:tcPr>
          <w:p>
            <w:r/>
            <w:r>
              <w:rPr>
                <w:b/>
                <w:sz w:val="17"/>
              </w:rPr>
              <w:t>Recommended implementation</w:t>
            </w:r>
          </w:p>
        </w:tc>
        <w:tc>
          <w:tcPr>
            <w:tcW w:type="dxa" w:w="3408"/>
            <w:vAlign w:val="center"/>
            <w:shd w:fill="D9EAF4"/>
          </w:tcPr>
          <w:p>
            <w:r/>
            <w:r>
              <w:rPr>
                <w:b/>
                <w:sz w:val="17"/>
              </w:rPr>
              <w:t>Target behavior</w:t>
            </w:r>
          </w:p>
        </w:tc>
      </w:tr>
      <w:tr>
        <w:tc>
          <w:tcPr>
            <w:tcW w:type="dxa" w:w="3408"/>
            <w:vAlign w:val="center"/>
          </w:tcPr>
          <w:p>
            <w:r/>
            <w:r>
              <w:rPr>
                <w:b w:val="0"/>
                <w:sz w:val="16"/>
              </w:rPr>
              <w:t>Portfolio queries</w:t>
            </w:r>
          </w:p>
        </w:tc>
        <w:tc>
          <w:tcPr>
            <w:tcW w:type="dxa" w:w="3408"/>
            <w:vAlign w:val="center"/>
          </w:tcPr>
          <w:p>
            <w:r/>
            <w:r>
              <w:rPr>
                <w:b w:val="0"/>
                <w:sz w:val="16"/>
              </w:rPr>
              <w:t>PostgreSQL materialized views + indexed filters</w:t>
            </w:r>
          </w:p>
        </w:tc>
        <w:tc>
          <w:tcPr>
            <w:tcW w:type="dxa" w:w="3408"/>
            <w:vAlign w:val="center"/>
          </w:tcPr>
          <w:p>
            <w:r/>
            <w:r>
              <w:rPr>
                <w:b w:val="0"/>
                <w:sz w:val="16"/>
              </w:rPr>
              <w:t>Sub-second common dashboard queries</w:t>
            </w:r>
          </w:p>
        </w:tc>
      </w:tr>
      <w:tr>
        <w:tc>
          <w:tcPr>
            <w:tcW w:type="dxa" w:w="3408"/>
            <w:vAlign w:val="center"/>
          </w:tcPr>
          <w:p>
            <w:r/>
            <w:r>
              <w:rPr>
                <w:b w:val="0"/>
                <w:sz w:val="16"/>
              </w:rPr>
              <w:t>Spatial queries</w:t>
            </w:r>
          </w:p>
        </w:tc>
        <w:tc>
          <w:tcPr>
            <w:tcW w:type="dxa" w:w="3408"/>
            <w:vAlign w:val="center"/>
          </w:tcPr>
          <w:p>
            <w:r/>
            <w:r>
              <w:rPr>
                <w:b w:val="0"/>
                <w:sz w:val="16"/>
              </w:rPr>
              <w:t>PostGIS indexes / bounding-box filtering before expensive geometry work</w:t>
            </w:r>
          </w:p>
        </w:tc>
        <w:tc>
          <w:tcPr>
            <w:tcW w:type="dxa" w:w="3408"/>
            <w:vAlign w:val="center"/>
          </w:tcPr>
          <w:p>
            <w:r/>
            <w:r>
              <w:rPr>
                <w:b w:val="0"/>
                <w:sz w:val="16"/>
              </w:rPr>
              <w:t>Fast map interaction</w:t>
            </w:r>
          </w:p>
        </w:tc>
      </w:tr>
      <w:tr>
        <w:tc>
          <w:tcPr>
            <w:tcW w:type="dxa" w:w="3408"/>
            <w:vAlign w:val="center"/>
          </w:tcPr>
          <w:p>
            <w:r/>
            <w:r>
              <w:rPr>
                <w:b w:val="0"/>
                <w:sz w:val="16"/>
              </w:rPr>
              <w:t>Predictions</w:t>
            </w:r>
          </w:p>
        </w:tc>
        <w:tc>
          <w:tcPr>
            <w:tcW w:type="dxa" w:w="3408"/>
            <w:vAlign w:val="center"/>
          </w:tcPr>
          <w:p>
            <w:r/>
            <w:r>
              <w:rPr>
                <w:b w:val="0"/>
                <w:sz w:val="16"/>
              </w:rPr>
              <w:t>Precompute portfolio scores; on-demand score only when needed</w:t>
            </w:r>
          </w:p>
        </w:tc>
        <w:tc>
          <w:tcPr>
            <w:tcW w:type="dxa" w:w="3408"/>
            <w:vAlign w:val="center"/>
          </w:tcPr>
          <w:p>
            <w:r/>
            <w:r>
              <w:rPr>
                <w:b w:val="0"/>
                <w:sz w:val="16"/>
              </w:rPr>
              <w:t>No blocking model run during page load</w:t>
            </w:r>
          </w:p>
        </w:tc>
      </w:tr>
      <w:tr>
        <w:tc>
          <w:tcPr>
            <w:tcW w:type="dxa" w:w="3408"/>
            <w:vAlign w:val="center"/>
          </w:tcPr>
          <w:p>
            <w:r/>
            <w:r>
              <w:rPr>
                <w:b w:val="0"/>
                <w:sz w:val="16"/>
              </w:rPr>
              <w:t>Precedents</w:t>
            </w:r>
          </w:p>
        </w:tc>
        <w:tc>
          <w:tcPr>
            <w:tcW w:type="dxa" w:w="3408"/>
            <w:vAlign w:val="center"/>
          </w:tcPr>
          <w:p>
            <w:r/>
            <w:r>
              <w:rPr>
                <w:b w:val="0"/>
                <w:sz w:val="16"/>
              </w:rPr>
              <w:t>Vector/feature index + structured filters</w:t>
            </w:r>
          </w:p>
        </w:tc>
        <w:tc>
          <w:tcPr>
            <w:tcW w:type="dxa" w:w="3408"/>
            <w:vAlign w:val="center"/>
          </w:tcPr>
          <w:p>
            <w:r/>
            <w:r>
              <w:rPr>
                <w:b w:val="0"/>
                <w:sz w:val="16"/>
              </w:rPr>
              <w:t>Top comparable cases in near real time</w:t>
            </w:r>
          </w:p>
        </w:tc>
      </w:tr>
      <w:tr>
        <w:tc>
          <w:tcPr>
            <w:tcW w:type="dxa" w:w="3408"/>
            <w:vAlign w:val="center"/>
          </w:tcPr>
          <w:p>
            <w:r/>
            <w:r>
              <w:rPr>
                <w:b w:val="0"/>
                <w:sz w:val="16"/>
              </w:rPr>
              <w:t>Alerts</w:t>
            </w:r>
          </w:p>
        </w:tc>
        <w:tc>
          <w:tcPr>
            <w:tcW w:type="dxa" w:w="3408"/>
            <w:vAlign w:val="center"/>
          </w:tcPr>
          <w:p>
            <w:r/>
            <w:r>
              <w:rPr>
                <w:b w:val="0"/>
                <w:sz w:val="16"/>
              </w:rPr>
              <w:t>Async worker + event queue</w:t>
            </w:r>
          </w:p>
        </w:tc>
        <w:tc>
          <w:tcPr>
            <w:tcW w:type="dxa" w:w="3408"/>
            <w:vAlign w:val="center"/>
          </w:tcPr>
          <w:p>
            <w:r/>
            <w:r>
              <w:rPr>
                <w:b w:val="0"/>
                <w:sz w:val="16"/>
              </w:rPr>
              <w:t>UI never waits for notification work</w:t>
            </w:r>
          </w:p>
        </w:tc>
      </w:tr>
      <w:tr>
        <w:tc>
          <w:tcPr>
            <w:tcW w:type="dxa" w:w="3408"/>
            <w:vAlign w:val="center"/>
          </w:tcPr>
          <w:p>
            <w:r/>
            <w:r>
              <w:rPr>
                <w:b w:val="0"/>
                <w:sz w:val="16"/>
              </w:rPr>
              <w:t>Frontend</w:t>
            </w:r>
          </w:p>
        </w:tc>
        <w:tc>
          <w:tcPr>
            <w:tcW w:type="dxa" w:w="3408"/>
            <w:vAlign w:val="center"/>
          </w:tcPr>
          <w:p>
            <w:r/>
            <w:r>
              <w:rPr>
                <w:b w:val="0"/>
                <w:sz w:val="16"/>
              </w:rPr>
              <w:t>Query caching, pagination/virtualized tables, incremental rendering</w:t>
            </w:r>
          </w:p>
        </w:tc>
        <w:tc>
          <w:tcPr>
            <w:tcW w:type="dxa" w:w="3408"/>
            <w:vAlign w:val="center"/>
          </w:tcPr>
          <w:p>
            <w:r/>
            <w:r>
              <w:rPr>
                <w:b w:val="0"/>
                <w:sz w:val="16"/>
              </w:rPr>
              <w:t>Smooth large portfolios</w:t>
            </w:r>
          </w:p>
        </w:tc>
      </w:tr>
      <w:tr>
        <w:tc>
          <w:tcPr>
            <w:tcW w:type="dxa" w:w="3408"/>
            <w:vAlign w:val="center"/>
          </w:tcPr>
          <w:p>
            <w:r/>
            <w:r>
              <w:rPr>
                <w:b w:val="0"/>
                <w:sz w:val="16"/>
              </w:rPr>
              <w:t>Live updates</w:t>
            </w:r>
          </w:p>
        </w:tc>
        <w:tc>
          <w:tcPr>
            <w:tcW w:type="dxa" w:w="3408"/>
            <w:vAlign w:val="center"/>
          </w:tcPr>
          <w:p>
            <w:r/>
            <w:r>
              <w:rPr>
                <w:b w:val="0"/>
                <w:sz w:val="16"/>
              </w:rPr>
              <w:t>SSE/WebSocket for material events</w:t>
            </w:r>
          </w:p>
        </w:tc>
        <w:tc>
          <w:tcPr>
            <w:tcW w:type="dxa" w:w="3408"/>
            <w:vAlign w:val="center"/>
          </w:tcPr>
          <w:p>
            <w:r/>
            <w:r>
              <w:rPr>
                <w:b w:val="0"/>
                <w:sz w:val="16"/>
              </w:rPr>
              <w:t>Case updates without manual refresh</w:t>
            </w:r>
          </w:p>
        </w:tc>
      </w:tr>
      <w:tr>
        <w:tc>
          <w:tcPr>
            <w:tcW w:type="dxa" w:w="3408"/>
            <w:vAlign w:val="center"/>
          </w:tcPr>
          <w:p>
            <w:r/>
            <w:r>
              <w:rPr>
                <w:b w:val="0"/>
                <w:sz w:val="16"/>
              </w:rPr>
              <w:t>Data jobs</w:t>
            </w:r>
          </w:p>
        </w:tc>
        <w:tc>
          <w:tcPr>
            <w:tcW w:type="dxa" w:w="3408"/>
            <w:vAlign w:val="center"/>
          </w:tcPr>
          <w:p>
            <w:r/>
            <w:r>
              <w:rPr>
                <w:b w:val="0"/>
                <w:sz w:val="16"/>
              </w:rPr>
              <w:t>Incremental ETL keyed by updated_at / event watermark</w:t>
            </w:r>
          </w:p>
        </w:tc>
        <w:tc>
          <w:tcPr>
            <w:tcW w:type="dxa" w:w="3408"/>
            <w:vAlign w:val="center"/>
          </w:tcPr>
          <w:p>
            <w:r/>
            <w:r>
              <w:rPr>
                <w:b w:val="0"/>
                <w:sz w:val="16"/>
              </w:rPr>
              <w:t>Process only what changed</w:t>
            </w:r>
          </w:p>
        </w:tc>
      </w:tr>
      <w:tr>
        <w:tc>
          <w:tcPr>
            <w:tcW w:type="dxa" w:w="3408"/>
            <w:vAlign w:val="center"/>
          </w:tcPr>
          <w:p>
            <w:r/>
            <w:r>
              <w:rPr>
                <w:b w:val="0"/>
                <w:sz w:val="16"/>
              </w:rPr>
              <w:t>Audit</w:t>
            </w:r>
          </w:p>
        </w:tc>
        <w:tc>
          <w:tcPr>
            <w:tcW w:type="dxa" w:w="3408"/>
            <w:vAlign w:val="center"/>
          </w:tcPr>
          <w:p>
            <w:r/>
            <w:r>
              <w:rPr>
                <w:b w:val="0"/>
                <w:sz w:val="16"/>
              </w:rPr>
              <w:t>Append-only event log</w:t>
            </w:r>
          </w:p>
        </w:tc>
        <w:tc>
          <w:tcPr>
            <w:tcW w:type="dxa" w:w="3408"/>
            <w:vAlign w:val="center"/>
          </w:tcPr>
          <w:p>
            <w:r/>
            <w:r>
              <w:rPr>
                <w:b w:val="0"/>
                <w:sz w:val="16"/>
              </w:rPr>
              <w:t>Reliable trace without slowing read paths</w:t>
            </w:r>
          </w:p>
        </w:tc>
      </w:tr>
    </w:tbl>
    <w:p/>
    <w:p>
      <w:pPr>
        <w:pStyle w:val="Heading1"/>
      </w:pPr>
      <w:r>
        <w:t>12. Production Architecture — Keep It Simple Enough to Ship</w:t>
      </w:r>
    </w:p>
    <w:p>
      <w:pPr>
        <w:pStyle w:val="ListBullet"/>
        <w:spacing w:after="40"/>
      </w:pPr>
      <w:r>
        <w:t>Frontend: React + TypeScript + componentized operational dashboard.</w:t>
      </w:r>
    </w:p>
    <w:p>
      <w:pPr>
        <w:pStyle w:val="ListBullet"/>
        <w:spacing w:after="40"/>
      </w:pPr>
      <w:r>
        <w:t>API: FastAPI with clear read/write boundaries.</w:t>
      </w:r>
    </w:p>
    <w:p>
      <w:pPr>
        <w:pStyle w:val="ListBullet"/>
        <w:spacing w:after="40"/>
      </w:pPr>
      <w:r>
        <w:t>Database: PostgreSQL + PostGIS as the system of record for LUME’s normalized intelligence layer.</w:t>
      </w:r>
    </w:p>
    <w:p>
      <w:pPr>
        <w:pStyle w:val="ListBullet"/>
        <w:spacing w:after="40"/>
      </w:pPr>
      <w:r>
        <w:t>ETL: Python/Pandas adapters for CSV/API/file ingestion with validation contracts.</w:t>
      </w:r>
    </w:p>
    <w:p>
      <w:pPr>
        <w:pStyle w:val="ListBullet"/>
        <w:spacing w:after="40"/>
      </w:pPr>
      <w:r>
        <w:t>Workers: lightweight background queue for ETL, scoring, precedent retrieval, alerts and review-packet generation.</w:t>
      </w:r>
    </w:p>
    <w:p>
      <w:pPr>
        <w:pStyle w:val="ListBullet"/>
        <w:spacing w:after="40"/>
      </w:pPr>
      <w:r>
        <w:t>ML service: versioned model + calibration + feature snapshot ID.</w:t>
      </w:r>
    </w:p>
    <w:p>
      <w:pPr>
        <w:pStyle w:val="ListBullet"/>
        <w:spacing w:after="40"/>
      </w:pPr>
      <w:r>
        <w:t>Cache: short-lived response/query caching for high-read portfolio views.</w:t>
      </w:r>
    </w:p>
    <w:p>
      <w:pPr>
        <w:pStyle w:val="ListBullet"/>
        <w:spacing w:after="40"/>
      </w:pPr>
      <w:r>
        <w:t>Observability: structured logs, health endpoints, latency, data freshness and model metrics.</w:t>
      </w:r>
    </w:p>
    <w:p>
      <w:pPr>
        <w:pStyle w:val="ListBullet"/>
        <w:spacing w:after="40"/>
      </w:pPr>
      <w:r>
        <w:t>Deployment: Docker Compose for SIH; container boundary preserved for government-controlled cloud or on-prem deployment.</w:t>
      </w:r>
    </w:p>
    <w:p>
      <w:pPr>
        <w:pStyle w:val="Heading1"/>
      </w:pPr>
      <w:r>
        <w:t>13. Real-Data Demo Mode: How to Impress SIH Judges</w:t>
      </w:r>
    </w:p>
    <w:p>
      <w:r>
        <w:t>The strongest demo is not “we have fake records that look realistic.” It is “we have a reproducible data pipeline and can show exactly how a record becomes intelligence.”</w:t>
      </w:r>
    </w:p>
    <w:p>
      <w:pPr>
        <w:pStyle w:val="ListBullet"/>
        <w:spacing w:after="40"/>
      </w:pPr>
      <w:r>
        <w:t>Step A — Load the SIH dataset into the canonical schema.</w:t>
      </w:r>
    </w:p>
    <w:p>
      <w:pPr>
        <w:pStyle w:val="ListBullet"/>
        <w:spacing w:after="40"/>
      </w:pPr>
      <w:r>
        <w:t>Step B — Show a Data Health screen: row counts, missing fields, freshness, route coverage and label coverage.</w:t>
      </w:r>
    </w:p>
    <w:p>
      <w:pPr>
        <w:pStyle w:val="ListBullet"/>
        <w:spacing w:after="40"/>
      </w:pPr>
      <w:r>
        <w:t>Step C — Select a historical project and replay its timeline as it existed on an earlier date.</w:t>
      </w:r>
    </w:p>
    <w:p>
      <w:pPr>
        <w:pStyle w:val="ListBullet"/>
        <w:spacing w:after="40"/>
      </w:pPr>
      <w:r>
        <w:t>Step D — Inject one new event: an unresolved dependency, late milestone or status change.</w:t>
      </w:r>
    </w:p>
    <w:p>
      <w:pPr>
        <w:pStyle w:val="ListBullet"/>
        <w:spacing w:after="40"/>
      </w:pPr>
      <w:r>
        <w:t>Step E — Show the prediction changing and explain exactly which evidence moved it.</w:t>
      </w:r>
    </w:p>
    <w:p>
      <w:pPr>
        <w:pStyle w:val="ListBullet"/>
        <w:spacing w:after="40"/>
      </w:pPr>
      <w:r>
        <w:t>Step F — Open three precedents and show what happened in those cases.</w:t>
      </w:r>
    </w:p>
    <w:p>
      <w:pPr>
        <w:pStyle w:val="ListBullet"/>
        <w:spacing w:after="40"/>
      </w:pPr>
      <w:r>
        <w:t>Step G — Run a supported scenario.</w:t>
      </w:r>
    </w:p>
    <w:p>
      <w:pPr>
        <w:pStyle w:val="ListBullet"/>
        <w:spacing w:after="40"/>
      </w:pPr>
      <w:r>
        <w:t>Step H — Convert the insight into an action, owner and due date.</w:t>
      </w:r>
    </w:p>
    <w:p>
      <w:pPr>
        <w:pStyle w:val="ListBullet"/>
        <w:spacing w:after="40"/>
      </w:pPr>
      <w:r>
        <w:t>Step I — Advance the case to an outcome and show it entering institutional memory.</w:t>
      </w:r>
    </w:p>
    <w:tbl>
      <w:tblPr>
        <w:tblStyle w:val="TableGrid"/>
        <w:tblW w:type="auto" w:w="0"/>
        <w:tblLook w:firstColumn="1" w:firstRow="1" w:lastColumn="0" w:lastRow="0" w:noHBand="0" w:noVBand="1" w:val="04A0"/>
      </w:tblPr>
      <w:tblGrid>
        <w:gridCol w:w="10224"/>
      </w:tblGrid>
      <w:tr>
        <w:tc>
          <w:tcPr>
            <w:tcW w:type="dxa" w:w="10224"/>
            <w:shd w:fill="EEF6FA"/>
          </w:tcPr>
          <w:p>
            <w:r>
              <w:rPr>
                <w:b/>
                <w:color w:val="133754"/>
                <w:sz w:val="21"/>
              </w:rPr>
              <w:t>Judge moment</w:t>
              <w:br/>
            </w:r>
            <w:r>
              <w:rPr>
                <w:sz w:val="18"/>
              </w:rPr>
              <w:t>The most convincing interaction is “Replay”. Pick one case, move the system clock backward, show what LUME would have known then, make the prediction, and finally reveal what actually happened. That demonstrates point-in-time integrity, warning lead time and real intelligence in one interaction.</w:t>
            </w:r>
          </w:p>
        </w:tc>
      </w:tr>
    </w:tbl>
    <w:p/>
    <w:p>
      <w:pPr>
        <w:pStyle w:val="Heading1"/>
      </w:pPr>
      <w:r>
        <w:t>14. Funding &amp; Adoption Upgrade</w:t>
      </w:r>
    </w:p>
    <w:p>
      <w:r>
        <w:t>The business story becomes much stronger when LUME is sold as measurable operational capacity rather than “AI software.”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4"/>
          </w:tcPr>
          <w:p>
            <w:r/>
            <w:r>
              <w:rPr>
                <w:b/>
                <w:sz w:val="17"/>
              </w:rPr>
              <w:t>Customer</w:t>
            </w:r>
          </w:p>
        </w:tc>
        <w:tc>
          <w:tcPr>
            <w:tcW w:type="dxa" w:w="3408"/>
            <w:vAlign w:val="center"/>
            <w:shd w:fill="D9EAF4"/>
          </w:tcPr>
          <w:p>
            <w:r/>
            <w:r>
              <w:rPr>
                <w:b/>
                <w:sz w:val="17"/>
              </w:rPr>
              <w:t>Pain LUME addresses</w:t>
            </w:r>
          </w:p>
        </w:tc>
        <w:tc>
          <w:tcPr>
            <w:tcW w:type="dxa" w:w="3408"/>
            <w:vAlign w:val="center"/>
            <w:shd w:fill="D9EAF4"/>
          </w:tcPr>
          <w:p>
            <w:r/>
            <w:r>
              <w:rPr>
                <w:b/>
                <w:sz w:val="17"/>
              </w:rPr>
              <w:t>Offer</w:t>
            </w:r>
          </w:p>
        </w:tc>
      </w:tr>
      <w:tr>
        <w:tc>
          <w:tcPr>
            <w:tcW w:type="dxa" w:w="3408"/>
            <w:vAlign w:val="center"/>
          </w:tcPr>
          <w:p>
            <w:r/>
            <w:r>
              <w:rPr>
                <w:b w:val="0"/>
                <w:sz w:val="16"/>
              </w:rPr>
              <w:t>Government department / state agency</w:t>
            </w:r>
          </w:p>
        </w:tc>
        <w:tc>
          <w:tcPr>
            <w:tcW w:type="dxa" w:w="3408"/>
            <w:vAlign w:val="center"/>
          </w:tcPr>
          <w:p>
            <w:r/>
            <w:r>
              <w:rPr>
                <w:b w:val="0"/>
                <w:sz w:val="16"/>
              </w:rPr>
              <w:t>Large case queues, fragmented signals, reactive reviews</w:t>
            </w:r>
          </w:p>
        </w:tc>
        <w:tc>
          <w:tcPr>
            <w:tcW w:type="dxa" w:w="3408"/>
            <w:vAlign w:val="center"/>
          </w:tcPr>
          <w:p>
            <w:r/>
            <w:r>
              <w:rPr>
                <w:b w:val="0"/>
                <w:sz w:val="16"/>
              </w:rPr>
              <w:t>Pilot + annual platform + integration/support</w:t>
            </w:r>
          </w:p>
        </w:tc>
      </w:tr>
      <w:tr>
        <w:tc>
          <w:tcPr>
            <w:tcW w:type="dxa" w:w="3408"/>
            <w:vAlign w:val="center"/>
          </w:tcPr>
          <w:p>
            <w:r/>
            <w:r>
              <w:rPr>
                <w:b w:val="0"/>
                <w:sz w:val="16"/>
              </w:rPr>
              <w:t>Infrastructure program / PMU</w:t>
            </w:r>
          </w:p>
        </w:tc>
        <w:tc>
          <w:tcPr>
            <w:tcW w:type="dxa" w:w="3408"/>
            <w:vAlign w:val="center"/>
          </w:tcPr>
          <w:p>
            <w:r/>
            <w:r>
              <w:rPr>
                <w:b w:val="0"/>
                <w:sz w:val="16"/>
              </w:rPr>
              <w:t>Land acquisition is a dependency on project completion</w:t>
            </w:r>
          </w:p>
        </w:tc>
        <w:tc>
          <w:tcPr>
            <w:tcW w:type="dxa" w:w="3408"/>
            <w:vAlign w:val="center"/>
          </w:tcPr>
          <w:p>
            <w:r/>
            <w:r>
              <w:rPr>
                <w:b w:val="0"/>
                <w:sz w:val="16"/>
              </w:rPr>
              <w:t>Portfolio readiness intelligence</w:t>
            </w:r>
          </w:p>
        </w:tc>
      </w:tr>
      <w:tr>
        <w:tc>
          <w:tcPr>
            <w:tcW w:type="dxa" w:w="3408"/>
            <w:vAlign w:val="center"/>
          </w:tcPr>
          <w:p>
            <w:r/>
            <w:r>
              <w:rPr>
                <w:b w:val="0"/>
                <w:sz w:val="16"/>
              </w:rPr>
              <w:t>Infrastructure company / EPC / concessionaire</w:t>
            </w:r>
          </w:p>
        </w:tc>
        <w:tc>
          <w:tcPr>
            <w:tcW w:type="dxa" w:w="3408"/>
            <w:vAlign w:val="center"/>
          </w:tcPr>
          <w:p>
            <w:r/>
            <w:r>
              <w:rPr>
                <w:b w:val="0"/>
                <w:sz w:val="16"/>
              </w:rPr>
              <w:t>Need visibility into acquisition-related schedule exposure across projects</w:t>
            </w:r>
          </w:p>
        </w:tc>
        <w:tc>
          <w:tcPr>
            <w:tcW w:type="dxa" w:w="3408"/>
            <w:vAlign w:val="center"/>
          </w:tcPr>
          <w:p>
            <w:r/>
            <w:r>
              <w:rPr>
                <w:b w:val="0"/>
                <w:sz w:val="16"/>
              </w:rPr>
              <w:t>Permissioned project-readiness workspace</w:t>
            </w:r>
          </w:p>
        </w:tc>
      </w:tr>
      <w:tr>
        <w:tc>
          <w:tcPr>
            <w:tcW w:type="dxa" w:w="3408"/>
            <w:vAlign w:val="center"/>
          </w:tcPr>
          <w:p>
            <w:r/>
            <w:r>
              <w:rPr>
                <w:b w:val="0"/>
                <w:sz w:val="16"/>
              </w:rPr>
              <w:t>Cooperative / development organization</w:t>
            </w:r>
          </w:p>
        </w:tc>
        <w:tc>
          <w:tcPr>
            <w:tcW w:type="dxa" w:w="3408"/>
            <w:vAlign w:val="center"/>
          </w:tcPr>
          <w:p>
            <w:r/>
            <w:r>
              <w:rPr>
                <w:b w:val="0"/>
                <w:sz w:val="16"/>
              </w:rPr>
              <w:t>Many parcels/cases, limited operational bandwidth</w:t>
            </w:r>
          </w:p>
        </w:tc>
        <w:tc>
          <w:tcPr>
            <w:tcW w:type="dxa" w:w="3408"/>
            <w:vAlign w:val="center"/>
          </w:tcPr>
          <w:p>
            <w:r/>
            <w:r>
              <w:rPr>
                <w:b w:val="0"/>
                <w:sz w:val="16"/>
              </w:rPr>
              <w:t>Workflow intelligence + exception triage</w:t>
            </w:r>
          </w:p>
        </w:tc>
      </w:tr>
      <w:tr>
        <w:tc>
          <w:tcPr>
            <w:tcW w:type="dxa" w:w="3408"/>
            <w:vAlign w:val="center"/>
          </w:tcPr>
          <w:p>
            <w:r/>
            <w:r>
              <w:rPr>
                <w:b w:val="0"/>
                <w:sz w:val="16"/>
              </w:rPr>
              <w:t>Implementation / system integrator</w:t>
            </w:r>
          </w:p>
        </w:tc>
        <w:tc>
          <w:tcPr>
            <w:tcW w:type="dxa" w:w="3408"/>
            <w:vAlign w:val="center"/>
          </w:tcPr>
          <w:p>
            <w:r/>
            <w:r>
              <w:rPr>
                <w:b w:val="0"/>
                <w:sz w:val="16"/>
              </w:rPr>
              <w:t>Need a reusable intelligence layer above existing systems</w:t>
            </w:r>
          </w:p>
        </w:tc>
        <w:tc>
          <w:tcPr>
            <w:tcW w:type="dxa" w:w="3408"/>
            <w:vAlign w:val="center"/>
          </w:tcPr>
          <w:p>
            <w:r/>
            <w:r>
              <w:rPr>
                <w:b w:val="0"/>
                <w:sz w:val="16"/>
              </w:rPr>
              <w:t>Integration + deployment partnership</w:t>
            </w:r>
          </w:p>
        </w:tc>
      </w:tr>
    </w:tbl>
    <w:p/>
    <w:p>
      <w:r>
        <w:t>Recommended commercial ladder: paid proof-of-value → annual platform licence → connector/integration revenue → advanced analytics → multi-program / federated deployment. Pricing should be determined bottom-up from pilot scope and verified customer economics rather than an invented market-size figure.</w:t>
      </w:r>
    </w:p>
    <w:p>
      <w:pPr>
        <w:pStyle w:val="Heading1"/>
      </w:pPr>
      <w:r>
        <w:t>15. The Stronger Moat</w:t>
      </w:r>
    </w:p>
    <w:p>
      <w:pPr>
        <w:pStyle w:val="ListBullet"/>
        <w:spacing w:after="40"/>
      </w:pPr>
      <w:r>
        <w:t>Permissioned longitudinal project-stage-event-outcome history.</w:t>
      </w:r>
    </w:p>
    <w:p>
      <w:pPr>
        <w:pStyle w:val="ListBullet"/>
        <w:spacing w:after="40"/>
      </w:pPr>
      <w:r>
        <w:t>Validated point-in-time snapshots that make model results reproducible.</w:t>
      </w:r>
    </w:p>
    <w:p>
      <w:pPr>
        <w:pStyle w:val="ListBullet"/>
        <w:spacing w:after="40"/>
      </w:pPr>
      <w:r>
        <w:t>Evidence mappings that explain not only model output but source reliability.</w:t>
      </w:r>
    </w:p>
    <w:p>
      <w:pPr>
        <w:pStyle w:val="ListBullet"/>
        <w:spacing w:after="40"/>
      </w:pPr>
      <w:r>
        <w:t>Institutional precedent library linked to actual outcomes and interventions.</w:t>
      </w:r>
    </w:p>
    <w:p>
      <w:pPr>
        <w:pStyle w:val="ListBullet"/>
        <w:spacing w:after="40"/>
      </w:pPr>
      <w:r>
        <w:t>Integration adapters and route-aware process taxonomies.</w:t>
      </w:r>
    </w:p>
    <w:p>
      <w:pPr>
        <w:pStyle w:val="ListBullet"/>
        <w:spacing w:after="40"/>
      </w:pPr>
      <w:r>
        <w:t>Workflow embedding: the system remembers reviews, actions and outcomes instead of starting from zero each time.</w:t>
      </w:r>
    </w:p>
    <w:p>
      <w:pPr>
        <w:pStyle w:val="Heading1"/>
      </w:pPr>
      <w:r>
        <w:t>16. Funding-Grade KPIs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4"/>
          </w:tcPr>
          <w:p>
            <w:r/>
            <w:r>
              <w:rPr>
                <w:b/>
                <w:sz w:val="17"/>
              </w:rPr>
              <w:t>Outcome</w:t>
            </w:r>
          </w:p>
        </w:tc>
        <w:tc>
          <w:tcPr>
            <w:tcW w:type="dxa" w:w="3408"/>
            <w:vAlign w:val="center"/>
            <w:shd w:fill="D9EAF4"/>
          </w:tcPr>
          <w:p>
            <w:r/>
            <w:r>
              <w:rPr>
                <w:b/>
                <w:sz w:val="17"/>
              </w:rPr>
              <w:t>Metric</w:t>
            </w:r>
          </w:p>
        </w:tc>
        <w:tc>
          <w:tcPr>
            <w:tcW w:type="dxa" w:w="3408"/>
            <w:vAlign w:val="center"/>
            <w:shd w:fill="D9EAF4"/>
          </w:tcPr>
          <w:p>
            <w:r/>
            <w:r>
              <w:rPr>
                <w:b/>
                <w:sz w:val="17"/>
              </w:rPr>
              <w:t>Why a buyer should care</w:t>
            </w:r>
          </w:p>
        </w:tc>
      </w:tr>
      <w:tr>
        <w:tc>
          <w:tcPr>
            <w:tcW w:type="dxa" w:w="3408"/>
            <w:vAlign w:val="center"/>
          </w:tcPr>
          <w:p>
            <w:r/>
            <w:r>
              <w:rPr>
                <w:b w:val="0"/>
                <w:sz w:val="16"/>
              </w:rPr>
              <w:t>Earlier warning</w:t>
            </w:r>
          </w:p>
        </w:tc>
        <w:tc>
          <w:tcPr>
            <w:tcW w:type="dxa" w:w="3408"/>
            <w:vAlign w:val="center"/>
          </w:tcPr>
          <w:p>
            <w:r/>
            <w:r>
              <w:rPr>
                <w:b w:val="0"/>
                <w:sz w:val="16"/>
              </w:rPr>
              <w:t>Median warning lead time</w:t>
            </w:r>
          </w:p>
        </w:tc>
        <w:tc>
          <w:tcPr>
            <w:tcW w:type="dxa" w:w="3408"/>
            <w:vAlign w:val="center"/>
          </w:tcPr>
          <w:p>
            <w:r/>
            <w:r>
              <w:rPr>
                <w:b w:val="0"/>
                <w:sz w:val="16"/>
              </w:rPr>
              <w:t>More time to investigate a bottleneck</w:t>
            </w:r>
          </w:p>
        </w:tc>
      </w:tr>
      <w:tr>
        <w:tc>
          <w:tcPr>
            <w:tcW w:type="dxa" w:w="3408"/>
            <w:vAlign w:val="center"/>
          </w:tcPr>
          <w:p>
            <w:r/>
            <w:r>
              <w:rPr>
                <w:b w:val="0"/>
                <w:sz w:val="16"/>
              </w:rPr>
              <w:t>Better triage</w:t>
            </w:r>
          </w:p>
        </w:tc>
        <w:tc>
          <w:tcPr>
            <w:tcW w:type="dxa" w:w="3408"/>
            <w:vAlign w:val="center"/>
          </w:tcPr>
          <w:p>
            <w:r/>
            <w:r>
              <w:rPr>
                <w:b w:val="0"/>
                <w:sz w:val="16"/>
              </w:rPr>
              <w:t>Precision@K / Recall@K</w:t>
            </w:r>
          </w:p>
        </w:tc>
        <w:tc>
          <w:tcPr>
            <w:tcW w:type="dxa" w:w="3408"/>
            <w:vAlign w:val="center"/>
          </w:tcPr>
          <w:p>
            <w:r/>
            <w:r>
              <w:rPr>
                <w:b w:val="0"/>
                <w:sz w:val="16"/>
              </w:rPr>
              <w:t>Officer attention goes to the right cases</w:t>
            </w:r>
          </w:p>
        </w:tc>
      </w:tr>
      <w:tr>
        <w:tc>
          <w:tcPr>
            <w:tcW w:type="dxa" w:w="3408"/>
            <w:vAlign w:val="center"/>
          </w:tcPr>
          <w:p>
            <w:r/>
            <w:r>
              <w:rPr>
                <w:b w:val="0"/>
                <w:sz w:val="16"/>
              </w:rPr>
              <w:t>Faster review</w:t>
            </w:r>
          </w:p>
        </w:tc>
        <w:tc>
          <w:tcPr>
            <w:tcW w:type="dxa" w:w="3408"/>
            <w:vAlign w:val="center"/>
          </w:tcPr>
          <w:p>
            <w:r/>
            <w:r>
              <w:rPr>
                <w:b w:val="0"/>
                <w:sz w:val="16"/>
              </w:rPr>
              <w:t>Median review time per case</w:t>
            </w:r>
          </w:p>
        </w:tc>
        <w:tc>
          <w:tcPr>
            <w:tcW w:type="dxa" w:w="3408"/>
            <w:vAlign w:val="center"/>
          </w:tcPr>
          <w:p>
            <w:r/>
            <w:r>
              <w:rPr>
                <w:b w:val="0"/>
                <w:sz w:val="16"/>
              </w:rPr>
              <w:t>Direct productivity value</w:t>
            </w:r>
          </w:p>
        </w:tc>
      </w:tr>
      <w:tr>
        <w:tc>
          <w:tcPr>
            <w:tcW w:type="dxa" w:w="3408"/>
            <w:vAlign w:val="center"/>
          </w:tcPr>
          <w:p>
            <w:r/>
            <w:r>
              <w:rPr>
                <w:b w:val="0"/>
                <w:sz w:val="16"/>
              </w:rPr>
              <w:t>Action conversion</w:t>
            </w:r>
          </w:p>
        </w:tc>
        <w:tc>
          <w:tcPr>
            <w:tcW w:type="dxa" w:w="3408"/>
            <w:vAlign w:val="center"/>
          </w:tcPr>
          <w:p>
            <w:r/>
            <w:r>
              <w:rPr>
                <w:b w:val="0"/>
                <w:sz w:val="16"/>
              </w:rPr>
              <w:t>% risk alerts producing a recorded follow-up</w:t>
            </w:r>
          </w:p>
        </w:tc>
        <w:tc>
          <w:tcPr>
            <w:tcW w:type="dxa" w:w="3408"/>
            <w:vAlign w:val="center"/>
          </w:tcPr>
          <w:p>
            <w:r/>
            <w:r>
              <w:rPr>
                <w:b w:val="0"/>
                <w:sz w:val="16"/>
              </w:rPr>
              <w:t>Shows operational adoption</w:t>
            </w:r>
          </w:p>
        </w:tc>
      </w:tr>
      <w:tr>
        <w:tc>
          <w:tcPr>
            <w:tcW w:type="dxa" w:w="3408"/>
            <w:vAlign w:val="center"/>
          </w:tcPr>
          <w:p>
            <w:r/>
            <w:r>
              <w:rPr>
                <w:b w:val="0"/>
                <w:sz w:val="16"/>
              </w:rPr>
              <w:t>Resolution</w:t>
            </w:r>
          </w:p>
        </w:tc>
        <w:tc>
          <w:tcPr>
            <w:tcW w:type="dxa" w:w="3408"/>
            <w:vAlign w:val="center"/>
          </w:tcPr>
          <w:p>
            <w:r/>
            <w:r>
              <w:rPr>
                <w:b w:val="0"/>
                <w:sz w:val="16"/>
              </w:rPr>
              <w:t>Time from bottleneck detection to resolution</w:t>
            </w:r>
          </w:p>
        </w:tc>
        <w:tc>
          <w:tcPr>
            <w:tcW w:type="dxa" w:w="3408"/>
            <w:vAlign w:val="center"/>
          </w:tcPr>
          <w:p>
            <w:r/>
            <w:r>
              <w:rPr>
                <w:b w:val="0"/>
                <w:sz w:val="16"/>
              </w:rPr>
              <w:t>Connects intelligence to outcome</w:t>
            </w:r>
          </w:p>
        </w:tc>
      </w:tr>
      <w:tr>
        <w:tc>
          <w:tcPr>
            <w:tcW w:type="dxa" w:w="3408"/>
            <w:vAlign w:val="center"/>
          </w:tcPr>
          <w:p>
            <w:r/>
            <w:r>
              <w:rPr>
                <w:b w:val="0"/>
                <w:sz w:val="16"/>
              </w:rPr>
              <w:t>Trust</w:t>
            </w:r>
          </w:p>
        </w:tc>
        <w:tc>
          <w:tcPr>
            <w:tcW w:type="dxa" w:w="3408"/>
            <w:vAlign w:val="center"/>
          </w:tcPr>
          <w:p>
            <w:r/>
            <w:r>
              <w:rPr>
                <w:b w:val="0"/>
                <w:sz w:val="16"/>
              </w:rPr>
              <w:t>% predictions with healthy evidence / supported coverage</w:t>
            </w:r>
          </w:p>
        </w:tc>
        <w:tc>
          <w:tcPr>
            <w:tcW w:type="dxa" w:w="3408"/>
            <w:vAlign w:val="center"/>
          </w:tcPr>
          <w:p>
            <w:r/>
            <w:r>
              <w:rPr>
                <w:b w:val="0"/>
                <w:sz w:val="16"/>
              </w:rPr>
              <w:t>Shows reliability</w:t>
            </w:r>
          </w:p>
        </w:tc>
      </w:tr>
      <w:tr>
        <w:tc>
          <w:tcPr>
            <w:tcW w:type="dxa" w:w="3408"/>
            <w:vAlign w:val="center"/>
          </w:tcPr>
          <w:p>
            <w:r/>
            <w:r>
              <w:rPr>
                <w:b w:val="0"/>
                <w:sz w:val="16"/>
              </w:rPr>
              <w:t>Learning</w:t>
            </w:r>
          </w:p>
        </w:tc>
        <w:tc>
          <w:tcPr>
            <w:tcW w:type="dxa" w:w="3408"/>
            <w:vAlign w:val="center"/>
          </w:tcPr>
          <w:p>
            <w:r/>
            <w:r>
              <w:rPr>
                <w:b w:val="0"/>
                <w:sz w:val="16"/>
              </w:rPr>
              <w:t>% completed cases with validated outcomes</w:t>
            </w:r>
          </w:p>
        </w:tc>
        <w:tc>
          <w:tcPr>
            <w:tcW w:type="dxa" w:w="3408"/>
            <w:vAlign w:val="center"/>
          </w:tcPr>
          <w:p>
            <w:r/>
            <w:r>
              <w:rPr>
                <w:b w:val="0"/>
                <w:sz w:val="16"/>
              </w:rPr>
              <w:t>Builds long-term data asset</w:t>
            </w:r>
          </w:p>
        </w:tc>
      </w:tr>
    </w:tbl>
    <w:p/>
    <w:p>
      <w:pPr>
        <w:pStyle w:val="Heading1"/>
      </w:pPr>
      <w:r>
        <w:t>17. What NOT to Add for SIH</w:t>
      </w:r>
    </w:p>
    <w:p>
      <w:pPr>
        <w:pStyle w:val="ListBullet"/>
        <w:spacing w:after="40"/>
      </w:pPr>
      <w:r>
        <w:t>Do not build a second land-record portal.</w:t>
      </w:r>
    </w:p>
    <w:p>
      <w:pPr>
        <w:pStyle w:val="ListBullet"/>
        <w:spacing w:after="40"/>
      </w:pPr>
      <w:r>
        <w:t>Do not promise automatic legal decisions or compensation calculations.</w:t>
      </w:r>
    </w:p>
    <w:p>
      <w:pPr>
        <w:pStyle w:val="ListBullet"/>
        <w:spacing w:after="40"/>
      </w:pPr>
      <w:r>
        <w:t>Do not add a chatbot just because “AI assistant” sounds modern.</w:t>
      </w:r>
    </w:p>
    <w:p>
      <w:pPr>
        <w:pStyle w:val="ListBullet"/>
        <w:spacing w:after="40"/>
      </w:pPr>
      <w:r>
        <w:t>Do not require deep learning when tabular models are enough.</w:t>
      </w:r>
    </w:p>
    <w:p>
      <w:pPr>
        <w:pStyle w:val="ListBullet"/>
        <w:spacing w:after="40"/>
      </w:pPr>
      <w:r>
        <w:t>Do not scrape restricted/private systems or pretend public pages are production APIs.</w:t>
      </w:r>
    </w:p>
    <w:p>
      <w:pPr>
        <w:pStyle w:val="ListBullet"/>
        <w:spacing w:after="40"/>
      </w:pPr>
      <w:r>
        <w:t>Do not expose speculative citizen-level risk labels.</w:t>
      </w:r>
    </w:p>
    <w:p>
      <w:pPr>
        <w:pStyle w:val="ListBullet"/>
        <w:spacing w:after="40"/>
      </w:pPr>
      <w:r>
        <w:t>Do not overload the UI with 20 charts; prioritize action over analytics theatre.</w:t>
      </w:r>
    </w:p>
    <w:p>
      <w:pPr>
        <w:pStyle w:val="Heading1"/>
      </w:pPr>
      <w:r>
        <w:t>18. Revised Build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4"/>
          </w:tcPr>
          <w:p>
            <w:r/>
            <w:r>
              <w:rPr>
                <w:b/>
                <w:sz w:val="17"/>
              </w:rPr>
              <w:t>Phase</w:t>
            </w:r>
          </w:p>
        </w:tc>
        <w:tc>
          <w:tcPr>
            <w:tcW w:type="dxa" w:w="3408"/>
            <w:vAlign w:val="center"/>
            <w:shd w:fill="D9EAF4"/>
          </w:tcPr>
          <w:p>
            <w:r/>
            <w:r>
              <w:rPr>
                <w:b/>
                <w:sz w:val="17"/>
              </w:rPr>
              <w:t>Build</w:t>
            </w:r>
          </w:p>
        </w:tc>
        <w:tc>
          <w:tcPr>
            <w:tcW w:type="dxa" w:w="3408"/>
            <w:vAlign w:val="center"/>
            <w:shd w:fill="D9EAF4"/>
          </w:tcPr>
          <w:p>
            <w:r/>
            <w:r>
              <w:rPr>
                <w:b/>
                <w:sz w:val="17"/>
              </w:rPr>
              <w:t>Exit criterion</w:t>
            </w:r>
          </w:p>
        </w:tc>
      </w:tr>
      <w:tr>
        <w:tc>
          <w:tcPr>
            <w:tcW w:type="dxa" w:w="3408"/>
            <w:vAlign w:val="center"/>
          </w:tcPr>
          <w:p>
            <w:r/>
            <w:r>
              <w:rPr>
                <w:b w:val="0"/>
                <w:sz w:val="16"/>
              </w:rPr>
              <w:t>SIH Core</w:t>
            </w:r>
          </w:p>
        </w:tc>
        <w:tc>
          <w:tcPr>
            <w:tcW w:type="dxa" w:w="3408"/>
            <w:vAlign w:val="center"/>
          </w:tcPr>
          <w:p>
            <w:r/>
            <w:r>
              <w:rPr>
                <w:b w:val="0"/>
                <w:sz w:val="16"/>
              </w:rPr>
              <w:t>SIH dataset + canonical schema + action queue + case pulse + prediction + evidence + precedents + scenario + GIS + audit</w:t>
            </w:r>
          </w:p>
        </w:tc>
        <w:tc>
          <w:tcPr>
            <w:tcW w:type="dxa" w:w="3408"/>
            <w:vAlign w:val="center"/>
          </w:tcPr>
          <w:p>
            <w:r/>
            <w:r>
              <w:rPr>
                <w:b w:val="0"/>
                <w:sz w:val="16"/>
              </w:rPr>
              <w:t>7-minute end-to-end demo works</w:t>
            </w:r>
          </w:p>
        </w:tc>
      </w:tr>
      <w:tr>
        <w:tc>
          <w:tcPr>
            <w:tcW w:type="dxa" w:w="3408"/>
            <w:vAlign w:val="center"/>
          </w:tcPr>
          <w:p>
            <w:r/>
            <w:r>
              <w:rPr>
                <w:b w:val="0"/>
                <w:sz w:val="16"/>
              </w:rPr>
              <w:t>SIH Real-Data Layer</w:t>
            </w:r>
          </w:p>
        </w:tc>
        <w:tc>
          <w:tcPr>
            <w:tcW w:type="dxa" w:w="3408"/>
            <w:vAlign w:val="center"/>
          </w:tcPr>
          <w:p>
            <w:r/>
            <w:r>
              <w:rPr>
                <w:b w:val="0"/>
                <w:sz w:val="16"/>
              </w:rPr>
              <w:t>Data Passport + ingestion replay + freshness/conflict screens + event-driven refresh</w:t>
            </w:r>
          </w:p>
        </w:tc>
        <w:tc>
          <w:tcPr>
            <w:tcW w:type="dxa" w:w="3408"/>
            <w:vAlign w:val="center"/>
          </w:tcPr>
          <w:p>
            <w:r/>
            <w:r>
              <w:rPr>
                <w:b w:val="0"/>
                <w:sz w:val="16"/>
              </w:rPr>
              <w:t>Judge can see data becoming intelligence</w:t>
            </w:r>
          </w:p>
        </w:tc>
      </w:tr>
      <w:tr>
        <w:tc>
          <w:tcPr>
            <w:tcW w:type="dxa" w:w="3408"/>
            <w:vAlign w:val="center"/>
          </w:tcPr>
          <w:p>
            <w:r/>
            <w:r>
              <w:rPr>
                <w:b w:val="0"/>
                <w:sz w:val="16"/>
              </w:rPr>
              <w:t>Pilot 1</w:t>
            </w:r>
          </w:p>
        </w:tc>
        <w:tc>
          <w:tcPr>
            <w:tcW w:type="dxa" w:w="3408"/>
            <w:vAlign w:val="center"/>
          </w:tcPr>
          <w:p>
            <w:r/>
            <w:r>
              <w:rPr>
                <w:b w:val="0"/>
                <w:sz w:val="16"/>
              </w:rPr>
              <w:t>One approved program + one or two authorized connectors</w:t>
            </w:r>
          </w:p>
        </w:tc>
        <w:tc>
          <w:tcPr>
            <w:tcW w:type="dxa" w:w="3408"/>
            <w:vAlign w:val="center"/>
          </w:tcPr>
          <w:p>
            <w:r/>
            <w:r>
              <w:rPr>
                <w:b w:val="0"/>
                <w:sz w:val="16"/>
              </w:rPr>
              <w:t>Measured lead time and queue quality</w:t>
            </w:r>
          </w:p>
        </w:tc>
      </w:tr>
      <w:tr>
        <w:tc>
          <w:tcPr>
            <w:tcW w:type="dxa" w:w="3408"/>
            <w:vAlign w:val="center"/>
          </w:tcPr>
          <w:p>
            <w:r/>
            <w:r>
              <w:rPr>
                <w:b w:val="0"/>
                <w:sz w:val="16"/>
              </w:rPr>
              <w:t>Pilot 2</w:t>
            </w:r>
          </w:p>
        </w:tc>
        <w:tc>
          <w:tcPr>
            <w:tcW w:type="dxa" w:w="3408"/>
            <w:vAlign w:val="center"/>
          </w:tcPr>
          <w:p>
            <w:r/>
            <w:r>
              <w:rPr>
                <w:b w:val="0"/>
                <w:sz w:val="16"/>
              </w:rPr>
              <w:t>Department-wide portfolio + alerts + monitoring</w:t>
            </w:r>
          </w:p>
        </w:tc>
        <w:tc>
          <w:tcPr>
            <w:tcW w:type="dxa" w:w="3408"/>
            <w:vAlign w:val="center"/>
          </w:tcPr>
          <w:p>
            <w:r/>
            <w:r>
              <w:rPr>
                <w:b w:val="0"/>
                <w:sz w:val="16"/>
              </w:rPr>
              <w:t>Sustained operational use</w:t>
            </w:r>
          </w:p>
        </w:tc>
      </w:tr>
      <w:tr>
        <w:tc>
          <w:tcPr>
            <w:tcW w:type="dxa" w:w="3408"/>
            <w:vAlign w:val="center"/>
          </w:tcPr>
          <w:p>
            <w:r/>
            <w:r>
              <w:rPr>
                <w:b w:val="0"/>
                <w:sz w:val="16"/>
              </w:rPr>
              <w:t>Scale</w:t>
            </w:r>
          </w:p>
        </w:tc>
        <w:tc>
          <w:tcPr>
            <w:tcW w:type="dxa" w:w="3408"/>
            <w:vAlign w:val="center"/>
          </w:tcPr>
          <w:p>
            <w:r/>
            <w:r>
              <w:rPr>
                <w:b w:val="0"/>
                <w:sz w:val="16"/>
              </w:rPr>
              <w:t>Multi-program connectors + precedent federation + advanced analytics</w:t>
            </w:r>
          </w:p>
        </w:tc>
        <w:tc>
          <w:tcPr>
            <w:tcW w:type="dxa" w:w="3408"/>
            <w:vAlign w:val="center"/>
          </w:tcPr>
          <w:p>
            <w:r/>
            <w:r>
              <w:rPr>
                <w:b w:val="0"/>
                <w:sz w:val="16"/>
              </w:rPr>
              <w:t>Reusable platform economics</w:t>
            </w:r>
          </w:p>
        </w:tc>
      </w:tr>
    </w:tbl>
    <w:p/>
    <w:p>
      <w:r>
        <w:br w:type="page"/>
      </w:r>
    </w:p>
    <w:p>
      <w:pPr>
        <w:pStyle w:val="Heading1"/>
      </w:pPr>
      <w:r>
        <w:t>19. Final Product Definition — LUME V7</w:t>
      </w:r>
    </w:p>
    <w:tbl>
      <w:tblPr>
        <w:tblStyle w:val="TableGrid"/>
        <w:tblW w:type="auto" w:w="0"/>
        <w:tblLook w:firstColumn="1" w:firstRow="1" w:lastColumn="0" w:lastRow="0" w:noHBand="0" w:noVBand="1" w:val="04A0"/>
      </w:tblPr>
      <w:tblGrid>
        <w:gridCol w:w="10224"/>
      </w:tblGrid>
      <w:tr>
        <w:tc>
          <w:tcPr>
            <w:tcW w:type="dxa" w:w="10224"/>
            <w:shd w:fill="EEF6FA"/>
          </w:tcPr>
          <w:p>
            <w:r>
              <w:rPr>
                <w:b/>
                <w:color w:val="133754"/>
                <w:sz w:val="21"/>
              </w:rPr>
              <w:t>One sentence</w:t>
              <w:br/>
            </w:r>
            <w:r>
              <w:rPr>
                <w:sz w:val="18"/>
              </w:rPr>
              <w:t>LUME is an evidence-backed acquisition control tower that continuously converts authorized project records into early warnings, explains the bottleneck, finds precedent, prioritizes the next investigation, tracks the decision, and learns from the outcome.</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4"/>
          </w:tcPr>
          <w:p>
            <w:r/>
            <w:r>
              <w:rPr>
                <w:b/>
                <w:sz w:val="17"/>
              </w:rPr>
              <w:t>Layer</w:t>
            </w:r>
          </w:p>
        </w:tc>
        <w:tc>
          <w:tcPr>
            <w:tcW w:type="dxa" w:w="5112"/>
            <w:vAlign w:val="center"/>
            <w:shd w:fill="D9EAF4"/>
          </w:tcPr>
          <w:p>
            <w:r/>
            <w:r>
              <w:rPr>
                <w:b/>
                <w:sz w:val="17"/>
              </w:rPr>
              <w:t>LUME responsibility</w:t>
            </w:r>
          </w:p>
        </w:tc>
      </w:tr>
      <w:tr>
        <w:tc>
          <w:tcPr>
            <w:tcW w:type="dxa" w:w="5112"/>
            <w:vAlign w:val="center"/>
          </w:tcPr>
          <w:p>
            <w:r/>
            <w:r>
              <w:rPr>
                <w:b w:val="0"/>
                <w:sz w:val="16"/>
              </w:rPr>
              <w:t>SOURCE</w:t>
            </w:r>
          </w:p>
        </w:tc>
        <w:tc>
          <w:tcPr>
            <w:tcW w:type="dxa" w:w="5112"/>
            <w:vAlign w:val="center"/>
          </w:tcPr>
          <w:p>
            <w:r/>
            <w:r>
              <w:rPr>
                <w:b w:val="0"/>
                <w:sz w:val="16"/>
              </w:rPr>
              <w:t>Connect authorized records and preserve provenance</w:t>
            </w:r>
          </w:p>
        </w:tc>
      </w:tr>
      <w:tr>
        <w:tc>
          <w:tcPr>
            <w:tcW w:type="dxa" w:w="5112"/>
            <w:vAlign w:val="center"/>
          </w:tcPr>
          <w:p>
            <w:r/>
            <w:r>
              <w:rPr>
                <w:b w:val="0"/>
                <w:sz w:val="16"/>
              </w:rPr>
              <w:t>TRUTH</w:t>
            </w:r>
          </w:p>
        </w:tc>
        <w:tc>
          <w:tcPr>
            <w:tcW w:type="dxa" w:w="5112"/>
            <w:vAlign w:val="center"/>
          </w:tcPr>
          <w:p>
            <w:r/>
            <w:r>
              <w:rPr>
                <w:b w:val="0"/>
                <w:sz w:val="16"/>
              </w:rPr>
              <w:t>Normalize, validate, reconcile and snapshot data</w:t>
            </w:r>
          </w:p>
        </w:tc>
      </w:tr>
      <w:tr>
        <w:tc>
          <w:tcPr>
            <w:tcW w:type="dxa" w:w="5112"/>
            <w:vAlign w:val="center"/>
          </w:tcPr>
          <w:p>
            <w:r/>
            <w:r>
              <w:rPr>
                <w:b w:val="0"/>
                <w:sz w:val="16"/>
              </w:rPr>
              <w:t>SIGNAL</w:t>
            </w:r>
          </w:p>
        </w:tc>
        <w:tc>
          <w:tcPr>
            <w:tcW w:type="dxa" w:w="5112"/>
            <w:vAlign w:val="center"/>
          </w:tcPr>
          <w:p>
            <w:r/>
            <w:r>
              <w:rPr>
                <w:b w:val="0"/>
                <w:sz w:val="16"/>
              </w:rPr>
              <w:t>Detect material changes and missing/stale evidence</w:t>
            </w:r>
          </w:p>
        </w:tc>
      </w:tr>
      <w:tr>
        <w:tc>
          <w:tcPr>
            <w:tcW w:type="dxa" w:w="5112"/>
            <w:vAlign w:val="center"/>
          </w:tcPr>
          <w:p>
            <w:r/>
            <w:r>
              <w:rPr>
                <w:b w:val="0"/>
                <w:sz w:val="16"/>
              </w:rPr>
              <w:t>PREDICT</w:t>
            </w:r>
          </w:p>
        </w:tc>
        <w:tc>
          <w:tcPr>
            <w:tcW w:type="dxa" w:w="5112"/>
            <w:vAlign w:val="center"/>
          </w:tcPr>
          <w:p>
            <w:r/>
            <w:r>
              <w:rPr>
                <w:b w:val="0"/>
                <w:sz w:val="16"/>
              </w:rPr>
              <w:t>Estimate next-milestone delay risk with calibrated support-aware ML</w:t>
            </w:r>
          </w:p>
        </w:tc>
      </w:tr>
      <w:tr>
        <w:tc>
          <w:tcPr>
            <w:tcW w:type="dxa" w:w="5112"/>
            <w:vAlign w:val="center"/>
          </w:tcPr>
          <w:p>
            <w:r/>
            <w:r>
              <w:rPr>
                <w:b w:val="0"/>
                <w:sz w:val="16"/>
              </w:rPr>
              <w:t>EXPLAIN</w:t>
            </w:r>
          </w:p>
        </w:tc>
        <w:tc>
          <w:tcPr>
            <w:tcW w:type="dxa" w:w="5112"/>
            <w:vAlign w:val="center"/>
          </w:tcPr>
          <w:p>
            <w:r/>
            <w:r>
              <w:rPr>
                <w:b w:val="0"/>
                <w:sz w:val="16"/>
              </w:rPr>
              <w:t>Trace prediction → driver → source evidence</w:t>
            </w:r>
          </w:p>
        </w:tc>
      </w:tr>
      <w:tr>
        <w:tc>
          <w:tcPr>
            <w:tcW w:type="dxa" w:w="5112"/>
            <w:vAlign w:val="center"/>
          </w:tcPr>
          <w:p>
            <w:r/>
            <w:r>
              <w:rPr>
                <w:b w:val="0"/>
                <w:sz w:val="16"/>
              </w:rPr>
              <w:t>COMPARE</w:t>
            </w:r>
          </w:p>
        </w:tc>
        <w:tc>
          <w:tcPr>
            <w:tcW w:type="dxa" w:w="5112"/>
            <w:vAlign w:val="center"/>
          </w:tcPr>
          <w:p>
            <w:r/>
            <w:r>
              <w:rPr>
                <w:b w:val="0"/>
                <w:sz w:val="16"/>
              </w:rPr>
              <w:t>Retrieve analytically comparable precedents</w:t>
            </w:r>
          </w:p>
        </w:tc>
      </w:tr>
      <w:tr>
        <w:tc>
          <w:tcPr>
            <w:tcW w:type="dxa" w:w="5112"/>
            <w:vAlign w:val="center"/>
          </w:tcPr>
          <w:p>
            <w:r/>
            <w:r>
              <w:rPr>
                <w:b w:val="0"/>
                <w:sz w:val="16"/>
              </w:rPr>
              <w:t>EXPLORE</w:t>
            </w:r>
          </w:p>
        </w:tc>
        <w:tc>
          <w:tcPr>
            <w:tcW w:type="dxa" w:w="5112"/>
            <w:vAlign w:val="center"/>
          </w:tcPr>
          <w:p>
            <w:r/>
            <w:r>
              <w:rPr>
                <w:b w:val="0"/>
                <w:sz w:val="16"/>
              </w:rPr>
              <w:t>Run bounded scenario sensitivity</w:t>
            </w:r>
          </w:p>
        </w:tc>
      </w:tr>
      <w:tr>
        <w:tc>
          <w:tcPr>
            <w:tcW w:type="dxa" w:w="5112"/>
            <w:vAlign w:val="center"/>
          </w:tcPr>
          <w:p>
            <w:r/>
            <w:r>
              <w:rPr>
                <w:b w:val="0"/>
                <w:sz w:val="16"/>
              </w:rPr>
              <w:t>PRIORITIZE</w:t>
            </w:r>
          </w:p>
        </w:tc>
        <w:tc>
          <w:tcPr>
            <w:tcW w:type="dxa" w:w="5112"/>
            <w:vAlign w:val="center"/>
          </w:tcPr>
          <w:p>
            <w:r/>
            <w:r>
              <w:rPr>
                <w:b w:val="0"/>
                <w:sz w:val="16"/>
              </w:rPr>
              <w:t>Rank investigation actions transparently</w:t>
            </w:r>
          </w:p>
        </w:tc>
      </w:tr>
      <w:tr>
        <w:tc>
          <w:tcPr>
            <w:tcW w:type="dxa" w:w="5112"/>
            <w:vAlign w:val="center"/>
          </w:tcPr>
          <w:p>
            <w:r/>
            <w:r>
              <w:rPr>
                <w:b w:val="0"/>
                <w:sz w:val="16"/>
              </w:rPr>
              <w:t>ACT</w:t>
            </w:r>
          </w:p>
        </w:tc>
        <w:tc>
          <w:tcPr>
            <w:tcW w:type="dxa" w:w="5112"/>
            <w:vAlign w:val="center"/>
          </w:tcPr>
          <w:p>
            <w:r/>
            <w:r>
              <w:rPr>
                <w:b w:val="0"/>
                <w:sz w:val="16"/>
              </w:rPr>
              <w:t>Assign and record accountable follow-up</w:t>
            </w:r>
          </w:p>
        </w:tc>
      </w:tr>
      <w:tr>
        <w:tc>
          <w:tcPr>
            <w:tcW w:type="dxa" w:w="5112"/>
            <w:vAlign w:val="center"/>
          </w:tcPr>
          <w:p>
            <w:r/>
            <w:r>
              <w:rPr>
                <w:b w:val="0"/>
                <w:sz w:val="16"/>
              </w:rPr>
              <w:t>LEARN</w:t>
            </w:r>
          </w:p>
        </w:tc>
        <w:tc>
          <w:tcPr>
            <w:tcW w:type="dxa" w:w="5112"/>
            <w:vAlign w:val="center"/>
          </w:tcPr>
          <w:p>
            <w:r/>
            <w:r>
              <w:rPr>
                <w:b w:val="0"/>
                <w:sz w:val="16"/>
              </w:rPr>
              <w:t>Capture outcomes and strengthen future benchmarks</w:t>
            </w:r>
          </w:p>
        </w:tc>
      </w:tr>
    </w:tbl>
    <w:p/>
    <w:p>
      <w:pPr>
        <w:pStyle w:val="Heading1"/>
      </w:pPr>
      <w:r>
        <w:t>20. Revised 7-Minute Winning Story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4"/>
          </w:tcPr>
          <w:p>
            <w:r/>
            <w:r>
              <w:rPr>
                <w:b/>
                <w:sz w:val="17"/>
              </w:rPr>
              <w:t>Time</w:t>
            </w:r>
          </w:p>
        </w:tc>
        <w:tc>
          <w:tcPr>
            <w:tcW w:type="dxa" w:w="3408"/>
            <w:vAlign w:val="center"/>
            <w:shd w:fill="D9EAF4"/>
          </w:tcPr>
          <w:p>
            <w:r/>
            <w:r>
              <w:rPr>
                <w:b/>
                <w:sz w:val="17"/>
              </w:rPr>
              <w:t>Demo</w:t>
            </w:r>
          </w:p>
        </w:tc>
        <w:tc>
          <w:tcPr>
            <w:tcW w:type="dxa" w:w="3408"/>
            <w:vAlign w:val="center"/>
            <w:shd w:fill="D9EAF4"/>
          </w:tcPr>
          <w:p>
            <w:r/>
            <w:r>
              <w:rPr>
                <w:b/>
                <w:sz w:val="17"/>
              </w:rPr>
              <w:t>Judge takeaway</w:t>
            </w:r>
          </w:p>
        </w:tc>
      </w:tr>
      <w:tr>
        <w:tc>
          <w:tcPr>
            <w:tcW w:type="dxa" w:w="3408"/>
            <w:vAlign w:val="center"/>
          </w:tcPr>
          <w:p>
            <w:r/>
            <w:r>
              <w:rPr>
                <w:b w:val="0"/>
                <w:sz w:val="16"/>
              </w:rPr>
              <w:t>0:00–0:45</w:t>
            </w:r>
          </w:p>
        </w:tc>
        <w:tc>
          <w:tcPr>
            <w:tcW w:type="dxa" w:w="3408"/>
            <w:vAlign w:val="center"/>
          </w:tcPr>
          <w:p>
            <w:r/>
            <w:r>
              <w:rPr>
                <w:b w:val="0"/>
                <w:sz w:val="16"/>
              </w:rPr>
              <w:t>Action Queue</w:t>
            </w:r>
          </w:p>
        </w:tc>
        <w:tc>
          <w:tcPr>
            <w:tcW w:type="dxa" w:w="3408"/>
            <w:vAlign w:val="center"/>
          </w:tcPr>
          <w:p>
            <w:r/>
            <w:r>
              <w:rPr>
                <w:b w:val="0"/>
                <w:sz w:val="16"/>
              </w:rPr>
              <w:t>LUME tells us where attention is needed, not just what exists.</w:t>
            </w:r>
          </w:p>
        </w:tc>
      </w:tr>
      <w:tr>
        <w:tc>
          <w:tcPr>
            <w:tcW w:type="dxa" w:w="3408"/>
            <w:vAlign w:val="center"/>
          </w:tcPr>
          <w:p>
            <w:r/>
            <w:r>
              <w:rPr>
                <w:b w:val="0"/>
                <w:sz w:val="16"/>
              </w:rPr>
              <w:t>0:45–1:30</w:t>
            </w:r>
          </w:p>
        </w:tc>
        <w:tc>
          <w:tcPr>
            <w:tcW w:type="dxa" w:w="3408"/>
            <w:vAlign w:val="center"/>
          </w:tcPr>
          <w:p>
            <w:r/>
            <w:r>
              <w:rPr>
                <w:b w:val="0"/>
                <w:sz w:val="16"/>
              </w:rPr>
              <w:t>Case Pulse + What Changed</w:t>
            </w:r>
          </w:p>
        </w:tc>
        <w:tc>
          <w:tcPr>
            <w:tcW w:type="dxa" w:w="3408"/>
            <w:vAlign w:val="center"/>
          </w:tcPr>
          <w:p>
            <w:r/>
            <w:r>
              <w:rPr>
                <w:b w:val="0"/>
                <w:sz w:val="16"/>
              </w:rPr>
              <w:t>LUME understands the current process state and recent changes.</w:t>
            </w:r>
          </w:p>
        </w:tc>
      </w:tr>
      <w:tr>
        <w:tc>
          <w:tcPr>
            <w:tcW w:type="dxa" w:w="3408"/>
            <w:vAlign w:val="center"/>
          </w:tcPr>
          <w:p>
            <w:r/>
            <w:r>
              <w:rPr>
                <w:b w:val="0"/>
                <w:sz w:val="16"/>
              </w:rPr>
              <w:t>1:30–2:30</w:t>
            </w:r>
          </w:p>
        </w:tc>
        <w:tc>
          <w:tcPr>
            <w:tcW w:type="dxa" w:w="3408"/>
            <w:vAlign w:val="center"/>
          </w:tcPr>
          <w:p>
            <w:r/>
            <w:r>
              <w:rPr>
                <w:b w:val="0"/>
                <w:sz w:val="16"/>
              </w:rPr>
              <w:t>Prediction + Bottleneck</w:t>
            </w:r>
          </w:p>
        </w:tc>
        <w:tc>
          <w:tcPr>
            <w:tcW w:type="dxa" w:w="3408"/>
            <w:vAlign w:val="center"/>
          </w:tcPr>
          <w:p>
            <w:r/>
            <w:r>
              <w:rPr>
                <w:b w:val="0"/>
                <w:sz w:val="16"/>
              </w:rPr>
              <w:t>Risk is specific to the next milestone and linked to a critical dependency.</w:t>
            </w:r>
          </w:p>
        </w:tc>
      </w:tr>
      <w:tr>
        <w:tc>
          <w:tcPr>
            <w:tcW w:type="dxa" w:w="3408"/>
            <w:vAlign w:val="center"/>
          </w:tcPr>
          <w:p>
            <w:r/>
            <w:r>
              <w:rPr>
                <w:b w:val="0"/>
                <w:sz w:val="16"/>
              </w:rPr>
              <w:t>2:30–3:30</w:t>
            </w:r>
          </w:p>
        </w:tc>
        <w:tc>
          <w:tcPr>
            <w:tcW w:type="dxa" w:w="3408"/>
            <w:vAlign w:val="center"/>
          </w:tcPr>
          <w:p>
            <w:r/>
            <w:r>
              <w:rPr>
                <w:b w:val="0"/>
                <w:sz w:val="16"/>
              </w:rPr>
              <w:t>Evidence + Data Passport</w:t>
            </w:r>
          </w:p>
        </w:tc>
        <w:tc>
          <w:tcPr>
            <w:tcW w:type="dxa" w:w="3408"/>
            <w:vAlign w:val="center"/>
          </w:tcPr>
          <w:p>
            <w:r/>
            <w:r>
              <w:rPr>
                <w:b w:val="0"/>
                <w:sz w:val="16"/>
              </w:rPr>
              <w:t>Every important input has provenance, freshness and trust context.</w:t>
            </w:r>
          </w:p>
        </w:tc>
      </w:tr>
      <w:tr>
        <w:tc>
          <w:tcPr>
            <w:tcW w:type="dxa" w:w="3408"/>
            <w:vAlign w:val="center"/>
          </w:tcPr>
          <w:p>
            <w:r/>
            <w:r>
              <w:rPr>
                <w:b w:val="0"/>
                <w:sz w:val="16"/>
              </w:rPr>
              <w:t>3:30–4:15</w:t>
            </w:r>
          </w:p>
        </w:tc>
        <w:tc>
          <w:tcPr>
            <w:tcW w:type="dxa" w:w="3408"/>
            <w:vAlign w:val="center"/>
          </w:tcPr>
          <w:p>
            <w:r/>
            <w:r>
              <w:rPr>
                <w:b w:val="0"/>
                <w:sz w:val="16"/>
              </w:rPr>
              <w:t>Precedents</w:t>
            </w:r>
          </w:p>
        </w:tc>
        <w:tc>
          <w:tcPr>
            <w:tcW w:type="dxa" w:w="3408"/>
            <w:vAlign w:val="center"/>
          </w:tcPr>
          <w:p>
            <w:r/>
            <w:r>
              <w:rPr>
                <w:b w:val="0"/>
                <w:sz w:val="16"/>
              </w:rPr>
              <w:t>The system reuses institutional memory, not generic advice.</w:t>
            </w:r>
          </w:p>
        </w:tc>
      </w:tr>
      <w:tr>
        <w:tc>
          <w:tcPr>
            <w:tcW w:type="dxa" w:w="3408"/>
            <w:vAlign w:val="center"/>
          </w:tcPr>
          <w:p>
            <w:r/>
            <w:r>
              <w:rPr>
                <w:b w:val="0"/>
                <w:sz w:val="16"/>
              </w:rPr>
              <w:t>4:15–5:00</w:t>
            </w:r>
          </w:p>
        </w:tc>
        <w:tc>
          <w:tcPr>
            <w:tcW w:type="dxa" w:w="3408"/>
            <w:vAlign w:val="center"/>
          </w:tcPr>
          <w:p>
            <w:r/>
            <w:r>
              <w:rPr>
                <w:b w:val="0"/>
                <w:sz w:val="16"/>
              </w:rPr>
              <w:t>Scenario</w:t>
            </w:r>
          </w:p>
        </w:tc>
        <w:tc>
          <w:tcPr>
            <w:tcW w:type="dxa" w:w="3408"/>
            <w:vAlign w:val="center"/>
          </w:tcPr>
          <w:p>
            <w:r/>
            <w:r>
              <w:rPr>
                <w:b w:val="0"/>
                <w:sz w:val="16"/>
              </w:rPr>
              <w:t>The officer can test a supported assumption without claiming causality.</w:t>
            </w:r>
          </w:p>
        </w:tc>
      </w:tr>
      <w:tr>
        <w:tc>
          <w:tcPr>
            <w:tcW w:type="dxa" w:w="3408"/>
            <w:vAlign w:val="center"/>
          </w:tcPr>
          <w:p>
            <w:r/>
            <w:r>
              <w:rPr>
                <w:b w:val="0"/>
                <w:sz w:val="16"/>
              </w:rPr>
              <w:t>5:00–6:00</w:t>
            </w:r>
          </w:p>
        </w:tc>
        <w:tc>
          <w:tcPr>
            <w:tcW w:type="dxa" w:w="3408"/>
            <w:vAlign w:val="center"/>
          </w:tcPr>
          <w:p>
            <w:r/>
            <w:r>
              <w:rPr>
                <w:b w:val="0"/>
                <w:sz w:val="16"/>
              </w:rPr>
              <w:t>Action + Follow-up</w:t>
            </w:r>
          </w:p>
        </w:tc>
        <w:tc>
          <w:tcPr>
            <w:tcW w:type="dxa" w:w="3408"/>
            <w:vAlign w:val="center"/>
          </w:tcPr>
          <w:p>
            <w:r/>
            <w:r>
              <w:rPr>
                <w:b w:val="0"/>
                <w:sz w:val="16"/>
              </w:rPr>
              <w:t>LUME converts intelligence into a recorded operational action.</w:t>
            </w:r>
          </w:p>
        </w:tc>
      </w:tr>
      <w:tr>
        <w:tc>
          <w:tcPr>
            <w:tcW w:type="dxa" w:w="3408"/>
            <w:vAlign w:val="center"/>
          </w:tcPr>
          <w:p>
            <w:r/>
            <w:r>
              <w:rPr>
                <w:b w:val="0"/>
                <w:sz w:val="16"/>
              </w:rPr>
              <w:t>6:00–7:00</w:t>
            </w:r>
          </w:p>
        </w:tc>
        <w:tc>
          <w:tcPr>
            <w:tcW w:type="dxa" w:w="3408"/>
            <w:vAlign w:val="center"/>
          </w:tcPr>
          <w:p>
            <w:r/>
            <w:r>
              <w:rPr>
                <w:b w:val="0"/>
                <w:sz w:val="16"/>
              </w:rPr>
              <w:t>Replay / Trust Center</w:t>
            </w:r>
          </w:p>
        </w:tc>
        <w:tc>
          <w:tcPr>
            <w:tcW w:type="dxa" w:w="3408"/>
            <w:vAlign w:val="center"/>
          </w:tcPr>
          <w:p>
            <w:r/>
            <w:r>
              <w:rPr>
                <w:b w:val="0"/>
                <w:sz w:val="16"/>
              </w:rPr>
              <w:t>The system is point-in-time safe, auditable and measurable.</w:t>
            </w:r>
          </w:p>
        </w:tc>
      </w:tr>
    </w:tbl>
    <w:p/>
    <w:p>
      <w:pPr>
        <w:pStyle w:val="Heading1"/>
      </w:pPr>
      <w:r>
        <w:t>21. The Funding Pitch</w:t>
      </w:r>
    </w:p>
    <w:tbl>
      <w:tblPr>
        <w:tblStyle w:val="TableGrid"/>
        <w:tblW w:type="auto" w:w="0"/>
        <w:tblLook w:firstColumn="1" w:firstRow="1" w:lastColumn="0" w:lastRow="0" w:noHBand="0" w:noVBand="1" w:val="04A0"/>
      </w:tblPr>
      <w:tblGrid>
        <w:gridCol w:w="10224"/>
      </w:tblGrid>
      <w:tr>
        <w:tc>
          <w:tcPr>
            <w:tcW w:type="dxa" w:w="10224"/>
            <w:shd w:fill="EEF6FA"/>
          </w:tcPr>
          <w:p>
            <w:r>
              <w:rPr>
                <w:b/>
                <w:color w:val="133754"/>
                <w:sz w:val="21"/>
              </w:rPr>
              <w:t>Why fund LUME?</w:t>
              <w:br/>
            </w:r>
            <w:r>
              <w:rPr>
                <w:sz w:val="18"/>
              </w:rPr>
              <w:t>Because the problem is not lack of data. The problem is that operationally important signals are distributed across workflows, arrive at different times, and are often reviewed only after a milestone has already become critical. LUME turns those records into an actionable queue while keeping existing government systems authoritative.</w:t>
            </w:r>
          </w:p>
        </w:tc>
      </w:tr>
    </w:tbl>
    <w:p/>
    <w:p>
      <w:r>
        <w:t>For government, the value is earlier and more selective intervention. For infrastructure organizations, the value is portfolio readiness and schedule-risk visibility. For the company, the defensible asset is not a generic AI model; it is the permissioned history, evidence graph, workflow integration and validated outcomes accumulated through real deployments.</w:t>
      </w:r>
    </w:p>
    <w:p>
      <w:pPr>
        <w:pStyle w:val="Heading1"/>
      </w:pPr>
      <w:r>
        <w:t>22. External Verification Used for This Upgrade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4"/>
          </w:tcPr>
          <w:p>
            <w:r/>
            <w:r>
              <w:rPr>
                <w:b/>
                <w:sz w:val="17"/>
              </w:rPr>
              <w:t>Source</w:t>
            </w:r>
          </w:p>
        </w:tc>
        <w:tc>
          <w:tcPr>
            <w:tcW w:type="dxa" w:w="2556"/>
            <w:vAlign w:val="center"/>
            <w:shd w:fill="D9EAF4"/>
          </w:tcPr>
          <w:p>
            <w:r/>
            <w:r>
              <w:rPr>
                <w:b/>
                <w:sz w:val="17"/>
              </w:rPr>
              <w:t>Owner</w:t>
            </w:r>
          </w:p>
        </w:tc>
        <w:tc>
          <w:tcPr>
            <w:tcW w:type="dxa" w:w="2556"/>
            <w:vAlign w:val="center"/>
            <w:shd w:fill="D9EAF4"/>
          </w:tcPr>
          <w:p>
            <w:r/>
            <w:r>
              <w:rPr>
                <w:b/>
                <w:sz w:val="17"/>
              </w:rPr>
              <w:t>Use in LUME</w:t>
            </w:r>
          </w:p>
        </w:tc>
        <w:tc>
          <w:tcPr>
            <w:tcW w:type="dxa" w:w="2556"/>
            <w:vAlign w:val="center"/>
            <w:shd w:fill="D9EAF4"/>
          </w:tcPr>
          <w:p>
            <w:r/>
            <w:r>
              <w:rPr>
                <w:b/>
                <w:sz w:val="17"/>
              </w:rPr>
              <w:t>Domain</w:t>
            </w:r>
          </w:p>
        </w:tc>
      </w:tr>
      <w:tr>
        <w:tc>
          <w:tcPr>
            <w:tcW w:type="dxa" w:w="2556"/>
            <w:vAlign w:val="center"/>
          </w:tcPr>
          <w:p>
            <w:r/>
            <w:r>
              <w:rPr>
                <w:b w:val="0"/>
                <w:sz w:val="16"/>
              </w:rPr>
              <w:t>BhoomiRashi Land Acquisition Portal</w:t>
            </w:r>
          </w:p>
        </w:tc>
        <w:tc>
          <w:tcPr>
            <w:tcW w:type="dxa" w:w="2556"/>
            <w:vAlign w:val="center"/>
          </w:tcPr>
          <w:p>
            <w:r/>
            <w:r>
              <w:rPr>
                <w:b w:val="0"/>
                <w:sz w:val="16"/>
              </w:rPr>
              <w:t>Ministry of Road Transport &amp; Highways</w:t>
            </w:r>
          </w:p>
        </w:tc>
        <w:tc>
          <w:tcPr>
            <w:tcW w:type="dxa" w:w="2556"/>
            <w:vAlign w:val="center"/>
          </w:tcPr>
          <w:p>
            <w:r/>
            <w:r>
              <w:rPr>
                <w:b w:val="0"/>
                <w:sz w:val="16"/>
              </w:rPr>
              <w:t>Searchable acquisition project fields; project scale and workflow context</w:t>
            </w:r>
          </w:p>
        </w:tc>
        <w:tc>
          <w:tcPr>
            <w:tcW w:type="dxa" w:w="2556"/>
            <w:vAlign w:val="center"/>
          </w:tcPr>
          <w:p>
            <w:r/>
            <w:r>
              <w:rPr>
                <w:b w:val="0"/>
                <w:sz w:val="16"/>
              </w:rPr>
              <w:t>bhoomirashi.gov.in</w:t>
            </w:r>
          </w:p>
        </w:tc>
      </w:tr>
      <w:tr>
        <w:tc>
          <w:tcPr>
            <w:tcW w:type="dxa" w:w="2556"/>
            <w:vAlign w:val="center"/>
          </w:tcPr>
          <w:p>
            <w:r/>
            <w:r>
              <w:rPr>
                <w:b w:val="0"/>
                <w:sz w:val="16"/>
              </w:rPr>
              <w:t>DILRMP 3.0 Operational Guidelines</w:t>
            </w:r>
          </w:p>
        </w:tc>
        <w:tc>
          <w:tcPr>
            <w:tcW w:type="dxa" w:w="2556"/>
            <w:vAlign w:val="center"/>
          </w:tcPr>
          <w:p>
            <w:r/>
            <w:r>
              <w:rPr>
                <w:b w:val="0"/>
                <w:sz w:val="16"/>
              </w:rPr>
              <w:t>Department of Land Resources</w:t>
            </w:r>
          </w:p>
        </w:tc>
        <w:tc>
          <w:tcPr>
            <w:tcW w:type="dxa" w:w="2556"/>
            <w:vAlign w:val="center"/>
          </w:tcPr>
          <w:p>
            <w:r/>
            <w:r>
              <w:rPr>
                <w:b w:val="0"/>
                <w:sz w:val="16"/>
              </w:rPr>
              <w:t>2026–2031 programme direction</w:t>
            </w:r>
          </w:p>
        </w:tc>
        <w:tc>
          <w:tcPr>
            <w:tcW w:type="dxa" w:w="2556"/>
            <w:vAlign w:val="center"/>
          </w:tcPr>
          <w:p>
            <w:r/>
            <w:r>
              <w:rPr>
                <w:b w:val="0"/>
                <w:sz w:val="16"/>
              </w:rPr>
              <w:t>dolr.gov.in</w:t>
            </w:r>
          </w:p>
        </w:tc>
      </w:tr>
      <w:tr>
        <w:tc>
          <w:tcPr>
            <w:tcW w:type="dxa" w:w="2556"/>
            <w:vAlign w:val="center"/>
          </w:tcPr>
          <w:p>
            <w:r/>
            <w:r>
              <w:rPr>
                <w:b w:val="0"/>
                <w:sz w:val="16"/>
              </w:rPr>
              <w:t>Department of Land Resources / DILRMP</w:t>
            </w:r>
          </w:p>
        </w:tc>
        <w:tc>
          <w:tcPr>
            <w:tcW w:type="dxa" w:w="2556"/>
            <w:vAlign w:val="center"/>
          </w:tcPr>
          <w:p>
            <w:r/>
            <w:r>
              <w:rPr>
                <w:b w:val="0"/>
                <w:sz w:val="16"/>
              </w:rPr>
              <w:t>Department of Land Resources</w:t>
            </w:r>
          </w:p>
        </w:tc>
        <w:tc>
          <w:tcPr>
            <w:tcW w:type="dxa" w:w="2556"/>
            <w:vAlign w:val="center"/>
          </w:tcPr>
          <w:p>
            <w:r/>
            <w:r>
              <w:rPr>
                <w:b w:val="0"/>
                <w:sz w:val="16"/>
              </w:rPr>
              <w:t>Land-record modernization and current progress indicators</w:t>
            </w:r>
          </w:p>
        </w:tc>
        <w:tc>
          <w:tcPr>
            <w:tcW w:type="dxa" w:w="2556"/>
            <w:vAlign w:val="center"/>
          </w:tcPr>
          <w:p>
            <w:r/>
            <w:r>
              <w:rPr>
                <w:b w:val="0"/>
                <w:sz w:val="16"/>
              </w:rPr>
              <w:t>dolr.gov.in</w:t>
            </w:r>
          </w:p>
        </w:tc>
      </w:tr>
      <w:tr>
        <w:tc>
          <w:tcPr>
            <w:tcW w:type="dxa" w:w="2556"/>
            <w:vAlign w:val="center"/>
          </w:tcPr>
          <w:p>
            <w:r/>
            <w:r>
              <w:rPr>
                <w:b w:val="0"/>
                <w:sz w:val="16"/>
              </w:rPr>
              <w:t>NAKSHA</w:t>
            </w:r>
          </w:p>
        </w:tc>
        <w:tc>
          <w:tcPr>
            <w:tcW w:type="dxa" w:w="2556"/>
            <w:vAlign w:val="center"/>
          </w:tcPr>
          <w:p>
            <w:r/>
            <w:r>
              <w:rPr>
                <w:b w:val="0"/>
                <w:sz w:val="16"/>
              </w:rPr>
              <w:t>Department of Land Resources</w:t>
            </w:r>
          </w:p>
        </w:tc>
        <w:tc>
          <w:tcPr>
            <w:tcW w:type="dxa" w:w="2556"/>
            <w:vAlign w:val="center"/>
          </w:tcPr>
          <w:p>
            <w:r/>
            <w:r>
              <w:rPr>
                <w:b w:val="0"/>
                <w:sz w:val="16"/>
              </w:rPr>
              <w:t>GIS-integrated urban/peri-urban land survey programme</w:t>
            </w:r>
          </w:p>
        </w:tc>
        <w:tc>
          <w:tcPr>
            <w:tcW w:type="dxa" w:w="2556"/>
            <w:vAlign w:val="center"/>
          </w:tcPr>
          <w:p>
            <w:r/>
            <w:r>
              <w:rPr>
                <w:b w:val="0"/>
                <w:sz w:val="16"/>
              </w:rPr>
              <w:t>naksha.dolr.gov.in</w:t>
            </w:r>
          </w:p>
        </w:tc>
      </w:tr>
      <w:tr>
        <w:tc>
          <w:tcPr>
            <w:tcW w:type="dxa" w:w="2556"/>
            <w:vAlign w:val="center"/>
          </w:tcPr>
          <w:p>
            <w:r/>
            <w:r>
              <w:rPr>
                <w:b w:val="0"/>
                <w:sz w:val="16"/>
              </w:rPr>
              <w:t>NJDG</w:t>
            </w:r>
          </w:p>
        </w:tc>
        <w:tc>
          <w:tcPr>
            <w:tcW w:type="dxa" w:w="2556"/>
            <w:vAlign w:val="center"/>
          </w:tcPr>
          <w:p>
            <w:r/>
            <w:r>
              <w:rPr>
                <w:b w:val="0"/>
                <w:sz w:val="16"/>
              </w:rPr>
              <w:t>eCourts / Supreme Court eCommittee</w:t>
            </w:r>
          </w:p>
        </w:tc>
        <w:tc>
          <w:tcPr>
            <w:tcW w:type="dxa" w:w="2556"/>
            <w:vAlign w:val="center"/>
          </w:tcPr>
          <w:p>
            <w:r/>
            <w:r>
              <w:rPr>
                <w:b w:val="0"/>
                <w:sz w:val="16"/>
              </w:rPr>
              <w:t>Judicial case repository and dashboards</w:t>
            </w:r>
          </w:p>
        </w:tc>
        <w:tc>
          <w:tcPr>
            <w:tcW w:type="dxa" w:w="2556"/>
            <w:vAlign w:val="center"/>
          </w:tcPr>
          <w:p>
            <w:r/>
            <w:r>
              <w:rPr>
                <w:b w:val="0"/>
                <w:sz w:val="16"/>
              </w:rPr>
              <w:t>njdg.ecourts.gov.in</w:t>
            </w:r>
          </w:p>
        </w:tc>
      </w:tr>
      <w:tr>
        <w:tc>
          <w:tcPr>
            <w:tcW w:type="dxa" w:w="2556"/>
            <w:vAlign w:val="center"/>
          </w:tcPr>
          <w:p>
            <w:r/>
            <w:r>
              <w:rPr>
                <w:b w:val="0"/>
                <w:sz w:val="16"/>
              </w:rPr>
              <w:t>Department of Justice 2026 parliamentary material</w:t>
            </w:r>
          </w:p>
        </w:tc>
        <w:tc>
          <w:tcPr>
            <w:tcW w:type="dxa" w:w="2556"/>
            <w:vAlign w:val="center"/>
          </w:tcPr>
          <w:p>
            <w:r/>
            <w:r>
              <w:rPr>
                <w:b w:val="0"/>
                <w:sz w:val="16"/>
              </w:rPr>
              <w:t>Department of Justice</w:t>
            </w:r>
          </w:p>
        </w:tc>
        <w:tc>
          <w:tcPr>
            <w:tcW w:type="dxa" w:w="2556"/>
            <w:vAlign w:val="center"/>
          </w:tcPr>
          <w:p>
            <w:r/>
            <w:r>
              <w:rPr>
                <w:b w:val="0"/>
                <w:sz w:val="16"/>
              </w:rPr>
              <w:t>Reference to NJDG Open API usage by government departments</w:t>
            </w:r>
          </w:p>
        </w:tc>
        <w:tc>
          <w:tcPr>
            <w:tcW w:type="dxa" w:w="2556"/>
            <w:vAlign w:val="center"/>
          </w:tcPr>
          <w:p>
            <w:r/>
            <w:r>
              <w:rPr>
                <w:b w:val="0"/>
                <w:sz w:val="16"/>
              </w:rPr>
              <w:t>doj.gov.in</w:t>
            </w:r>
          </w:p>
        </w:tc>
      </w:tr>
    </w:tbl>
    <w:p/>
    <w:p>
      <w:pPr>
        <w:pStyle w:val="Heading1"/>
      </w:pPr>
      <w:r>
        <w:t>23. Bottom Line</w:t>
      </w:r>
    </w:p>
    <w:p>
      <w:r>
        <w:t>The existing PRD should remain the foundation. This V7 evolution changes the product from a collection of intelligent modules into a continuously operating control loop. The key differentiator is not adding more AI; it is connecting real data, time, evidence, historical memory and human action so tightly that an officer can move from “something may go wrong” to “here is what changed, why it matters, what to investigate, who owns it, and what happened afterward.”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LUME • SIH26017 • Real-Data &amp; Production Evolution Blueprint • v7.0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375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5A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53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3375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