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07" w:lineRule="auto"/>
      </w:pPr>
      <w:r>
        <w:rPr>
          <w:rFonts w:ascii="Century Gothic" w:hAnsi="Century Gothic"/>
          <w:b/>
          <w:color w:val="8C8C8C"/>
          <w:sz w:val="52"/>
          <w:spacing w:val="80"/>
        </w:rPr>
        <w:t>HYDE</w:t>
      </w:r>
    </w:p>
    <w:p>
      <w:pPr>
        <w:spacing w:before="440" w:after="60" w:line="307" w:lineRule="auto"/>
        <w:jc w:val="center"/>
      </w:pPr>
      <w:r>
        <w:rPr>
          <w:rFonts w:ascii="Calibri" w:hAnsi="Calibri"/>
          <w:b/>
          <w:color w:val="1A1A1A"/>
          <w:sz w:val="28"/>
        </w:rPr>
        <w:t>PEAK250 CHARGER — INCIDENT REPORT</w:t>
      </w:r>
    </w:p>
    <w:p>
      <w:pPr>
        <w:spacing w:before="0" w:after="280" w:line="307" w:lineRule="auto"/>
        <w:jc w:val="center"/>
      </w:pPr>
      <w:r>
        <w:rPr>
          <w:rFonts w:ascii="Calibri" w:hAnsi="Calibri"/>
          <w:b w:val="0"/>
          <w:color w:val="595959"/>
          <w:sz w:val="19"/>
        </w:rPr>
        <w:t>Unit A2111LHE0212606001  ·  Firmware ZD-SW4.2.4.1  ·  2026-07-26  ·  Severity: Critical</w:t>
      </w:r>
    </w:p>
    <w:p>
      <w:pPr>
        <w:spacing w:before="0" w:after="80" w:line="307" w:lineRule="auto"/>
      </w:pPr>
      <w:r>
        <w:rPr>
          <w:rFonts w:ascii="Calibri" w:hAnsi="Calibri"/>
          <w:b w:val="0"/>
          <w:color w:val="1A1A1A"/>
          <w:sz w:val="21"/>
        </w:rPr>
        <w:t>On 2026-07-26 the PEAK250 charger raised the same station-level hardware fault — HCU Precharge Module Fault_0x27 (vendor code 012900) — three times within 41 minutes, each while a customer was charging. Service was restored by a remote hard reset, but the fault is a degrading hardware condition that recurs on charging and requires vendor inspection. Times are shown in UTC with site-local CEST (UTC+2) in parentheses.</w:t>
      </w:r>
    </w:p>
    <w:p>
      <w:pPr>
        <w:spacing w:before="320" w:after="140" w:line="307" w:lineRule="auto"/>
      </w:pPr>
      <w:r>
        <w:rPr>
          <w:rFonts w:ascii="Calibri" w:hAnsi="Calibri"/>
          <w:b/>
          <w:color w:val="8C8C8C"/>
          <w:sz w:val="24"/>
        </w:rPr>
        <w:t xml:space="preserve">A  </w:t>
      </w:r>
      <w:r>
        <w:rPr>
          <w:rFonts w:ascii="Calibri" w:hAnsi="Calibri"/>
          <w:b/>
          <w:color w:val="1A1A1A"/>
          <w:sz w:val="24"/>
        </w:rPr>
        <w:t>Summary</w:t>
      </w:r>
    </w:p>
    <w:p>
      <w:pPr>
        <w:pStyle w:val="ListBullet"/>
        <w:spacing w:before="0" w:after="60" w:line="288" w:lineRule="auto"/>
      </w:pPr>
      <w:r>
        <w:rPr>
          <w:rFonts w:ascii="Calibri" w:hAnsi="Calibri"/>
          <w:b/>
          <w:color w:val="1A1A1A"/>
          <w:sz w:val="21"/>
        </w:rPr>
        <w:t xml:space="preserve">Three occurrences — </w:t>
      </w:r>
      <w:r>
        <w:rPr>
          <w:rFonts w:ascii="Calibri" w:hAnsi="Calibri"/>
          <w:b w:val="0"/>
          <w:color w:val="1A1A1A"/>
          <w:sz w:val="21"/>
        </w:rPr>
        <w:t>09:14:47, 09:27:27 and 09:55:08 UTC (11:14, 11:27, 11:55 CEST); the same fault each time.</w:t>
      </w:r>
    </w:p>
    <w:p>
      <w:pPr>
        <w:pStyle w:val="ListBullet"/>
        <w:spacing w:before="0" w:after="60" w:line="288" w:lineRule="auto"/>
      </w:pPr>
      <w:r>
        <w:rPr>
          <w:rFonts w:ascii="Calibri" w:hAnsi="Calibri"/>
          <w:b/>
          <w:color w:val="1A1A1A"/>
          <w:sz w:val="21"/>
        </w:rPr>
        <w:t xml:space="preserve">Station-level — </w:t>
      </w:r>
      <w:r>
        <w:rPr>
          <w:rFonts w:ascii="Calibri" w:hAnsi="Calibri"/>
          <w:b w:val="0"/>
          <w:color w:val="1A1A1A"/>
          <w:sz w:val="21"/>
        </w:rPr>
        <w:t>reported on OCPP connector 0; it forces both guns to Faulted and aborts the active Gun 1 (CCS) session.</w:t>
      </w:r>
    </w:p>
    <w:p>
      <w:pPr>
        <w:pStyle w:val="ListBullet"/>
        <w:spacing w:before="0" w:after="60" w:line="288" w:lineRule="auto"/>
      </w:pPr>
      <w:r>
        <w:rPr>
          <w:rFonts w:ascii="Calibri" w:hAnsi="Calibri"/>
          <w:b/>
          <w:color w:val="1A1A1A"/>
          <w:sz w:val="21"/>
        </w:rPr>
        <w:t xml:space="preserve">During charging — </w:t>
      </w:r>
      <w:r>
        <w:rPr>
          <w:rFonts w:ascii="Calibri" w:hAnsi="Calibri"/>
          <w:b w:val="0"/>
          <w:color w:val="1A1A1A"/>
          <w:sz w:val="21"/>
        </w:rPr>
        <w:t>all three fired mid-session at 52–75 kW, not at plug-in, and under normal load (no overload).</w:t>
      </w:r>
    </w:p>
    <w:p>
      <w:pPr>
        <w:pStyle w:val="ListBullet"/>
        <w:spacing w:before="0" w:after="60" w:line="288" w:lineRule="auto"/>
      </w:pPr>
      <w:r>
        <w:rPr>
          <w:rFonts w:ascii="Calibri" w:hAnsi="Calibri"/>
          <w:b/>
          <w:color w:val="1A1A1A"/>
          <w:sz w:val="21"/>
        </w:rPr>
        <w:t xml:space="preserve">Accelerating onset — </w:t>
      </w:r>
      <w:r>
        <w:rPr>
          <w:rFonts w:ascii="Calibri" w:hAnsi="Calibri"/>
          <w:b w:val="0"/>
          <w:color w:val="1A1A1A"/>
          <w:sz w:val="21"/>
        </w:rPr>
        <w:t>time-to-fault fell 2 min 40 s → 40 s → 30 s across the three attempts — a degrading-component signature.</w:t>
      </w:r>
    </w:p>
    <w:p>
      <w:pPr>
        <w:pStyle w:val="ListBullet"/>
        <w:spacing w:before="0" w:after="60" w:line="288" w:lineRule="auto"/>
      </w:pPr>
      <w:r>
        <w:rPr>
          <w:rFonts w:ascii="Calibri" w:hAnsi="Calibri"/>
          <w:b/>
          <w:color w:val="1A1A1A"/>
          <w:sz w:val="21"/>
        </w:rPr>
        <w:t xml:space="preserve">Separate, isolated — </w:t>
      </w:r>
      <w:r>
        <w:rPr>
          <w:rFonts w:ascii="Calibri" w:hAnsi="Calibri"/>
          <w:b w:val="0"/>
          <w:color w:val="1A1A1A"/>
          <w:sz w:val="21"/>
        </w:rPr>
        <w:t>a SECC sequence error (vendor 163200) occurred at 06:06 UTC on Gun 2 and did not recur.</w:t>
      </w:r>
    </w:p>
    <w:p>
      <w:pPr>
        <w:spacing w:before="320" w:after="140" w:line="307" w:lineRule="auto"/>
      </w:pPr>
      <w:r>
        <w:rPr>
          <w:rFonts w:ascii="Calibri" w:hAnsi="Calibri"/>
          <w:b/>
          <w:color w:val="8C8C8C"/>
          <w:sz w:val="24"/>
        </w:rPr>
        <w:t xml:space="preserve">B  </w:t>
      </w:r>
      <w:r>
        <w:rPr>
          <w:rFonts w:ascii="Calibri" w:hAnsi="Calibri"/>
          <w:b/>
          <w:color w:val="1A1A1A"/>
          <w:sz w:val="24"/>
        </w:rPr>
        <w:t>Incident timeline</w:t>
      </w:r>
    </w:p>
    <w:p>
      <w:pPr>
        <w:spacing w:before="0" w:after="120" w:line="307" w:lineRule="auto"/>
      </w:pPr>
      <w:r>
        <w:rPr>
          <w:rFonts w:ascii="Calibri" w:hAnsi="Calibri"/>
          <w:b w:val="0"/>
          <w:color w:val="1A1A1A"/>
          <w:sz w:val="21"/>
        </w:rPr>
        <w:t>Reconstructed from the central-system durable fault log, the TimescaleDB meter store, and Loki.</w:t>
      </w:r>
    </w:p>
    <w:tbl>
      <w:tblPr>
        <w:tblW w:type="auto" w:w="0"/>
        <w:jc w:val="center"/>
        <w:tblLook w:firstColumn="1" w:firstRow="1" w:lastColumn="0" w:lastRow="0" w:noHBand="0" w:noVBand="1" w:val="04A0"/>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Pr>
      <w:tblGrid>
        <w:gridCol w:w="1368"/>
        <w:gridCol w:w="1368"/>
        <w:gridCol w:w="2448"/>
        <w:gridCol w:w="2304"/>
        <w:gridCol w:w="2736"/>
      </w:tblGrid>
      <w:tr>
        <w:tc>
          <w:tcPr>
            <w:tcW w:type="dxa" w:w="1872"/>
            <w:shd w:val="clear" w:color="auto" w:fill="ECECEC"/>
          </w:tcPr>
          <w:p>
            <w:pPr>
              <w:spacing w:before="20" w:after="20" w:line="276" w:lineRule="auto"/>
            </w:pPr>
            <w:r/>
            <w:r>
              <w:rPr>
                <w:rFonts w:ascii="Calibri" w:hAnsi="Calibri"/>
                <w:b/>
                <w:color w:val="595959"/>
                <w:sz w:val="17"/>
              </w:rPr>
              <w:t>Time (UTC / CEST)</w:t>
            </w:r>
          </w:p>
        </w:tc>
        <w:tc>
          <w:tcPr>
            <w:tcW w:type="dxa" w:w="1872"/>
            <w:shd w:val="clear" w:color="auto" w:fill="ECECEC"/>
          </w:tcPr>
          <w:p>
            <w:pPr>
              <w:spacing w:before="20" w:after="20" w:line="276" w:lineRule="auto"/>
            </w:pPr>
            <w:r/>
            <w:r>
              <w:rPr>
                <w:rFonts w:ascii="Calibri" w:hAnsi="Calibri"/>
                <w:b/>
                <w:color w:val="595959"/>
                <w:sz w:val="17"/>
              </w:rPr>
              <w:t>Session</w:t>
            </w:r>
          </w:p>
        </w:tc>
        <w:tc>
          <w:tcPr>
            <w:tcW w:type="dxa" w:w="1872"/>
            <w:shd w:val="clear" w:color="auto" w:fill="ECECEC"/>
          </w:tcPr>
          <w:p>
            <w:pPr>
              <w:spacing w:before="20" w:after="20" w:line="276" w:lineRule="auto"/>
            </w:pPr>
            <w:r/>
            <w:r>
              <w:rPr>
                <w:rFonts w:ascii="Calibri" w:hAnsi="Calibri"/>
                <w:b/>
                <w:color w:val="595959"/>
                <w:sz w:val="17"/>
              </w:rPr>
              <w:t>Charging before fault</w:t>
            </w:r>
          </w:p>
        </w:tc>
        <w:tc>
          <w:tcPr>
            <w:tcW w:type="dxa" w:w="1872"/>
            <w:shd w:val="clear" w:color="auto" w:fill="ECECEC"/>
          </w:tcPr>
          <w:p>
            <w:pPr>
              <w:spacing w:before="20" w:after="20" w:line="276" w:lineRule="auto"/>
            </w:pPr>
            <w:r/>
            <w:r>
              <w:rPr>
                <w:rFonts w:ascii="Calibri" w:hAnsi="Calibri"/>
                <w:b/>
                <w:color w:val="595959"/>
                <w:sz w:val="17"/>
              </w:rPr>
              <w:t>Fault (vendor code)</w:t>
            </w:r>
          </w:p>
        </w:tc>
        <w:tc>
          <w:tcPr>
            <w:tcW w:type="dxa" w:w="1872"/>
            <w:shd w:val="clear" w:color="auto" w:fill="ECECEC"/>
          </w:tcPr>
          <w:p>
            <w:pPr>
              <w:spacing w:before="20" w:after="20" w:line="276" w:lineRule="auto"/>
            </w:pPr>
            <w:r/>
            <w:r>
              <w:rPr>
                <w:rFonts w:ascii="Calibri" w:hAnsi="Calibri"/>
                <w:b/>
                <w:color w:val="595959"/>
                <w:sz w:val="17"/>
              </w:rPr>
              <w:t>Outcome</w:t>
            </w:r>
          </w:p>
        </w:tc>
      </w:tr>
      <w:tr>
        <w:tc>
          <w:tcPr>
            <w:tcW w:type="dxa" w:w="1872"/>
          </w:tcPr>
          <w:p>
            <w:pPr>
              <w:spacing w:before="20" w:after="20" w:line="276" w:lineRule="auto"/>
            </w:pPr>
            <w:r/>
            <w:r>
              <w:rPr>
                <w:rFonts w:ascii="Consolas" w:hAnsi="Consolas"/>
                <w:b w:val="0"/>
                <w:color w:val="1A1A1A"/>
                <w:sz w:val="18"/>
              </w:rPr>
              <w:t>09:14:47</w:t>
              <w:br/>
              <w:t>11:14:47</w:t>
            </w:r>
          </w:p>
        </w:tc>
        <w:tc>
          <w:tcPr>
            <w:tcW w:type="dxa" w:w="1872"/>
          </w:tcPr>
          <w:p>
            <w:pPr>
              <w:spacing w:before="20" w:after="20" w:line="276" w:lineRule="auto"/>
            </w:pPr>
            <w:r/>
            <w:r>
              <w:rPr>
                <w:rFonts w:ascii="Calibri" w:hAnsi="Calibri"/>
                <w:b w:val="0"/>
                <w:color w:val="1A1A1A"/>
                <w:sz w:val="18"/>
              </w:rPr>
              <w:t>tx 1021, Gun 1</w:t>
            </w:r>
          </w:p>
        </w:tc>
        <w:tc>
          <w:tcPr>
            <w:tcW w:type="dxa" w:w="1872"/>
          </w:tcPr>
          <w:p>
            <w:pPr>
              <w:spacing w:before="20" w:after="20" w:line="276" w:lineRule="auto"/>
            </w:pPr>
            <w:r/>
            <w:r>
              <w:rPr>
                <w:rFonts w:ascii="Calibri" w:hAnsi="Calibri"/>
                <w:b w:val="0"/>
                <w:color w:val="1A1A1A"/>
                <w:sz w:val="18"/>
              </w:rPr>
              <w:t>2 min 40 s · peak 75 kW · SoC 38→42%</w:t>
            </w:r>
          </w:p>
        </w:tc>
        <w:tc>
          <w:tcPr>
            <w:tcW w:type="dxa" w:w="1872"/>
          </w:tcPr>
          <w:p>
            <w:pPr>
              <w:spacing w:before="20" w:after="20" w:line="276" w:lineRule="auto"/>
            </w:pPr>
            <w:r/>
            <w:r>
              <w:rPr>
                <w:rFonts w:ascii="Calibri" w:hAnsi="Calibri"/>
                <w:b w:val="0"/>
                <w:color w:val="1A1A1A"/>
                <w:sz w:val="18"/>
              </w:rPr>
              <w:t>HCU Prechrg Module Fault_0x27 (012900)</w:t>
            </w:r>
          </w:p>
        </w:tc>
        <w:tc>
          <w:tcPr>
            <w:tcW w:type="dxa" w:w="1872"/>
          </w:tcPr>
          <w:p>
            <w:pPr>
              <w:spacing w:before="20" w:after="20" w:line="276" w:lineRule="auto"/>
            </w:pPr>
            <w:r/>
            <w:r>
              <w:rPr>
                <w:rFonts w:ascii="Calibri" w:hAnsi="Calibri"/>
                <w:b w:val="0"/>
                <w:color w:val="1A1A1A"/>
                <w:sz w:val="18"/>
              </w:rPr>
              <w:t>Both guns Faulted; session stopped reason “Other”; ~11 min recovery</w:t>
            </w:r>
          </w:p>
        </w:tc>
      </w:tr>
      <w:tr>
        <w:tc>
          <w:tcPr>
            <w:tcW w:type="dxa" w:w="1872"/>
          </w:tcPr>
          <w:p>
            <w:pPr>
              <w:spacing w:before="20" w:after="20" w:line="276" w:lineRule="auto"/>
            </w:pPr>
            <w:r/>
            <w:r>
              <w:rPr>
                <w:rFonts w:ascii="Consolas" w:hAnsi="Consolas"/>
                <w:b w:val="0"/>
                <w:color w:val="1A1A1A"/>
                <w:sz w:val="18"/>
              </w:rPr>
              <w:t>09:27:27</w:t>
              <w:br/>
              <w:t>11:27:27</w:t>
            </w:r>
          </w:p>
        </w:tc>
        <w:tc>
          <w:tcPr>
            <w:tcW w:type="dxa" w:w="1872"/>
          </w:tcPr>
          <w:p>
            <w:pPr>
              <w:spacing w:before="20" w:after="20" w:line="276" w:lineRule="auto"/>
            </w:pPr>
            <w:r/>
            <w:r>
              <w:rPr>
                <w:rFonts w:ascii="Calibri" w:hAnsi="Calibri"/>
                <w:b w:val="0"/>
                <w:color w:val="1A1A1A"/>
                <w:sz w:val="18"/>
              </w:rPr>
              <w:t>tx 1022, Gun 1</w:t>
            </w:r>
          </w:p>
        </w:tc>
        <w:tc>
          <w:tcPr>
            <w:tcW w:type="dxa" w:w="1872"/>
          </w:tcPr>
          <w:p>
            <w:pPr>
              <w:spacing w:before="20" w:after="20" w:line="276" w:lineRule="auto"/>
            </w:pPr>
            <w:r/>
            <w:r>
              <w:rPr>
                <w:rFonts w:ascii="Calibri" w:hAnsi="Calibri"/>
                <w:b w:val="0"/>
                <w:color w:val="1A1A1A"/>
                <w:sz w:val="18"/>
              </w:rPr>
              <w:t>~40 s · peak 80 kW · same EV (SoC 42%)</w:t>
            </w:r>
          </w:p>
        </w:tc>
        <w:tc>
          <w:tcPr>
            <w:tcW w:type="dxa" w:w="1872"/>
          </w:tcPr>
          <w:p>
            <w:pPr>
              <w:spacing w:before="20" w:after="20" w:line="276" w:lineRule="auto"/>
            </w:pPr>
            <w:r/>
            <w:r>
              <w:rPr>
                <w:rFonts w:ascii="Calibri" w:hAnsi="Calibri"/>
                <w:b w:val="0"/>
                <w:color w:val="1A1A1A"/>
                <w:sz w:val="18"/>
              </w:rPr>
              <w:t>HCU Prechrg Module Fault_0x27 (012900)</w:t>
            </w:r>
          </w:p>
        </w:tc>
        <w:tc>
          <w:tcPr>
            <w:tcW w:type="dxa" w:w="1872"/>
          </w:tcPr>
          <w:p>
            <w:pPr>
              <w:spacing w:before="20" w:after="20" w:line="276" w:lineRule="auto"/>
            </w:pPr>
            <w:r/>
            <w:r>
              <w:rPr>
                <w:rFonts w:ascii="Calibri" w:hAnsi="Calibri"/>
                <w:b w:val="0"/>
                <w:color w:val="1A1A1A"/>
                <w:sz w:val="18"/>
              </w:rPr>
              <w:t>Both guns Faulted; session stopped reason “Other”</w:t>
            </w:r>
          </w:p>
        </w:tc>
      </w:tr>
      <w:tr>
        <w:tc>
          <w:tcPr>
            <w:tcW w:type="dxa" w:w="1872"/>
          </w:tcPr>
          <w:p>
            <w:pPr>
              <w:spacing w:before="20" w:after="20" w:line="276" w:lineRule="auto"/>
            </w:pPr>
            <w:r/>
            <w:r>
              <w:rPr>
                <w:rFonts w:ascii="Consolas" w:hAnsi="Consolas"/>
                <w:b w:val="0"/>
                <w:color w:val="1A1A1A"/>
                <w:sz w:val="18"/>
              </w:rPr>
              <w:t>09:55:08</w:t>
              <w:br/>
              <w:t>11:55:08</w:t>
            </w:r>
          </w:p>
        </w:tc>
        <w:tc>
          <w:tcPr>
            <w:tcW w:type="dxa" w:w="1872"/>
          </w:tcPr>
          <w:p>
            <w:pPr>
              <w:spacing w:before="20" w:after="20" w:line="276" w:lineRule="auto"/>
            </w:pPr>
            <w:r/>
            <w:r>
              <w:rPr>
                <w:rFonts w:ascii="Calibri" w:hAnsi="Calibri"/>
                <w:b w:val="0"/>
                <w:color w:val="1A1A1A"/>
                <w:sz w:val="18"/>
              </w:rPr>
              <w:t>tx 1023, Gun 1</w:t>
            </w:r>
          </w:p>
        </w:tc>
        <w:tc>
          <w:tcPr>
            <w:tcW w:type="dxa" w:w="1872"/>
          </w:tcPr>
          <w:p>
            <w:pPr>
              <w:spacing w:before="20" w:after="20" w:line="276" w:lineRule="auto"/>
            </w:pPr>
            <w:r/>
            <w:r>
              <w:rPr>
                <w:rFonts w:ascii="Calibri" w:hAnsi="Calibri"/>
                <w:b w:val="0"/>
                <w:color w:val="1A1A1A"/>
                <w:sz w:val="18"/>
              </w:rPr>
              <w:t>~30 s · peak 52 kW</w:t>
            </w:r>
          </w:p>
        </w:tc>
        <w:tc>
          <w:tcPr>
            <w:tcW w:type="dxa" w:w="1872"/>
          </w:tcPr>
          <w:p>
            <w:pPr>
              <w:spacing w:before="20" w:after="20" w:line="276" w:lineRule="auto"/>
            </w:pPr>
            <w:r/>
            <w:r>
              <w:rPr>
                <w:rFonts w:ascii="Calibri" w:hAnsi="Calibri"/>
                <w:b w:val="0"/>
                <w:color w:val="1A1A1A"/>
                <w:sz w:val="18"/>
              </w:rPr>
              <w:t>HCU Prechrg Module Fault_0x27 (012900)</w:t>
            </w:r>
          </w:p>
        </w:tc>
        <w:tc>
          <w:tcPr>
            <w:tcW w:type="dxa" w:w="1872"/>
          </w:tcPr>
          <w:p>
            <w:pPr>
              <w:spacing w:before="20" w:after="20" w:line="276" w:lineRule="auto"/>
            </w:pPr>
            <w:r/>
            <w:r>
              <w:rPr>
                <w:rFonts w:ascii="Calibri" w:hAnsi="Calibri"/>
                <w:b w:val="0"/>
                <w:color w:val="1A1A1A"/>
                <w:sz w:val="18"/>
              </w:rPr>
              <w:t>Both guns Faulted; new customer session aborted</w:t>
            </w:r>
          </w:p>
        </w:tc>
      </w:tr>
      <w:tr>
        <w:tc>
          <w:tcPr>
            <w:tcW w:type="dxa" w:w="1872"/>
          </w:tcPr>
          <w:p>
            <w:pPr>
              <w:spacing w:before="20" w:after="20" w:line="276" w:lineRule="auto"/>
            </w:pPr>
            <w:r/>
            <w:r>
              <w:rPr>
                <w:rFonts w:ascii="Consolas" w:hAnsi="Consolas"/>
                <w:b w:val="0"/>
                <w:color w:val="1A1A1A"/>
                <w:sz w:val="18"/>
              </w:rPr>
              <w:t>06:06:45</w:t>
              <w:br/>
              <w:t>08:06:45</w:t>
            </w:r>
          </w:p>
        </w:tc>
        <w:tc>
          <w:tcPr>
            <w:tcW w:type="dxa" w:w="1872"/>
          </w:tcPr>
          <w:p>
            <w:pPr>
              <w:spacing w:before="20" w:after="20" w:line="276" w:lineRule="auto"/>
            </w:pPr>
            <w:r/>
            <w:r>
              <w:rPr>
                <w:rFonts w:ascii="Calibri" w:hAnsi="Calibri"/>
                <w:b w:val="0"/>
                <w:color w:val="1A1A1A"/>
                <w:sz w:val="18"/>
              </w:rPr>
              <w:t>— (Gun 2 idle)</w:t>
            </w:r>
          </w:p>
        </w:tc>
        <w:tc>
          <w:tcPr>
            <w:tcW w:type="dxa" w:w="1872"/>
          </w:tcPr>
          <w:p>
            <w:pPr>
              <w:spacing w:before="20" w:after="20" w:line="276" w:lineRule="auto"/>
            </w:pPr>
            <w:r/>
            <w:r>
              <w:rPr>
                <w:rFonts w:ascii="Calibri" w:hAnsi="Calibri"/>
                <w:b w:val="0"/>
                <w:color w:val="1A1A1A"/>
                <w:sz w:val="18"/>
              </w:rPr>
              <w:t>n/a</w:t>
            </w:r>
          </w:p>
        </w:tc>
        <w:tc>
          <w:tcPr>
            <w:tcW w:type="dxa" w:w="1872"/>
          </w:tcPr>
          <w:p>
            <w:pPr>
              <w:spacing w:before="20" w:after="20" w:line="276" w:lineRule="auto"/>
            </w:pPr>
            <w:r/>
            <w:r>
              <w:rPr>
                <w:rFonts w:ascii="Calibri" w:hAnsi="Calibri"/>
                <w:b w:val="0"/>
                <w:color w:val="1A1A1A"/>
                <w:sz w:val="18"/>
              </w:rPr>
              <w:t>SECC detect the sequence error (163200)</w:t>
            </w:r>
          </w:p>
        </w:tc>
        <w:tc>
          <w:tcPr>
            <w:tcW w:type="dxa" w:w="1872"/>
          </w:tcPr>
          <w:p>
            <w:pPr>
              <w:spacing w:before="20" w:after="20" w:line="276" w:lineRule="auto"/>
            </w:pPr>
            <w:r/>
            <w:r>
              <w:rPr>
                <w:rFonts w:ascii="Calibri" w:hAnsi="Calibri"/>
                <w:b w:val="0"/>
                <w:color w:val="1A1A1A"/>
                <w:sz w:val="18"/>
              </w:rPr>
              <w:t>Isolated; did not recur</w:t>
            </w:r>
          </w:p>
        </w:tc>
      </w:tr>
    </w:tbl>
    <w:p>
      <w:pPr>
        <w:spacing w:before="0" w:after="80" w:line="307" w:lineRule="auto"/>
      </w:pPr>
      <w:r>
        <w:rPr>
          <w:rFonts w:ascii="Calibri" w:hAnsi="Calibri"/>
          <w:b w:val="0"/>
          <w:color w:val="1A1A1A"/>
          <w:sz w:val="21"/>
        </w:rPr>
        <w:t>For contrast, earlier sessions the same morning completed normally — tx 1019 (Gun 1, 08:09 CEST, 147 kW peak, ~35 min) and tx 1020 (Gun 2, 10:53 CEST). The fault is intermittent, not a hard failure.</w:t>
      </w:r>
    </w:p>
    <w:p>
      <w:pPr>
        <w:spacing w:before="320" w:after="140" w:line="307" w:lineRule="auto"/>
      </w:pPr>
      <w:r>
        <w:rPr>
          <w:rFonts w:ascii="Calibri" w:hAnsi="Calibri"/>
          <w:b/>
          <w:color w:val="8C8C8C"/>
          <w:sz w:val="24"/>
        </w:rPr>
        <w:t xml:space="preserve">C  </w:t>
      </w:r>
      <w:r>
        <w:rPr>
          <w:rFonts w:ascii="Calibri" w:hAnsi="Calibri"/>
          <w:b/>
          <w:color w:val="1A1A1A"/>
          <w:sz w:val="24"/>
        </w:rPr>
        <w:t>Root-cause analysis</w:t>
      </w:r>
    </w:p>
    <w:p>
      <w:pPr>
        <w:spacing w:before="0" w:after="120" w:line="307" w:lineRule="auto"/>
      </w:pPr>
      <w:r>
        <w:rPr>
          <w:rFonts w:ascii="Calibri" w:hAnsi="Calibri"/>
          <w:b w:val="0"/>
          <w:color w:val="1A1A1A"/>
          <w:sz w:val="21"/>
        </w:rPr>
        <w:t>Four independent observations point to a defective, degrading component on the shared DC power stage.</w:t>
      </w:r>
    </w:p>
    <w:p>
      <w:pPr>
        <w:spacing w:before="80" w:after="80" w:line="307" w:lineRule="auto"/>
      </w:pPr>
      <w:r>
        <w:rPr>
          <w:rFonts w:ascii="Calibri" w:hAnsi="Calibri"/>
          <w:b/>
          <w:color w:val="1A1A1A"/>
          <w:sz w:val="21"/>
        </w:rPr>
        <w:t xml:space="preserve">It downs both guns → shared component.  </w:t>
      </w:r>
      <w:r>
        <w:rPr>
          <w:rFonts w:ascii="Calibri" w:hAnsi="Calibri"/>
          <w:b w:val="0"/>
          <w:color w:val="1A1A1A"/>
          <w:sz w:val="21"/>
        </w:rPr>
        <w:t>Reported on connector 0 (the station), it forces both charging points to Faulted. In the battery-buffered design both guns draw from one shared DC stage — consistent with the precharge module sitting on that shared bus.</w:t>
      </w:r>
    </w:p>
    <w:p>
      <w:pPr>
        <w:spacing w:before="80" w:after="80" w:line="307" w:lineRule="auto"/>
      </w:pPr>
      <w:r>
        <w:rPr>
          <w:rFonts w:ascii="Calibri" w:hAnsi="Calibri"/>
          <w:b/>
          <w:color w:val="1A1A1A"/>
          <w:sz w:val="21"/>
        </w:rPr>
        <w:t xml:space="preserve">It fires during charging, not at plug-in.  </w:t>
      </w:r>
      <w:r>
        <w:rPr>
          <w:rFonts w:ascii="Calibri" w:hAnsi="Calibri"/>
          <w:b w:val="0"/>
          <w:color w:val="1A1A1A"/>
          <w:sz w:val="21"/>
        </w:rPr>
        <w:t>Precharge normally runs once at session start. Here it faulted 2.5 minutes in, with 62 kW already flowing — suggesting continuous precharge-circuit monitoring, or a mid-session precharge re-run (e.g. on buffer↔grid source switching).</w:t>
      </w:r>
    </w:p>
    <w:p>
      <w:pPr>
        <w:spacing w:before="80" w:after="80" w:line="307" w:lineRule="auto"/>
      </w:pPr>
      <w:r>
        <w:rPr>
          <w:rFonts w:ascii="Calibri" w:hAnsi="Calibri"/>
          <w:b/>
          <w:color w:val="1A1A1A"/>
          <w:sz w:val="21"/>
        </w:rPr>
        <w:t xml:space="preserve">It occurs under normal conditions.  </w:t>
      </w:r>
      <w:r>
        <w:rPr>
          <w:rFonts w:ascii="Calibri" w:hAnsi="Calibri"/>
          <w:b w:val="0"/>
          <w:color w:val="1A1A1A"/>
          <w:sz w:val="21"/>
        </w:rPr>
        <w:t>At fault time the car drew 62–75 kW, buffer SoC was 94–100%, grid infeed ~40 kW — within rating. Nothing was overloaded, which argues for a hardware defect, not an operating-condition trip.</w:t>
      </w:r>
    </w:p>
    <w:p>
      <w:pPr>
        <w:spacing w:before="80" w:after="80" w:line="307" w:lineRule="auto"/>
      </w:pPr>
      <w:r>
        <w:rPr>
          <w:rFonts w:ascii="Calibri" w:hAnsi="Calibri"/>
          <w:b/>
          <w:color w:val="1A1A1A"/>
          <w:sz w:val="21"/>
        </w:rPr>
        <w:t xml:space="preserve">Onset accelerates on each attempt.  </w:t>
      </w:r>
      <w:r>
        <w:rPr>
          <w:rFonts w:ascii="Calibri" w:hAnsi="Calibri"/>
          <w:b w:val="0"/>
          <w:color w:val="1A1A1A"/>
          <w:sz w:val="21"/>
        </w:rPr>
        <w:t>Time-to-fault fell 2 min 40 s → 40 s → 30 s — the classic signature of thermal or wear-driven degradation, not a one-off transient.</w:t>
      </w:r>
    </w:p>
    <w:p>
      <w:pPr>
        <w:spacing w:before="120" w:after="80" w:line="307" w:lineRule="auto"/>
      </w:pPr>
      <w:r>
        <w:rPr>
          <w:rFonts w:ascii="Calibri" w:hAnsi="Calibri"/>
          <w:b/>
          <w:color w:val="B02A2A"/>
          <w:sz w:val="21"/>
        </w:rPr>
        <w:t xml:space="preserve">Working hypothesis: </w:t>
      </w:r>
      <w:r>
        <w:rPr>
          <w:rFonts w:ascii="Calibri" w:hAnsi="Calibri"/>
          <w:b w:val="0"/>
          <w:color w:val="1A1A1A"/>
          <w:sz w:val="21"/>
        </w:rPr>
        <w:t>a failing precharge module (contactor / resistor / DC-link monitoring) on the shared DC stage, degrading under repeated load. The meaning of sub-code 0x27 / vendor 012900 requires ZD's confirmation.</w:t>
      </w:r>
    </w:p>
    <w:p>
      <w:pPr>
        <w:spacing w:before="320" w:after="140" w:line="307" w:lineRule="auto"/>
      </w:pPr>
      <w:r>
        <w:rPr>
          <w:rFonts w:ascii="Calibri" w:hAnsi="Calibri"/>
          <w:b/>
          <w:color w:val="8C8C8C"/>
          <w:sz w:val="24"/>
        </w:rPr>
        <w:t xml:space="preserve">D  </w:t>
      </w:r>
      <w:r>
        <w:rPr>
          <w:rFonts w:ascii="Calibri" w:hAnsi="Calibri"/>
          <w:b/>
          <w:color w:val="1A1A1A"/>
          <w:sz w:val="24"/>
        </w:rPr>
        <w:t>Customer impact</w:t>
      </w:r>
    </w:p>
    <w:p>
      <w:pPr>
        <w:spacing w:before="0" w:after="120" w:line="307" w:lineRule="auto"/>
      </w:pPr>
      <w:r>
        <w:rPr>
          <w:rFonts w:ascii="Calibri" w:hAnsi="Calibri"/>
          <w:b w:val="0"/>
          <w:color w:val="1A1A1A"/>
          <w:sz w:val="21"/>
        </w:rPr>
        <w:t>Three charging attempts were aborted mid-session. Signed OCMF meter data exists for each, so billing is defensible.</w:t>
      </w:r>
    </w:p>
    <w:p>
      <w:pPr>
        <w:pStyle w:val="ListBullet"/>
        <w:spacing w:before="0" w:after="60" w:line="288" w:lineRule="auto"/>
      </w:pPr>
      <w:r>
        <w:rPr>
          <w:rFonts w:ascii="Calibri" w:hAnsi="Calibri"/>
          <w:b/>
          <w:color w:val="1A1A1A"/>
          <w:sz w:val="21"/>
        </w:rPr>
        <w:t xml:space="preserve">tx 1021 — </w:t>
      </w:r>
      <w:r>
        <w:rPr>
          <w:rFonts w:ascii="Calibri" w:hAnsi="Calibri"/>
          <w:b w:val="0"/>
          <w:color w:val="1A1A1A"/>
          <w:sz w:val="21"/>
        </w:rPr>
        <w:t>2.37 kWh delivered before abort; receipt #00000368.</w:t>
      </w:r>
    </w:p>
    <w:p>
      <w:pPr>
        <w:pStyle w:val="ListBullet"/>
        <w:spacing w:before="0" w:after="60" w:line="288" w:lineRule="auto"/>
      </w:pPr>
      <w:r>
        <w:rPr>
          <w:rFonts w:ascii="Calibri" w:hAnsi="Calibri"/>
          <w:b/>
          <w:color w:val="1A1A1A"/>
          <w:sz w:val="21"/>
        </w:rPr>
        <w:t xml:space="preserve">tx 1022 — </w:t>
      </w:r>
      <w:r>
        <w:rPr>
          <w:rFonts w:ascii="Calibri" w:hAnsi="Calibri"/>
          <w:b w:val="0"/>
          <w:color w:val="1A1A1A"/>
          <w:sz w:val="21"/>
        </w:rPr>
        <w:t>0.20 kWh delivered (same driver retried); receipt #00000370.</w:t>
      </w:r>
    </w:p>
    <w:p>
      <w:pPr>
        <w:pStyle w:val="ListBullet"/>
        <w:spacing w:before="0" w:after="60" w:line="288" w:lineRule="auto"/>
      </w:pPr>
      <w:r>
        <w:rPr>
          <w:rFonts w:ascii="Calibri" w:hAnsi="Calibri"/>
          <w:b/>
          <w:color w:val="1A1A1A"/>
          <w:sz w:val="21"/>
        </w:rPr>
        <w:t xml:space="preserve">tx 1023 — </w:t>
      </w:r>
      <w:r>
        <w:rPr>
          <w:rFonts w:ascii="Calibri" w:hAnsi="Calibri"/>
          <w:b w:val="0"/>
          <w:color w:val="1A1A1A"/>
          <w:sz w:val="21"/>
        </w:rPr>
        <w:t>a new customer, ~30 s of charging before abort.</w:t>
      </w:r>
    </w:p>
    <w:p>
      <w:pPr>
        <w:spacing w:before="0" w:after="80" w:line="307" w:lineRule="auto"/>
      </w:pPr>
      <w:r>
        <w:rPr>
          <w:rFonts w:ascii="Calibri" w:hAnsi="Calibri"/>
          <w:b w:val="0"/>
          <w:color w:val="1A1A1A"/>
          <w:sz w:val="21"/>
        </w:rPr>
        <w:t>Each session ended with StopTransaction reason “Other” (fault-terminated), not “Local”. Affected drivers should be refunded to actual energy delivered and their pre-authorization holds released.</w:t>
      </w:r>
    </w:p>
    <w:p>
      <w:pPr>
        <w:spacing w:before="320" w:after="140" w:line="307" w:lineRule="auto"/>
      </w:pPr>
      <w:r>
        <w:rPr>
          <w:rFonts w:ascii="Calibri" w:hAnsi="Calibri"/>
          <w:b/>
          <w:color w:val="8C8C8C"/>
          <w:sz w:val="24"/>
        </w:rPr>
        <w:t xml:space="preserve">E  </w:t>
      </w:r>
      <w:r>
        <w:rPr>
          <w:rFonts w:ascii="Calibri" w:hAnsi="Calibri"/>
          <w:b/>
          <w:color w:val="1A1A1A"/>
          <w:sz w:val="24"/>
        </w:rPr>
        <w:t>Response and remediation</w:t>
      </w:r>
    </w:p>
    <w:p>
      <w:pPr>
        <w:spacing w:before="80" w:after="80" w:line="307" w:lineRule="auto"/>
      </w:pPr>
      <w:r>
        <w:rPr>
          <w:rFonts w:ascii="Calibri" w:hAnsi="Calibri"/>
          <w:b/>
          <w:color w:val="1A1A1A"/>
          <w:sz w:val="21"/>
        </w:rPr>
        <w:t xml:space="preserve">Remote hard reset — service restored.  </w:t>
      </w:r>
      <w:r>
        <w:rPr>
          <w:rFonts w:ascii="Calibri" w:hAnsi="Calibri"/>
          <w:b w:val="0"/>
          <w:color w:val="1A1A1A"/>
          <w:sz w:val="21"/>
        </w:rPr>
        <w:t>Issued from our backend at 09:59:43 UTC and accepted; the unit power-cycled and returned with both guns Available and no fault at 10:04 UTC (~5 min). A soft reset was avoided — it restarts only the application, not the hardware fault.</w:t>
      </w:r>
    </w:p>
    <w:p>
      <w:pPr>
        <w:spacing w:before="80" w:after="80" w:line="307" w:lineRule="auto"/>
      </w:pPr>
      <w:r>
        <w:rPr>
          <w:rFonts w:ascii="Calibri" w:hAnsi="Calibri"/>
          <w:b/>
          <w:color w:val="1A1A1A"/>
          <w:sz w:val="21"/>
        </w:rPr>
        <w:t xml:space="preserve">Remote take-out-of-service capability added.  </w:t>
      </w:r>
      <w:r>
        <w:rPr>
          <w:rFonts w:ascii="Calibri" w:hAnsi="Calibri"/>
          <w:b w:val="0"/>
          <w:color w:val="1A1A1A"/>
          <w:sz w:val="21"/>
        </w:rPr>
        <w:t>The incident exposed that we could not remotely fence off faulty hardware. We wired the OCPP ChangeAvailability operation into the backend (POST /chargers/{id}/commands/change-availability, Operative / Inoperative), so a faulting unit can now be marked Inoperative remotely.</w:t>
      </w:r>
    </w:p>
    <w:p>
      <w:pPr>
        <w:spacing w:before="80" w:after="80" w:line="307" w:lineRule="auto"/>
      </w:pPr>
      <w:r>
        <w:rPr>
          <w:rFonts w:ascii="Calibri" w:hAnsi="Calibri"/>
          <w:b/>
          <w:color w:val="1A1A1A"/>
          <w:sz w:val="21"/>
        </w:rPr>
        <w:t xml:space="preserve">Recommended: take the unit out of service.  </w:t>
      </w:r>
      <w:r>
        <w:rPr>
          <w:rFonts w:ascii="Calibri" w:hAnsi="Calibri"/>
          <w:b w:val="0"/>
          <w:color w:val="1A1A1A"/>
          <w:sz w:val="21"/>
        </w:rPr>
        <w:t>The reset clears the fault state but not the cause. Until ZD inspects, the unit (or at least Gun 1) should be set Inoperative so arriving customers see “unavailable” rather than a failed charge and a pre-auth hold.</w:t>
      </w:r>
    </w:p>
    <w:p>
      <w:pPr>
        <w:spacing w:before="320" w:after="140" w:line="307" w:lineRule="auto"/>
      </w:pPr>
      <w:r>
        <w:rPr>
          <w:rFonts w:ascii="Calibri" w:hAnsi="Calibri"/>
          <w:b/>
          <w:color w:val="8C8C8C"/>
          <w:sz w:val="24"/>
        </w:rPr>
        <w:t xml:space="preserve">F  </w:t>
      </w:r>
      <w:r>
        <w:rPr>
          <w:rFonts w:ascii="Calibri" w:hAnsi="Calibri"/>
          <w:b/>
          <w:color w:val="1A1A1A"/>
          <w:sz w:val="24"/>
        </w:rPr>
        <w:t>For the vendor (ZD Energy)</w:t>
      </w:r>
    </w:p>
    <w:p>
      <w:pPr>
        <w:spacing w:before="0" w:after="120" w:line="307" w:lineRule="auto"/>
      </w:pPr>
      <w:r>
        <w:rPr>
          <w:rFonts w:ascii="Calibri" w:hAnsi="Calibri"/>
          <w:b w:val="0"/>
          <w:color w:val="1A1A1A"/>
          <w:sz w:val="21"/>
        </w:rPr>
        <w:t>Fault codes observed on unit A2111LHE0212606001, firmware ZD-SW4.2.4.1.</w:t>
      </w:r>
    </w:p>
    <w:tbl>
      <w:tblPr>
        <w:tblW w:type="auto" w:w="0"/>
        <w:jc w:val="center"/>
        <w:tblLook w:firstColumn="1" w:firstRow="1" w:lastColumn="0" w:lastRow="0" w:noHBand="0" w:noVBand="1" w:val="04A0"/>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Pr>
      <w:tblGrid>
        <w:gridCol w:w="1296"/>
        <w:gridCol w:w="3600"/>
        <w:gridCol w:w="1584"/>
        <w:gridCol w:w="3600"/>
      </w:tblGrid>
      <w:tr>
        <w:tc>
          <w:tcPr>
            <w:tcW w:type="dxa" w:w="2340"/>
            <w:shd w:val="clear" w:color="auto" w:fill="ECECEC"/>
          </w:tcPr>
          <w:p>
            <w:pPr>
              <w:spacing w:before="20" w:after="20" w:line="276" w:lineRule="auto"/>
            </w:pPr>
            <w:r/>
            <w:r>
              <w:rPr>
                <w:rFonts w:ascii="Calibri" w:hAnsi="Calibri"/>
                <w:b/>
                <w:color w:val="595959"/>
                <w:sz w:val="17"/>
              </w:rPr>
              <w:t>Vendor code</w:t>
            </w:r>
          </w:p>
        </w:tc>
        <w:tc>
          <w:tcPr>
            <w:tcW w:type="dxa" w:w="2340"/>
            <w:shd w:val="clear" w:color="auto" w:fill="ECECEC"/>
          </w:tcPr>
          <w:p>
            <w:pPr>
              <w:spacing w:before="20" w:after="20" w:line="276" w:lineRule="auto"/>
            </w:pPr>
            <w:r/>
            <w:r>
              <w:rPr>
                <w:rFonts w:ascii="Calibri" w:hAnsi="Calibri"/>
                <w:b/>
                <w:color w:val="595959"/>
                <w:sz w:val="17"/>
              </w:rPr>
              <w:t>Text</w:t>
            </w:r>
          </w:p>
        </w:tc>
        <w:tc>
          <w:tcPr>
            <w:tcW w:type="dxa" w:w="2340"/>
            <w:shd w:val="clear" w:color="auto" w:fill="ECECEC"/>
          </w:tcPr>
          <w:p>
            <w:pPr>
              <w:spacing w:before="20" w:after="20" w:line="276" w:lineRule="auto"/>
            </w:pPr>
            <w:r/>
            <w:r>
              <w:rPr>
                <w:rFonts w:ascii="Calibri" w:hAnsi="Calibri"/>
                <w:b/>
                <w:color w:val="595959"/>
                <w:sz w:val="17"/>
              </w:rPr>
              <w:t>OCPP errorCode</w:t>
            </w:r>
          </w:p>
        </w:tc>
        <w:tc>
          <w:tcPr>
            <w:tcW w:type="dxa" w:w="2340"/>
            <w:shd w:val="clear" w:color="auto" w:fill="ECECEC"/>
          </w:tcPr>
          <w:p>
            <w:pPr>
              <w:spacing w:before="20" w:after="20" w:line="276" w:lineRule="auto"/>
            </w:pPr>
            <w:r/>
            <w:r>
              <w:rPr>
                <w:rFonts w:ascii="Calibri" w:hAnsi="Calibri"/>
                <w:b/>
                <w:color w:val="595959"/>
                <w:sz w:val="17"/>
              </w:rPr>
              <w:t>Occurrences</w:t>
            </w:r>
          </w:p>
        </w:tc>
      </w:tr>
      <w:tr>
        <w:tc>
          <w:tcPr>
            <w:tcW w:type="dxa" w:w="2340"/>
          </w:tcPr>
          <w:p>
            <w:pPr>
              <w:spacing w:before="20" w:after="20" w:line="276" w:lineRule="auto"/>
            </w:pPr>
            <w:r/>
            <w:r>
              <w:rPr>
                <w:rFonts w:ascii="Consolas" w:hAnsi="Consolas"/>
                <w:b w:val="0"/>
                <w:color w:val="1A1A1A"/>
                <w:sz w:val="18"/>
              </w:rPr>
              <w:t>012900</w:t>
            </w:r>
          </w:p>
        </w:tc>
        <w:tc>
          <w:tcPr>
            <w:tcW w:type="dxa" w:w="2340"/>
          </w:tcPr>
          <w:p>
            <w:pPr>
              <w:spacing w:before="20" w:after="20" w:line="276" w:lineRule="auto"/>
            </w:pPr>
            <w:r/>
            <w:r>
              <w:rPr>
                <w:rFonts w:ascii="Calibri" w:hAnsi="Calibri"/>
                <w:b w:val="0"/>
                <w:color w:val="1A1A1A"/>
                <w:sz w:val="18"/>
              </w:rPr>
              <w:t>HCU Prechrg Module Fault_0x27</w:t>
            </w:r>
          </w:p>
        </w:tc>
        <w:tc>
          <w:tcPr>
            <w:tcW w:type="dxa" w:w="2340"/>
          </w:tcPr>
          <w:p>
            <w:pPr>
              <w:spacing w:before="20" w:after="20" w:line="276" w:lineRule="auto"/>
            </w:pPr>
            <w:r/>
            <w:r>
              <w:rPr>
                <w:rFonts w:ascii="Calibri" w:hAnsi="Calibri"/>
                <w:b w:val="0"/>
                <w:color w:val="1A1A1A"/>
                <w:sz w:val="18"/>
              </w:rPr>
              <w:t>OtherError</w:t>
            </w:r>
          </w:p>
        </w:tc>
        <w:tc>
          <w:tcPr>
            <w:tcW w:type="dxa" w:w="2340"/>
          </w:tcPr>
          <w:p>
            <w:pPr>
              <w:spacing w:before="20" w:after="20" w:line="276" w:lineRule="auto"/>
            </w:pPr>
            <w:r/>
            <w:r>
              <w:rPr>
                <w:rFonts w:ascii="Calibri" w:hAnsi="Calibri"/>
                <w:b w:val="0"/>
                <w:color w:val="1A1A1A"/>
                <w:sz w:val="18"/>
              </w:rPr>
              <w:t>3× (09:14, 09:27, 09:55 UTC), all mid-session on Gun 1</w:t>
            </w:r>
          </w:p>
        </w:tc>
      </w:tr>
      <w:tr>
        <w:tc>
          <w:tcPr>
            <w:tcW w:type="dxa" w:w="2340"/>
          </w:tcPr>
          <w:p>
            <w:pPr>
              <w:spacing w:before="20" w:after="20" w:line="276" w:lineRule="auto"/>
            </w:pPr>
            <w:r/>
            <w:r>
              <w:rPr>
                <w:rFonts w:ascii="Consolas" w:hAnsi="Consolas"/>
                <w:b w:val="0"/>
                <w:color w:val="1A1A1A"/>
                <w:sz w:val="18"/>
              </w:rPr>
              <w:t>163200</w:t>
            </w:r>
          </w:p>
        </w:tc>
        <w:tc>
          <w:tcPr>
            <w:tcW w:type="dxa" w:w="2340"/>
          </w:tcPr>
          <w:p>
            <w:pPr>
              <w:spacing w:before="20" w:after="20" w:line="276" w:lineRule="auto"/>
            </w:pPr>
            <w:r/>
            <w:r>
              <w:rPr>
                <w:rFonts w:ascii="Calibri" w:hAnsi="Calibri"/>
                <w:b w:val="0"/>
                <w:color w:val="1A1A1A"/>
                <w:sz w:val="18"/>
              </w:rPr>
              <w:t>SECC detect the sequence error</w:t>
            </w:r>
          </w:p>
        </w:tc>
        <w:tc>
          <w:tcPr>
            <w:tcW w:type="dxa" w:w="2340"/>
          </w:tcPr>
          <w:p>
            <w:pPr>
              <w:spacing w:before="20" w:after="20" w:line="276" w:lineRule="auto"/>
            </w:pPr>
            <w:r/>
            <w:r>
              <w:rPr>
                <w:rFonts w:ascii="Calibri" w:hAnsi="Calibri"/>
                <w:b w:val="0"/>
                <w:color w:val="1A1A1A"/>
                <w:sz w:val="18"/>
              </w:rPr>
              <w:t>OtherError</w:t>
            </w:r>
          </w:p>
        </w:tc>
        <w:tc>
          <w:tcPr>
            <w:tcW w:type="dxa" w:w="2340"/>
          </w:tcPr>
          <w:p>
            <w:pPr>
              <w:spacing w:before="20" w:after="20" w:line="276" w:lineRule="auto"/>
            </w:pPr>
            <w:r/>
            <w:r>
              <w:rPr>
                <w:rFonts w:ascii="Calibri" w:hAnsi="Calibri"/>
                <w:b w:val="0"/>
                <w:color w:val="1A1A1A"/>
                <w:sz w:val="18"/>
              </w:rPr>
              <w:t>1× (06:06 UTC), Gun 2, isolated</w:t>
            </w:r>
          </w:p>
        </w:tc>
      </w:tr>
    </w:tbl>
    <w:p>
      <w:pPr>
        <w:spacing w:before="200" w:after="80" w:line="307" w:lineRule="auto"/>
      </w:pPr>
      <w:r>
        <w:rPr>
          <w:rFonts w:ascii="Calibri" w:hAnsi="Calibri"/>
          <w:b/>
          <w:color w:val="1A1A1A"/>
          <w:sz w:val="21"/>
        </w:rPr>
        <w:t>Questions for ZD:</w:t>
      </w:r>
    </w:p>
    <w:p>
      <w:pPr>
        <w:pStyle w:val="ListBullet"/>
        <w:spacing w:before="0" w:after="60" w:line="288" w:lineRule="auto"/>
      </w:pPr>
      <w:r>
        <w:rPr>
          <w:rFonts w:ascii="Calibri" w:hAnsi="Calibri"/>
          <w:b w:val="0"/>
          <w:color w:val="1A1A1A"/>
          <w:sz w:val="21"/>
        </w:rPr>
        <w:t>What does 012900 / HCU Prechrg Module Fault_0x27 indicate specifically — which component (precharge contactor, resistor, DC-link monitoring)?</w:t>
      </w:r>
    </w:p>
    <w:p>
      <w:pPr>
        <w:pStyle w:val="ListBullet"/>
        <w:spacing w:before="0" w:after="60" w:line="288" w:lineRule="auto"/>
      </w:pPr>
      <w:r>
        <w:rPr>
          <w:rFonts w:ascii="Calibri" w:hAnsi="Calibri"/>
          <w:b w:val="0"/>
          <w:color w:val="1A1A1A"/>
          <w:sz w:val="21"/>
        </w:rPr>
        <w:t>Why would a precharge fault trigger minutes into an active session, long after precharge completes? Is precharge re-run mid-session (e.g. on buffer↔grid source switching)?</w:t>
      </w:r>
    </w:p>
    <w:p>
      <w:pPr>
        <w:pStyle w:val="ListBullet"/>
        <w:spacing w:before="0" w:after="60" w:line="288" w:lineRule="auto"/>
      </w:pPr>
      <w:r>
        <w:rPr>
          <w:rFonts w:ascii="Calibri" w:hAnsi="Calibri"/>
          <w:b w:val="0"/>
          <w:color w:val="1A1A1A"/>
          <w:sz w:val="21"/>
        </w:rPr>
        <w:t>Why does the fault take both charging points down — is the precharge module shared across the two DC outputs?</w:t>
      </w:r>
    </w:p>
    <w:p>
      <w:pPr>
        <w:pStyle w:val="ListBullet"/>
        <w:spacing w:before="0" w:after="60" w:line="288" w:lineRule="auto"/>
      </w:pPr>
      <w:r>
        <w:rPr>
          <w:rFonts w:ascii="Calibri" w:hAnsi="Calibri"/>
          <w:b w:val="0"/>
          <w:color w:val="1A1A1A"/>
          <w:sz w:val="21"/>
        </w:rPr>
        <w:t>Does the accelerating onset (2 min 40 s → 40 s → 30 s) indicate a degrading / thermal condition versus a hard failure? Is the unit safe to keep in service?</w:t>
      </w:r>
    </w:p>
    <w:p>
      <w:pPr>
        <w:pStyle w:val="ListBullet"/>
        <w:spacing w:before="0" w:after="60" w:line="288" w:lineRule="auto"/>
      </w:pPr>
      <w:r>
        <w:rPr>
          <w:rFonts w:ascii="Calibri" w:hAnsi="Calibri"/>
          <w:b w:val="0"/>
          <w:color w:val="1A1A1A"/>
          <w:sz w:val="21"/>
        </w:rPr>
        <w:t>Recommended action — inspection or part replacement?</w:t>
      </w:r>
    </w:p>
    <w:p>
      <w:pPr>
        <w:pStyle w:val="ListBullet"/>
        <w:spacing w:before="0" w:after="60" w:line="288" w:lineRule="auto"/>
      </w:pPr>
      <w:r>
        <w:rPr>
          <w:rFonts w:ascii="Calibri" w:hAnsi="Calibri"/>
          <w:b w:val="0"/>
          <w:color w:val="1A1A1A"/>
          <w:sz w:val="21"/>
        </w:rPr>
        <w:t>Separately: is 163200 (SECC sequence error) on Gun 2 related, or an independent vehicle-handshake issue?</w:t>
      </w:r>
    </w:p>
    <w:p>
      <w:pPr>
        <w:spacing w:before="400" w:after="0" w:line="307" w:lineRule="auto"/>
      </w:pPr>
      <w:r>
        <w:rPr>
          <w:rFonts w:ascii="Calibri" w:hAnsi="Calibri"/>
          <w:b w:val="0"/>
          <w:color w:val="8C8C8C"/>
          <w:sz w:val="16"/>
        </w:rPr>
        <w:t>hydecharge-ocpi · ocpp lab  —  Sources: central-system durable fault log · TimescaleDB meter store · Loki  —  generated 2026-07-26</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