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70.png" ContentType="image/png"/>
  <Override PartName="/word/media/rId23.png" ContentType="image/png"/>
  <Override PartName="/word/media/rId169.png" ContentType="image/png"/>
  <Override PartName="/word/media/rId163.png" ContentType="image/png"/>
  <Override PartName="/word/media/rId166.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110.png" ContentType="image/png"/>
  <Override PartName="/word/media/rId133.png" ContentType="image/png"/>
  <Override PartName="/word/media/rId113.png" ContentType="image/png"/>
  <Override PartName="/word/media/rId119.png" ContentType="image/png"/>
  <Override PartName="/word/media/rId122.png" ContentType="image/png"/>
  <Override PartName="/word/media/rId125.png" ContentType="image/png"/>
  <Override PartName="/word/media/rId130.png" ContentType="image/png"/>
  <Override PartName="/word/media/rId116.png" ContentType="image/png"/>
  <Override PartName="/word/media/rId156.png" ContentType="image/png"/>
  <Override PartName="/word/media/rId153.png" ContentType="image/png"/>
  <Override PartName="/word/media/rId150.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r-para-mi"/>
    <w:p>
      <w:pPr>
        <w:pStyle w:val="Heading1"/>
      </w:pPr>
      <w:r>
        <w:t xml:space="preserve">1. R para MI</w:t>
      </w:r>
    </w:p>
    <w:bookmarkEnd w:id="20"/>
    <w:bookmarkStart w:id="26" w:name="prefacio"/>
    <w:p>
      <w:pPr>
        <w:pStyle w:val="Heading1"/>
      </w:pPr>
      <w:r>
        <w:t xml:space="preserve">Prefacio</w:t>
      </w:r>
    </w:p>
    <w:p>
      <w:pPr>
        <w:pStyle w:val="FirstParagraph"/>
      </w:pPr>
      <w:r>
        <w:t xml:space="preserve">“R para Microbiología Industrial: Análisis de Datos y Diseño Experimental con un Enfoque Práctico”</w:t>
      </w:r>
    </w:p>
    <w:p>
      <w:pPr>
        <w:pStyle w:val="BodyText"/>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a: Análisis Bibliométrico, integración de 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2. 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2.1 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2.2 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2.3 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3. 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3"/>
    <w:bookmarkStart w:id="54" w:name="introducción"/>
    <w:p>
      <w:pPr>
        <w:pStyle w:val="Heading1"/>
      </w:pPr>
      <w:r>
        <w:t xml:space="preserve">4.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4"/>
    <w:bookmarkStart w:id="99" w:name="X8f5b69bab51171b72ae2f62458f3bb0f3fbb079"/>
    <w:p>
      <w:pPr>
        <w:pStyle w:val="Heading1"/>
      </w:pPr>
      <w:r>
        <w:t xml:space="preserve">5. Capítulo 1 Introducción al software R y la interfaz RStudio</w:t>
      </w:r>
    </w:p>
    <w:p>
      <w:pPr>
        <w:pStyle w:val="FirstParagraph"/>
      </w:pPr>
      <w:r>
        <w:t xml:space="preserve">El software</w:t>
      </w:r>
      <w:r>
        <w:t xml:space="preserve"> </w:t>
      </w:r>
      <w:r>
        <w:rPr>
          <w:b/>
          <w:bCs/>
        </w:rPr>
        <w:t xml:space="preserve">R</w:t>
      </w:r>
      <w:r>
        <w:t xml:space="preserve"> </w:t>
      </w:r>
      <w:r>
        <w:t xml:space="preserve">es un entorno de programación especializado en análisis estadístico, visualización de datos y modelado científico, ampliamente utilizado en la investigación y la industria. Su integración con</w:t>
      </w:r>
      <w:r>
        <w:t xml:space="preserve"> </w:t>
      </w:r>
      <w:r>
        <w:rPr>
          <w:b/>
          <w:bCs/>
        </w:rPr>
        <w:t xml:space="preserve">RStudio</w:t>
      </w:r>
      <w:r>
        <w:t xml:space="preserve">, una interfaz de desarrollo amigable y versátil, facilita la escritura de código, la gestión de proyectos y la interpretación de resultados. A continuación, se describe el proceso de</w:t>
      </w:r>
      <w:r>
        <w:t xml:space="preserve"> </w:t>
      </w:r>
      <w:r>
        <w:rPr>
          <w:b/>
          <w:bCs/>
        </w:rPr>
        <w:t xml:space="preserve">instalación y configuración</w:t>
      </w:r>
      <w:r>
        <w:t xml:space="preserve"> </w:t>
      </w:r>
      <w:r>
        <w:t xml:space="preserve">del software R y de la interfaz</w:t>
      </w:r>
      <w:r>
        <w:t xml:space="preserve"> </w:t>
      </w:r>
      <w:r>
        <w:rPr>
          <w:b/>
          <w:bCs/>
        </w:rPr>
        <w:t xml:space="preserve">RStudio</w:t>
      </w:r>
      <w:r>
        <w:t xml:space="preserve">, así como los pasos iniciales para familiarizarse con sus principales componentes y herramientas de trabajo.</w:t>
      </w:r>
    </w:p>
    <w:bookmarkStart w:id="73" w:name="instalación-y-configuración"/>
    <w:p>
      <w:pPr>
        <w:pStyle w:val="Heading3"/>
      </w:pPr>
      <w:r>
        <w:t xml:space="preserve">5.0.1 Instalación y configuración</w:t>
      </w:r>
    </w:p>
    <w:p>
      <w:pPr>
        <w:pStyle w:val="FirstParagraph"/>
      </w:pPr>
      <w:r>
        <w:t xml:space="preserve">La instalación del software R y la interfaz RStudio (ahora llamado</w:t>
      </w:r>
      <w:r>
        <w:t xml:space="preserve"> </w:t>
      </w:r>
      <w:r>
        <w:rPr>
          <w:i/>
          <w:iCs/>
        </w:rPr>
        <w:t xml:space="preserve">Posit RStudio®</w:t>
      </w:r>
      <w:r>
        <w:t xml:space="preserve">) es un proceso sencillo que puede completarse en unos pocos pasos; primero, se debe descargar e instalar R desde el sitio web oficial del Proyecto R (</w:t>
      </w:r>
      <w:hyperlink w:anchor="X6589fc6ab0dc82cf12099d1c2d40ab994e8410c">
        <w:r>
          <w:rPr>
            <w:rStyle w:val="Hyperlink"/>
          </w:rPr>
          <w:t xml:space="preserve">https://www.r-project.org</w:t>
        </w:r>
      </w:hyperlink>
      <w:r>
        <w:t xml:space="preserve">); una vez instalado R, se puede proceder a descargar e instalar RStudio® desde su sitio web (</w:t>
      </w:r>
      <w:hyperlink w:anchor="X6589fc6ab0dc82cf12099d1c2d40ab994e8410c">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6" name="Picture"/>
            <a:graphic>
              <a:graphicData uri="http://schemas.openxmlformats.org/drawingml/2006/picture">
                <pic:pic>
                  <pic:nvPicPr>
                    <pic:cNvPr descr="images/1_Instalacion/Figura%201.png" id="57" name="Picture"/>
                    <pic:cNvPicPr>
                      <a:picLocks noChangeArrowheads="1" noChangeAspect="1"/>
                    </pic:cNvPicPr>
                  </pic:nvPicPr>
                  <pic:blipFill>
                    <a:blip r:embed="rId55"/>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59" name="Picture"/>
            <a:graphic>
              <a:graphicData uri="http://schemas.openxmlformats.org/drawingml/2006/picture">
                <pic:pic>
                  <pic:nvPicPr>
                    <pic:cNvPr descr="images/1_Instalacion/Figura%202.png" id="60" name="Picture"/>
                    <pic:cNvPicPr>
                      <a:picLocks noChangeArrowheads="1" noChangeAspect="1"/>
                    </pic:cNvPicPr>
                  </pic:nvPicPr>
                  <pic:blipFill>
                    <a:blip r:embed="rId58"/>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2" name="Picture"/>
            <a:graphic>
              <a:graphicData uri="http://schemas.openxmlformats.org/drawingml/2006/picture">
                <pic:pic>
                  <pic:nvPicPr>
                    <pic:cNvPr descr="images/1_Instalacion/Figura%203.png" id="63" name="Picture"/>
                    <pic:cNvPicPr>
                      <a:picLocks noChangeArrowheads="1" noChangeAspect="1"/>
                    </pic:cNvPicPr>
                  </pic:nvPicPr>
                  <pic:blipFill>
                    <a:blip r:embed="rId61"/>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w:t>
      </w:r>
    </w:p>
    <w:p>
      <w:pPr>
        <w:pStyle w:val="CaptionedFigure"/>
      </w:pPr>
      <w:r>
        <w:drawing>
          <wp:inline>
            <wp:extent cx="5334000" cy="2404820"/>
            <wp:effectExtent b="0" l="0" r="0" t="0"/>
            <wp:docPr descr="Figura 4." title="" id="65" name="Picture"/>
            <a:graphic>
              <a:graphicData uri="http://schemas.openxmlformats.org/drawingml/2006/picture">
                <pic:pic>
                  <pic:nvPicPr>
                    <pic:cNvPr descr="images/1_Instalacion/Figura%204.png" id="66" name="Picture"/>
                    <pic:cNvPicPr>
                      <a:picLocks noChangeArrowheads="1" noChangeAspect="1"/>
                    </pic:cNvPicPr>
                  </pic:nvPicPr>
                  <pic:blipFill>
                    <a:blip r:embed="rId64"/>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68" name="Picture"/>
            <a:graphic>
              <a:graphicData uri="http://schemas.openxmlformats.org/drawingml/2006/picture">
                <pic:pic>
                  <pic:nvPicPr>
                    <pic:cNvPr descr="images/1_Instalacion/Figura%205.png" id="69" name="Picture"/>
                    <pic:cNvPicPr>
                      <a:picLocks noChangeArrowheads="1" noChangeAspect="1"/>
                    </pic:cNvPicPr>
                  </pic:nvPicPr>
                  <pic:blipFill>
                    <a:blip r:embed="rId67"/>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coordinador.analitic\AppData\Local\Programs\Quarto\share\formats\docx\important.png" id="7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3"/>
    <w:bookmarkStart w:id="74" w:name="X8ebf729c2178da1453e9922af7c93bde14acfe7"/>
    <w:p>
      <w:pPr>
        <w:pStyle w:val="Heading3"/>
      </w:pPr>
      <w:r>
        <w:t xml:space="preserve">5.0.2 Paquetes Esenciales para el análisis de datos</w:t>
      </w:r>
    </w:p>
    <w:p>
      <w:pPr>
        <w:pStyle w:val="FirstParagraph"/>
      </w:pPr>
      <w:r>
        <w:t xml:space="preserve">De</w:t>
      </w:r>
      <w:r>
        <w:t xml:space="preserve"> </w:t>
      </w:r>
      <w:r>
        <w:rPr>
          <w:b/>
          <w:bCs/>
        </w:rPr>
        <w:t xml:space="preserve">R</w:t>
      </w:r>
      <w:r>
        <w:t xml:space="preserve"> </w:t>
      </w:r>
      <w:r>
        <w:t xml:space="preserve">se destaca su gran variedad de paquetes especializados que amplían sus capacidades analíticas y gráficas. En el contexto de la</w:t>
      </w:r>
      <w:r>
        <w:t xml:space="preserve"> </w:t>
      </w:r>
      <w:r>
        <w:rPr>
          <w:b/>
          <w:bCs/>
        </w:rPr>
        <w:t xml:space="preserve">microbiología industrial</w:t>
      </w:r>
      <w:r>
        <w:t xml:space="preserve">, estas librerías permiten gestionar, transformar y visualizar datos experimentales con precisión, favoreciendo la interpretación de resultados y la toma de decisiones basadas en evidencia. Es por ello que se presenta un inventario de los</w:t>
      </w:r>
      <w:r>
        <w:t xml:space="preserve"> </w:t>
      </w:r>
      <w:r>
        <w:rPr>
          <w:b/>
          <w:bCs/>
        </w:rPr>
        <w:t xml:space="preserve">paquetes más utilizados en el análisis de datos microbiológicos</w:t>
      </w:r>
      <w:r>
        <w:t xml:space="preserve">.</w:t>
      </w:r>
    </w:p>
    <w:bookmarkEnd w:id="74"/>
    <w:bookmarkStart w:id="94" w:name="X1234b745e99d8cb4a92dafa0969b4d5f6d6a014"/>
    <w:p>
      <w:pPr>
        <w:pStyle w:val="Heading3"/>
      </w:pPr>
      <w:r>
        <w:t xml:space="preserve">5.0.3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w:t>
      </w:r>
    </w:p>
    <w:p>
      <w:pPr>
        <w:numPr>
          <w:ilvl w:val="0"/>
          <w:numId w:val="1002"/>
        </w:numPr>
      </w:pPr>
      <w:hyperlink r:id="rId75">
        <w:r>
          <w:rPr>
            <w:rStyle w:val="Hyperlink"/>
            <w:b/>
            <w:bCs/>
            <w:i/>
            <w:iCs/>
          </w:rPr>
          <w:t xml:space="preserve">readxl</w:t>
        </w:r>
      </w:hyperlink>
      <w:r>
        <w:t xml:space="preserve">, desarrollada por</w:t>
      </w:r>
      <w:r>
        <w:t xml:space="preserve"> </w:t>
      </w:r>
      <w:r>
        <w:t xml:space="preserve">(Wickham &amp; Bryan, 2015)</w:t>
      </w:r>
      <w:r>
        <w:t xml:space="preserve">, facilita la importación de datos desde hojas de cálculo Excel®, donde tradicionalmente los microbiólogos registran sus resultados experimentales.</w:t>
      </w:r>
    </w:p>
    <w:p>
      <w:pPr>
        <w:numPr>
          <w:ilvl w:val="0"/>
          <w:numId w:val="1002"/>
        </w:numPr>
      </w:pPr>
      <w:hyperlink r:id="rId76">
        <w:r>
          <w:rPr>
            <w:rStyle w:val="Hyperlink"/>
            <w:b/>
            <w:bCs/>
            <w:i/>
            <w:iCs/>
          </w:rPr>
          <w:t xml:space="preserve">car</w:t>
        </w:r>
      </w:hyperlink>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FirstParagraph"/>
      </w:pPr>
      <w:r>
        <w:t xml:space="preserve">La revolución en el análisis de datos microbiológicos se materializa principalmente a través del libreria</w:t>
      </w:r>
      <w:r>
        <w:t xml:space="preserve"> </w:t>
      </w:r>
      <w:hyperlink r:id="rId77">
        <w:r>
          <w:rPr>
            <w:rStyle w:val="Hyperlink"/>
            <w:b/>
            <w:bCs/>
            <w:i/>
            <w:iCs/>
          </w:rPr>
          <w:t xml:space="preserve">tidyverse</w:t>
        </w:r>
      </w:hyperlink>
      <w:r>
        <w:t xml:space="preserve">, desarrollado por</w:t>
      </w:r>
      <w:r>
        <w:t xml:space="preserve"> </w:t>
      </w:r>
      <w:r>
        <w:t xml:space="preserve">(Wickham et al., 2019)</w:t>
      </w:r>
      <w:r>
        <w:t xml:space="preserve">, que integra múltiples librerías bajo una lógica común de programación, Este conjunto incluye los siguientes paquetes:</w:t>
      </w:r>
    </w:p>
    <w:p>
      <w:pPr>
        <w:numPr>
          <w:ilvl w:val="0"/>
          <w:numId w:val="1003"/>
        </w:numPr>
      </w:pPr>
      <w:hyperlink r:id="rId78">
        <w:r>
          <w:rPr>
            <w:rStyle w:val="Hyperlink"/>
            <w:b/>
            <w:bCs/>
          </w:rPr>
          <w:t xml:space="preserve">ggplot2</w:t>
        </w:r>
      </w:hyperlink>
      <w:r>
        <w:t xml:space="preserve"> </w:t>
      </w:r>
      <w:r>
        <w:t xml:space="preserve">, para visualización de datos.</w:t>
      </w:r>
    </w:p>
    <w:p>
      <w:pPr>
        <w:numPr>
          <w:ilvl w:val="0"/>
          <w:numId w:val="1003"/>
        </w:numPr>
      </w:pPr>
      <w:hyperlink r:id="rId79">
        <w:r>
          <w:rPr>
            <w:rStyle w:val="Hyperlink"/>
            <w:b/>
            <w:bCs/>
          </w:rPr>
          <w:t xml:space="preserve">dplyr</w:t>
        </w:r>
      </w:hyperlink>
      <w:r>
        <w:t xml:space="preserve"> </w:t>
      </w:r>
      <w:r>
        <w:t xml:space="preserve">, para manipulación de datos.</w:t>
      </w:r>
    </w:p>
    <w:p>
      <w:pPr>
        <w:numPr>
          <w:ilvl w:val="0"/>
          <w:numId w:val="1003"/>
        </w:numPr>
      </w:pPr>
      <w:hyperlink r:id="rId80">
        <w:r>
          <w:rPr>
            <w:rStyle w:val="Hyperlink"/>
            <w:b/>
            <w:bCs/>
          </w:rPr>
          <w:t xml:space="preserve">tidyr</w:t>
        </w:r>
      </w:hyperlink>
      <w:r>
        <w:t xml:space="preserve"> </w:t>
      </w:r>
      <w:r>
        <w:t xml:space="preserve">, para ordenar datos.</w:t>
      </w:r>
    </w:p>
    <w:p>
      <w:pPr>
        <w:numPr>
          <w:ilvl w:val="0"/>
          <w:numId w:val="1003"/>
        </w:numPr>
      </w:pPr>
      <w:hyperlink r:id="rId81">
        <w:r>
          <w:rPr>
            <w:rStyle w:val="Hyperlink"/>
            <w:b/>
            <w:bCs/>
          </w:rPr>
          <w:t xml:space="preserve">readr</w:t>
        </w:r>
      </w:hyperlink>
      <w:r>
        <w:t xml:space="preserve"> </w:t>
      </w:r>
      <w:r>
        <w:t xml:space="preserve">, para importar datos.</w:t>
      </w:r>
    </w:p>
    <w:p>
      <w:pPr>
        <w:numPr>
          <w:ilvl w:val="0"/>
          <w:numId w:val="1003"/>
        </w:numPr>
      </w:pPr>
      <w:hyperlink r:id="rId82">
        <w:r>
          <w:rPr>
            <w:rStyle w:val="Hyperlink"/>
            <w:b/>
            <w:bCs/>
          </w:rPr>
          <w:t xml:space="preserve">purrr</w:t>
        </w:r>
      </w:hyperlink>
      <w:r>
        <w:t xml:space="preserve"> </w:t>
      </w:r>
      <w:r>
        <w:t xml:space="preserve">, para programación funcional.</w:t>
      </w:r>
    </w:p>
    <w:p>
      <w:pPr>
        <w:numPr>
          <w:ilvl w:val="0"/>
          <w:numId w:val="1003"/>
        </w:numPr>
      </w:pPr>
      <w:hyperlink r:id="rId83">
        <w:r>
          <w:rPr>
            <w:rStyle w:val="Hyperlink"/>
            <w:b/>
            <w:bCs/>
          </w:rPr>
          <w:t xml:space="preserve">tibble</w:t>
        </w:r>
      </w:hyperlink>
      <w:r>
        <w:t xml:space="preserve"> </w:t>
      </w:r>
      <w:r>
        <w:t xml:space="preserve">, para tibbles, una reinvención moderna de los marcos de datos.</w:t>
      </w:r>
    </w:p>
    <w:p>
      <w:pPr>
        <w:numPr>
          <w:ilvl w:val="0"/>
          <w:numId w:val="1003"/>
        </w:numPr>
      </w:pPr>
      <w:hyperlink r:id="rId84">
        <w:r>
          <w:rPr>
            <w:rStyle w:val="Hyperlink"/>
            <w:b/>
            <w:bCs/>
          </w:rPr>
          <w:t xml:space="preserve">stringr</w:t>
        </w:r>
      </w:hyperlink>
      <w:r>
        <w:t xml:space="preserve"> </w:t>
      </w:r>
      <w:r>
        <w:t xml:space="preserve">, para cadenas.</w:t>
      </w:r>
    </w:p>
    <w:p>
      <w:pPr>
        <w:numPr>
          <w:ilvl w:val="0"/>
          <w:numId w:val="1003"/>
        </w:numPr>
      </w:pPr>
      <w:hyperlink r:id="rId85">
        <w:r>
          <w:rPr>
            <w:rStyle w:val="Hyperlink"/>
            <w:b/>
            <w:bCs/>
          </w:rPr>
          <w:t xml:space="preserve">forcats</w:t>
        </w:r>
      </w:hyperlink>
      <w:r>
        <w:t xml:space="preserve"> </w:t>
      </w:r>
      <w:r>
        <w:t xml:space="preserve">, para factores.</w:t>
      </w:r>
    </w:p>
    <w:p>
      <w:pPr>
        <w:numPr>
          <w:ilvl w:val="0"/>
          <w:numId w:val="1003"/>
        </w:numPr>
      </w:pPr>
      <w:hyperlink r:id="rId86">
        <w:r>
          <w:rPr>
            <w:rStyle w:val="Hyperlink"/>
            <w:b/>
            <w:bCs/>
          </w:rPr>
          <w:t xml:space="preserve">lubridate</w:t>
        </w:r>
      </w:hyperlink>
      <w:r>
        <w:t xml:space="preserve"> </w:t>
      </w:r>
      <w:r>
        <w:t xml:space="preserve">, para fecha/hora.</w:t>
      </w:r>
    </w:p>
    <w:p>
      <w:pPr>
        <w:pStyle w:val="FirstParagraph"/>
      </w:pPr>
      <w:r>
        <w:t xml:space="preserve">Los analísis se enriquecen, considerablemente con librerías especializadas que abordan necesidades específicas de la investigación microbiológica industrial, y tal es el caso de:</w:t>
      </w:r>
    </w:p>
    <w:p>
      <w:pPr>
        <w:numPr>
          <w:ilvl w:val="0"/>
          <w:numId w:val="1004"/>
        </w:numPr>
      </w:pPr>
      <w:hyperlink r:id="rId87">
        <w:r>
          <w:rPr>
            <w:rStyle w:val="Hyperlink"/>
            <w:b/>
            <w:bCs/>
            <w:i/>
            <w:iCs/>
          </w:rPr>
          <w:t xml:space="preserve">gridExtra</w:t>
        </w:r>
      </w:hyperlink>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w:t>
      </w:r>
    </w:p>
    <w:p>
      <w:pPr>
        <w:numPr>
          <w:ilvl w:val="0"/>
          <w:numId w:val="1004"/>
        </w:numPr>
      </w:pPr>
      <w:hyperlink r:id="rId88">
        <w:r>
          <w:rPr>
            <w:rStyle w:val="Hyperlink"/>
            <w:b/>
            <w:bCs/>
            <w:i/>
            <w:iCs/>
          </w:rPr>
          <w:t xml:space="preserve">lsr</w:t>
        </w:r>
      </w:hyperlink>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w:t>
      </w:r>
    </w:p>
    <w:p>
      <w:pPr>
        <w:numPr>
          <w:ilvl w:val="0"/>
          <w:numId w:val="1004"/>
        </w:numPr>
      </w:pPr>
      <w:hyperlink r:id="rId89">
        <w:r>
          <w:rPr>
            <w:rStyle w:val="Hyperlink"/>
            <w:b/>
            <w:bCs/>
          </w:rPr>
          <w:t xml:space="preserve">Bibliometrix</w:t>
        </w:r>
      </w:hyperlink>
      <w:r>
        <w:t xml:space="preserve">,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FirstParagraph"/>
      </w:pPr>
      <w:r>
        <w:t xml:space="preserve">Las aplicaciones especializadas en análisis multivariado y modelado avanzado complementan este inventario tecnológico, y es donde converge:</w:t>
      </w:r>
    </w:p>
    <w:p>
      <w:pPr>
        <w:numPr>
          <w:ilvl w:val="0"/>
          <w:numId w:val="1005"/>
        </w:numPr>
      </w:pPr>
      <w:hyperlink r:id="rId90">
        <w:r>
          <w:rPr>
            <w:rStyle w:val="Hyperlink"/>
            <w:b/>
            <w:bCs/>
            <w:i/>
            <w:iCs/>
          </w:rPr>
          <w:t xml:space="preserve">vegan</w:t>
        </w:r>
      </w:hyperlink>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w:t>
      </w:r>
    </w:p>
    <w:p>
      <w:pPr>
        <w:numPr>
          <w:ilvl w:val="0"/>
          <w:numId w:val="1005"/>
        </w:numPr>
      </w:pPr>
      <w:hyperlink r:id="rId91">
        <w:r>
          <w:rPr>
            <w:rStyle w:val="Hyperlink"/>
            <w:b/>
            <w:bCs/>
            <w:i/>
            <w:iCs/>
          </w:rPr>
          <w:t xml:space="preserve">nlme</w:t>
        </w:r>
      </w:hyperlink>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w:t>
      </w:r>
    </w:p>
    <w:p>
      <w:pPr>
        <w:numPr>
          <w:ilvl w:val="0"/>
          <w:numId w:val="1005"/>
        </w:numPr>
      </w:pPr>
      <w:hyperlink r:id="rId92">
        <w:r>
          <w:rPr>
            <w:rStyle w:val="Hyperlink"/>
            <w:b/>
            <w:bCs/>
            <w:i/>
            <w:iCs/>
          </w:rPr>
          <w:t xml:space="preserve">Agricolae</w:t>
        </w:r>
      </w:hyperlink>
      <w:r>
        <w:t xml:space="preserve"> </w:t>
      </w:r>
      <w:r>
        <w:t xml:space="preserve">facilita el diseño experimental</w:t>
      </w:r>
      <w:r>
        <w:t xml:space="preserve">(Mendiburu, 2020)</w:t>
      </w:r>
      <w:r>
        <w:t xml:space="preserve">.</w:t>
      </w:r>
    </w:p>
    <w:p>
      <w:pPr>
        <w:numPr>
          <w:ilvl w:val="0"/>
          <w:numId w:val="1005"/>
        </w:numPr>
      </w:pPr>
      <w:hyperlink r:id="rId93">
        <w:r>
          <w:rPr>
            <w:rStyle w:val="Hyperlink"/>
            <w:b/>
            <w:bCs/>
            <w:i/>
            <w:iCs/>
          </w:rPr>
          <w:t xml:space="preserve">Shiny</w:t>
        </w:r>
      </w:hyperlink>
      <w:r>
        <w:t xml:space="preserve"> </w:t>
      </w:r>
      <w:r>
        <w:t xml:space="preserve">permite desarrollar aplicaciones web interactivas para visualización dinámica de resultados, mejorando la colaboración y transparencia en la investigación microbiológica industrial</w:t>
      </w:r>
      <w:r>
        <w:t xml:space="preserve">(Chang et al., 2021)</w:t>
      </w:r>
      <w:r>
        <w:t xml:space="preserve">.</w:t>
      </w:r>
    </w:p>
    <w:bookmarkEnd w:id="94"/>
    <w:bookmarkStart w:id="98" w:name="X4a306b6109d731f6a0df8fe23ae255befb08621"/>
    <w:p>
      <w:pPr>
        <w:pStyle w:val="Heading3"/>
      </w:pPr>
      <w:r>
        <w:t xml:space="preserve">5.0.4 Aplicaciones del software R en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numPr>
          <w:ilvl w:val="0"/>
          <w:numId w:val="1006"/>
        </w:numPr>
      </w:pPr>
      <w:r>
        <w:t xml:space="preserve">El paquete</w:t>
      </w:r>
      <w:r>
        <w:t xml:space="preserve"> </w:t>
      </w:r>
      <w:r>
        <w:rPr>
          <w:i/>
          <w:iCs/>
        </w:rPr>
        <w:t xml:space="preserve">phyloseq</w:t>
      </w:r>
      <w:r>
        <w:t xml:space="preserve"> </w:t>
      </w:r>
      <w:r>
        <w:t xml:space="preserve">(McMurdie &amp; Holmes, 2013)</w:t>
      </w:r>
      <w:r>
        <w:t xml:space="preserve">, se emplea en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numPr>
          <w:ilvl w:val="0"/>
          <w:numId w:val="1006"/>
        </w:numPr>
      </w:pPr>
      <w:r>
        <w:t xml:space="preserve">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FirstParagraph"/>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w:t>
      </w:r>
    </w:p>
    <w:p>
      <w:pPr>
        <w:numPr>
          <w:ilvl w:val="0"/>
          <w:numId w:val="1007"/>
        </w:numPr>
      </w:pPr>
      <w:r>
        <w:t xml:space="preserve">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numPr>
          <w:ilvl w:val="0"/>
          <w:numId w:val="1007"/>
        </w:numPr>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numPr>
          <w:ilvl w:val="0"/>
          <w:numId w:val="1007"/>
        </w:numPr>
      </w:pPr>
      <w:r>
        <w:t xml:space="preserve">El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w:t>
      </w:r>
    </w:p>
    <w:p>
      <w:pPr>
        <w:numPr>
          <w:ilvl w:val="0"/>
          <w:numId w:val="1007"/>
        </w:numPr>
      </w:pPr>
      <w:r>
        <w:t xml:space="preserve">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Users\coordinador.analitic\AppData\Local\Programs\Quarto\share\formats\docx\caution.png" id="97"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8"/>
              </w:numPr>
            </w:pPr>
            <w:r>
              <w:t xml:space="preserve">transcriptómica,</w:t>
            </w:r>
          </w:p>
          <w:p>
            <w:pPr>
              <w:pStyle w:val="Compact"/>
              <w:numPr>
                <w:ilvl w:val="0"/>
                <w:numId w:val="1008"/>
              </w:numPr>
            </w:pPr>
            <w:r>
              <w:t xml:space="preserve">proteómica y</w:t>
            </w:r>
          </w:p>
          <w:p>
            <w:pPr>
              <w:pStyle w:val="Compact"/>
              <w:numPr>
                <w:ilvl w:val="0"/>
                <w:numId w:val="1008"/>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98"/>
    <w:bookmarkEnd w:id="99"/>
    <w:bookmarkStart w:id="144" w:name="X79f66dccc218f425540035bcdea2d71e5b73e87"/>
    <w:p>
      <w:pPr>
        <w:pStyle w:val="Heading1"/>
      </w:pPr>
      <w:r>
        <w:t xml:space="preserve">6. Capítulo 2 Análisis bibliométrico para la gestión de un diseño experimentos</w:t>
      </w:r>
    </w:p>
    <w:p>
      <w:pPr>
        <w:pStyle w:val="FirstParagraph"/>
      </w:pPr>
      <w:r>
        <w:t xml:space="preserve">El paquete</w:t>
      </w:r>
      <w:r>
        <w:t xml:space="preserve"> </w:t>
      </w:r>
      <w:hyperlink r:id="rId89">
        <w:r>
          <w:rPr>
            <w:rStyle w:val="Hyperlink"/>
            <w:b/>
            <w:bCs/>
          </w:rPr>
          <w:t xml:space="preserve">Bibliometrix</w:t>
        </w:r>
      </w:hyperlink>
      <w:r>
        <w:t xml:space="preserve">, desarrollado en R, constituye una herramienta clave para el análisis bibliométrico en distintas áreas del conocimiento, entre ellas la</w:t>
      </w:r>
      <w:r>
        <w:t xml:space="preserve"> </w:t>
      </w:r>
      <w:hyperlink r:id="rId21">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89">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100">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101" w:name="X7b14b49304d319255f97afd58fa2670d8628217"/>
    <w:p>
      <w:pPr>
        <w:pStyle w:val="Heading3"/>
      </w:pPr>
      <w:r>
        <w:t xml:space="preserve">6.0.1 Procedimiento para el Análisis Bibliométrico con Bibliometrix a partir de una Base de Datos Scopus</w:t>
      </w:r>
    </w:p>
    <w:p>
      <w:pPr>
        <w:pStyle w:val="FirstParagraph"/>
      </w:pPr>
      <w:r>
        <w:t xml:space="preserve">Como ejemplo de análisis bibliometrico se emplearán los datos de trabajo de grado titulado (sin publicar)</w:t>
      </w:r>
      <w:r>
        <w:t xml:space="preserve"> </w:t>
      </w:r>
      <w:r>
        <w:t xml:space="preserve">“Evaluación del crecimiento de</w:t>
      </w:r>
      <w:r>
        <w:t xml:space="preserve"> </w:t>
      </w:r>
      <w:r>
        <w:rPr>
          <w:i/>
          <w:iCs/>
        </w:rPr>
        <w:t xml:space="preserve">Cordyceps militaris</w:t>
      </w:r>
      <w:r>
        <w:t xml:space="preserve"> </w:t>
      </w:r>
      <w:r>
        <w:t xml:space="preserve">en diferentes sustratos vegetales”</w:t>
      </w:r>
      <w:r>
        <w:t xml:space="preserve">(Chala, 2025).</w:t>
      </w:r>
    </w:p>
    <w:bookmarkEnd w:id="101"/>
    <w:bookmarkStart w:id="109" w:name="X4ac4539da4698a4353bb9f02ebfa373a4541fea"/>
    <w:p>
      <w:pPr>
        <w:pStyle w:val="Heading3"/>
      </w:pPr>
      <w:r>
        <w:t xml:space="preserve">6.0.2 Palabras clave, operadores Booleanos y búsqueda en bases de datos</w:t>
      </w:r>
    </w:p>
    <w:p>
      <w:pPr>
        <w:pStyle w:val="FirstParagraph"/>
      </w:pPr>
      <w:r>
        <w:t xml:space="preserve">El primer paso consiste en generar cinco palabras claves relacionadas con el tema de estudio, como son:</w:t>
      </w:r>
    </w:p>
    <w:p>
      <w:pPr>
        <w:numPr>
          <w:ilvl w:val="0"/>
          <w:numId w:val="1009"/>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paraestudiar su crecimiento y desarrollo.</w:t>
      </w:r>
    </w:p>
    <w:p>
      <w:pPr>
        <w:numPr>
          <w:ilvl w:val="0"/>
          <w:numId w:val="1009"/>
        </w:numPr>
      </w:pPr>
      <w:r>
        <w:rPr>
          <w:i/>
          <w:iCs/>
        </w:rPr>
        <w:t xml:space="preserve">Mycelial grow</w:t>
      </w:r>
      <w:r>
        <w:t xml:space="preserve">th: crecimiento del micelio, la parte vegetativa del hongo, que escrucial para evaluar su desarrollo.</w:t>
      </w:r>
    </w:p>
    <w:p>
      <w:pPr>
        <w:numPr>
          <w:ilvl w:val="0"/>
          <w:numId w:val="1009"/>
        </w:numPr>
      </w:pPr>
      <w:r>
        <w:rPr>
          <w:i/>
          <w:iCs/>
        </w:rPr>
        <w:t xml:space="preserve">Substrate optimization</w:t>
      </w:r>
      <w:r>
        <w:t xml:space="preserve">: mejora de los sustratos utilizados para el cultivo del hongo, conel fin de maximizar su crecimiento y producción de compuestos bioactivos.</w:t>
      </w:r>
    </w:p>
    <w:p>
      <w:pPr>
        <w:numPr>
          <w:ilvl w:val="0"/>
          <w:numId w:val="1009"/>
        </w:numPr>
      </w:pPr>
      <w:r>
        <w:rPr>
          <w:i/>
          <w:iCs/>
        </w:rPr>
        <w:t xml:space="preserve">Bioactive compound</w:t>
      </w:r>
      <w:r>
        <w:t xml:space="preserve">s: compuestos producidos por Cordyceps militaris, como la cordicepina, quetienen propiedades medicinales y son un indicador de la calidad del crecimiento.</w:t>
      </w:r>
    </w:p>
    <w:p>
      <w:pPr>
        <w:numPr>
          <w:ilvl w:val="0"/>
          <w:numId w:val="1009"/>
        </w:numPr>
      </w:pPr>
      <w:r>
        <w:rPr>
          <w:i/>
          <w:iCs/>
        </w:rPr>
        <w:t xml:space="preserve">Fermentation condition</w:t>
      </w:r>
      <w:r>
        <w:t xml:space="preserve">s: condiciones de fermentación, como la temperatura, pH y nutrientes, que afectan el crecimiento y la producción de metabolitos del hongo.</w:t>
      </w:r>
    </w:p>
    <w:p>
      <w:pPr>
        <w:pStyle w:val="FirstParagraph"/>
      </w:pPr>
      <w:r>
        <w:t xml:space="preserve">El segundo paso es generar diez (10) ecuaciones de búsqueda ingresando a una de las siguientes base de revistas indexadas compatibles con Bibliometrix, como son: Web of Science (</w:t>
      </w:r>
      <w:hyperlink r:id="rId102">
        <w:r>
          <w:rPr>
            <w:rStyle w:val="Hyperlink"/>
          </w:rPr>
          <w:t xml:space="preserve">www.webofscience.com</w:t>
        </w:r>
      </w:hyperlink>
      <w:r>
        <w:t xml:space="preserve">), Scopus (</w:t>
      </w:r>
      <w:hyperlink r:id="rId103">
        <w:r>
          <w:rPr>
            <w:rStyle w:val="Hyperlink"/>
          </w:rPr>
          <w:t xml:space="preserve">www.scopus.com</w:t>
        </w:r>
      </w:hyperlink>
      <w:r>
        <w:t xml:space="preserve">); OpenAlex (</w:t>
      </w:r>
      <w:hyperlink r:id="rId104">
        <w:r>
          <w:rPr>
            <w:rStyle w:val="Hyperlink"/>
          </w:rPr>
          <w:t xml:space="preserve">www.openalex.org</w:t>
        </w:r>
      </w:hyperlink>
      <w:r>
        <w:t xml:space="preserve">); Dimensions (</w:t>
      </w:r>
      <w:hyperlink r:id="rId105">
        <w:r>
          <w:rPr>
            <w:rStyle w:val="Hyperlink"/>
          </w:rPr>
          <w:t xml:space="preserve">www.dimensions.ai</w:t>
        </w:r>
      </w:hyperlink>
      <w:r>
        <w:t xml:space="preserve">); The Lens (</w:t>
      </w:r>
      <w:hyperlink r:id="rId106">
        <w:r>
          <w:rPr>
            <w:rStyle w:val="Hyperlink"/>
          </w:rPr>
          <w:t xml:space="preserve">www.lens.org</w:t>
        </w:r>
      </w:hyperlink>
      <w:r>
        <w:t xml:space="preserve">); PubMed (</w:t>
      </w:r>
      <w:hyperlink r:id="rId107">
        <w:r>
          <w:rPr>
            <w:rStyle w:val="Hyperlink"/>
          </w:rPr>
          <w:t xml:space="preserve">https://pubmed.ncbi.nlm.nih.gov/</w:t>
        </w:r>
      </w:hyperlink>
      <w:r>
        <w:t xml:space="preserve">) y Cochrane Library (</w:t>
      </w:r>
      <w:hyperlink r:id="rId108">
        <w:r>
          <w:rPr>
            <w:rStyle w:val="Hyperlink"/>
          </w:rPr>
          <w:t xml:space="preserve">www.cochranelibrary.com/</w:t>
        </w:r>
      </w:hyperlink>
      <w:r>
        <w:t xml:space="preserve">), desde donde se utilizaran operadores booleanos relacionados con el tema, es importante que cada una de las palabras clave estén encerradas entre comillas ” ” ; al tiempo que se utilicen los conectores: AND y/o OR y NOT para refinar la búsqueda, como se muestran a continuación:</w:t>
      </w:r>
    </w:p>
    <w:p>
      <w:pPr>
        <w:numPr>
          <w:ilvl w:val="0"/>
          <w:numId w:val="1010"/>
        </w:numPr>
      </w:pPr>
      <w:r>
        <w:t xml:space="preserve">“</w:t>
      </w:r>
      <w:r>
        <w:rPr>
          <w:i/>
          <w:iCs/>
        </w:rPr>
        <w:t xml:space="preserve">Cordyceps militaris</w:t>
      </w:r>
      <w:r>
        <w:t xml:space="preserve">”</w:t>
      </w:r>
      <w:r>
        <w:t xml:space="preserve"> </w:t>
      </w:r>
      <w:r>
        <w:t xml:space="preserve">AND</w:t>
      </w:r>
      <w:r>
        <w:t xml:space="preserve"> </w:t>
      </w:r>
      <w:r>
        <w:t xml:space="preserve">“growth evaluation”</w:t>
      </w:r>
    </w:p>
    <w:p>
      <w:pPr>
        <w:numPr>
          <w:ilvl w:val="0"/>
          <w:numId w:val="1010"/>
        </w:numPr>
      </w:pPr>
      <w:r>
        <w:t xml:space="preserve">“</w:t>
      </w:r>
      <w:r>
        <w:rPr>
          <w:i/>
          <w:iCs/>
        </w:rPr>
        <w:t xml:space="preserve">Cordyceps militaris</w:t>
      </w:r>
      <w:r>
        <w:t xml:space="preserve">”</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p>
      <w:pPr>
        <w:numPr>
          <w:ilvl w:val="0"/>
          <w:numId w:val="1010"/>
        </w:numPr>
      </w:pPr>
      <w:r>
        <w:t xml:space="preserve">“Cordyceps militaris”</w:t>
      </w:r>
      <w:r>
        <w:t xml:space="preserve"> </w:t>
      </w:r>
      <w:r>
        <w:t xml:space="preserve">AND</w:t>
      </w:r>
      <w:r>
        <w:t xml:space="preserve"> </w:t>
      </w:r>
      <w:r>
        <w:t xml:space="preserve">“cordycepin”</w:t>
      </w:r>
      <w:r>
        <w:t xml:space="preserve"> </w:t>
      </w:r>
      <w:r>
        <w:t xml:space="preserve">AND</w:t>
      </w:r>
      <w:r>
        <w:t xml:space="preserve"> </w:t>
      </w:r>
      <w:r>
        <w:t xml:space="preserve">“growth”</w:t>
      </w:r>
    </w:p>
    <w:p>
      <w:pPr>
        <w:numPr>
          <w:ilvl w:val="0"/>
          <w:numId w:val="1010"/>
        </w:numPr>
      </w:pPr>
      <w:r>
        <w:t xml:space="preserve">“</w:t>
      </w:r>
      <w:r>
        <w:rPr>
          <w:i/>
          <w:iCs/>
        </w:rPr>
        <w:t xml:space="preserve">Cordyceps militaris</w:t>
      </w:r>
      <w:r>
        <w:t xml:space="preserve">”</w:t>
      </w:r>
      <w:r>
        <w:t xml:space="preserve"> </w:t>
      </w:r>
      <w:r>
        <w:t xml:space="preserve">AND</w:t>
      </w:r>
      <w:r>
        <w:t xml:space="preserve"> </w:t>
      </w:r>
      <w:r>
        <w:t xml:space="preserve">“temperature”</w:t>
      </w:r>
      <w:r>
        <w:t xml:space="preserve"> </w:t>
      </w:r>
      <w:r>
        <w:t xml:space="preserve">AND</w:t>
      </w:r>
      <w:r>
        <w:t xml:space="preserve"> </w:t>
      </w:r>
      <w:r>
        <w:t xml:space="preserve">“mycelial growth”</w:t>
      </w:r>
    </w:p>
    <w:p>
      <w:pPr>
        <w:numPr>
          <w:ilvl w:val="0"/>
          <w:numId w:val="1010"/>
        </w:numPr>
      </w:pPr>
      <w:r>
        <w:t xml:space="preserve">“</w:t>
      </w:r>
      <w:r>
        <w:rPr>
          <w:i/>
          <w:iCs/>
        </w:rPr>
        <w:t xml:space="preserve">Cordyceps militaris</w:t>
      </w:r>
      <w:r>
        <w:t xml:space="preserve">”</w:t>
      </w:r>
      <w:r>
        <w:t xml:space="preserve"> </w:t>
      </w:r>
      <w:r>
        <w:t xml:space="preserve">AND</w:t>
      </w:r>
      <w:r>
        <w:t xml:space="preserve"> </w:t>
      </w:r>
      <w:r>
        <w:t xml:space="preserve">“fermentation”</w:t>
      </w:r>
      <w:r>
        <w:t xml:space="preserve"> </w:t>
      </w:r>
      <w:r>
        <w:t xml:space="preserve">AND (</w:t>
      </w:r>
      <w:r>
        <w:t xml:space="preserve">“solid-state fermentation”</w:t>
      </w:r>
      <w:r>
        <w:t xml:space="preserve">)</w:t>
      </w:r>
    </w:p>
    <w:p>
      <w:pPr>
        <w:numPr>
          <w:ilvl w:val="0"/>
          <w:numId w:val="1010"/>
        </w:numPr>
      </w:pPr>
      <w:r>
        <w:t xml:space="preserve">“</w:t>
      </w:r>
      <w:r>
        <w:rPr>
          <w:i/>
          <w:iCs/>
        </w:rPr>
        <w:t xml:space="preserve">Cordyceps militaris</w:t>
      </w:r>
      <w:r>
        <w:t xml:space="preserve">”</w:t>
      </w:r>
      <w:r>
        <w:t xml:space="preserve"> </w:t>
      </w:r>
      <w:r>
        <w:t xml:space="preserve">AND (</w:t>
      </w:r>
      <w:r>
        <w:t xml:space="preserve">“natural growth”</w:t>
      </w:r>
      <w:r>
        <w:t xml:space="preserve"> </w:t>
      </w:r>
      <w:r>
        <w:t xml:space="preserve">OR</w:t>
      </w:r>
      <w:r>
        <w:t xml:space="preserve"> </w:t>
      </w:r>
      <w:r>
        <w:t xml:space="preserve">“artificial cultivation”</w:t>
      </w:r>
      <w:r>
        <w:t xml:space="preserve">) AND (</w:t>
      </w:r>
      <w:r>
        <w:t xml:space="preserve">“yield”</w:t>
      </w:r>
      <w:r>
        <w:t xml:space="preserve"> </w:t>
      </w:r>
      <w:r>
        <w:t xml:space="preserve">OR</w:t>
      </w:r>
      <w:r>
        <w:t xml:space="preserve"> </w:t>
      </w:r>
      <w:r>
        <w:t xml:space="preserve">“biomass production”</w:t>
      </w:r>
      <w:r>
        <w:t xml:space="preserve">)</w:t>
      </w:r>
    </w:p>
    <w:p>
      <w:pPr>
        <w:numPr>
          <w:ilvl w:val="0"/>
          <w:numId w:val="1010"/>
        </w:numPr>
      </w:pPr>
      <w:r>
        <w:t xml:space="preserve">“</w:t>
      </w:r>
      <w:r>
        <w:rPr>
          <w:i/>
          <w:iCs/>
        </w:rPr>
        <w:t xml:space="preserve">Cordyceps militaris</w:t>
      </w:r>
      <w:r>
        <w:t xml:space="preserve">”</w:t>
      </w:r>
      <w:r>
        <w:t xml:space="preserve"> </w:t>
      </w:r>
      <w:r>
        <w:t xml:space="preserve">AND (</w:t>
      </w:r>
      <w:r>
        <w:t xml:space="preserve">“metabolite profiling”</w:t>
      </w:r>
      <w:r>
        <w:t xml:space="preserve"> </w:t>
      </w:r>
      <w:r>
        <w:t xml:space="preserve">OR</w:t>
      </w:r>
      <w:r>
        <w:t xml:space="preserve"> </w:t>
      </w:r>
      <w:r>
        <w:t xml:space="preserve">“secondary metabolites”</w:t>
      </w:r>
      <w:r>
        <w:t xml:space="preserve">) AND</w:t>
      </w:r>
      <w:r>
        <w:t xml:space="preserve"> </w:t>
      </w:r>
      <w:r>
        <w:t xml:space="preserve">“growth conditions”</w:t>
      </w:r>
    </w:p>
    <w:p>
      <w:pPr>
        <w:numPr>
          <w:ilvl w:val="0"/>
          <w:numId w:val="1010"/>
        </w:numPr>
      </w:pPr>
      <w:r>
        <w:t xml:space="preserve">“</w:t>
      </w:r>
      <w:r>
        <w:rPr>
          <w:i/>
          <w:iCs/>
        </w:rPr>
        <w:t xml:space="preserve">Cordyceps militaris</w:t>
      </w:r>
      <w:r>
        <w:t xml:space="preserve">”</w:t>
      </w:r>
      <w:r>
        <w:t xml:space="preserve"> </w:t>
      </w:r>
      <w:r>
        <w:t xml:space="preserve">AND (</w:t>
      </w:r>
      <w:r>
        <w:t xml:space="preserve">“carbon source”</w:t>
      </w:r>
      <w:r>
        <w:t xml:space="preserve"> </w:t>
      </w:r>
      <w:r>
        <w:t xml:space="preserve">OR</w:t>
      </w:r>
      <w:r>
        <w:t xml:space="preserve"> </w:t>
      </w:r>
      <w:r>
        <w:t xml:space="preserve">“nitrogen source”</w:t>
      </w:r>
      <w:r>
        <w:t xml:space="preserve">) AND</w:t>
      </w:r>
      <w:r>
        <w:t xml:space="preserve"> </w:t>
      </w:r>
      <w:r>
        <w:t xml:space="preserve">“mycelial biomass”</w:t>
      </w:r>
    </w:p>
    <w:p>
      <w:pPr>
        <w:numPr>
          <w:ilvl w:val="0"/>
          <w:numId w:val="1010"/>
        </w:numPr>
      </w:pPr>
      <w:r>
        <w:t xml:space="preserve">“</w:t>
      </w:r>
      <w:r>
        <w:rPr>
          <w:i/>
          <w:iCs/>
        </w:rPr>
        <w:t xml:space="preserve">Cordyceps militaris</w:t>
      </w:r>
      <w:r>
        <w:t xml:space="preserve">”</w:t>
      </w:r>
      <w:r>
        <w:t xml:space="preserve"> </w:t>
      </w:r>
      <w:r>
        <w:t xml:space="preserve">AND (</w:t>
      </w:r>
      <w:r>
        <w:t xml:space="preserve">“rice medium”</w:t>
      </w:r>
      <w:r>
        <w:t xml:space="preserve"> </w:t>
      </w:r>
      <w:r>
        <w:t xml:space="preserve">OR</w:t>
      </w:r>
      <w:r>
        <w:t xml:space="preserve"> </w:t>
      </w:r>
      <w:r>
        <w:t xml:space="preserve">“wheat medium”</w:t>
      </w:r>
      <w:r>
        <w:t xml:space="preserve"> </w:t>
      </w:r>
      <w:r>
        <w:t xml:space="preserve">OR</w:t>
      </w:r>
      <w:r>
        <w:t xml:space="preserve"> </w:t>
      </w:r>
      <w:r>
        <w:t xml:space="preserve">“synthetic medium”</w:t>
      </w:r>
      <w:r>
        <w:t xml:space="preserve">) AND</w:t>
      </w:r>
      <w:r>
        <w:t xml:space="preserve"> </w:t>
      </w:r>
      <w:r>
        <w:t xml:space="preserve">“growth performance”</w:t>
      </w:r>
    </w:p>
    <w:p>
      <w:pPr>
        <w:numPr>
          <w:ilvl w:val="0"/>
          <w:numId w:val="1010"/>
        </w:numPr>
      </w:pPr>
      <w:r>
        <w:t xml:space="preserve">“</w:t>
      </w:r>
      <w:r>
        <w:rPr>
          <w:i/>
          <w:iCs/>
        </w:rPr>
        <w:t xml:space="preserve">Cordyceps militaris</w:t>
      </w:r>
      <w:r>
        <w:t xml:space="preserve">”</w:t>
      </w:r>
      <w:r>
        <w:t xml:space="preserve"> </w:t>
      </w:r>
      <w:r>
        <w:t xml:space="preserve">AND</w:t>
      </w:r>
      <w:r>
        <w:t xml:space="preserve"> </w:t>
      </w:r>
      <w:r>
        <w:t xml:space="preserve">“commercial production”</w:t>
      </w:r>
      <w:r>
        <w:t xml:space="preserve"> </w:t>
      </w:r>
      <w:r>
        <w:t xml:space="preserve">AND (</w:t>
      </w:r>
      <w:r>
        <w:t xml:space="preserve">“growth enhancement”</w:t>
      </w:r>
      <w:r>
        <w:t xml:space="preserve"> </w:t>
      </w:r>
      <w:r>
        <w:t xml:space="preserve">OR</w:t>
      </w:r>
      <w:r>
        <w:t xml:space="preserve"> </w:t>
      </w:r>
      <w:r>
        <w:t xml:space="preserve">“yield improvement”</w:t>
      </w:r>
    </w:p>
    <w:p>
      <w:pPr>
        <w:pStyle w:val="FirstParagraph"/>
      </w:pPr>
      <w:r>
        <w:t xml:space="preserve">En la Tabla 1, se aprecian el número de publicaciones científicas relacionadas con algunas de las ecuanciones de búsqueda, lo que permitirá la elección del resultado más promisorio, para seguidamente proceder con el proceso de descarga de los metadatos en formato .csv.</w:t>
      </w:r>
    </w:p>
    <w:p>
      <w:pPr>
        <w:pStyle w:val="TableCaption"/>
      </w:pPr>
      <w:r>
        <w:t xml:space="preserve">Tabla 1. Salida de resultados para cada uno de los operadores booleanos, introducidos dentro de la plataforma de Scopus®, y que están con el tema de investigación de 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5940"/>
        <w:gridCol w:w="1980"/>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109"/>
    <w:bookmarkStart w:id="128" w:name="analísis-con-bibliometrix"/>
    <w:p>
      <w:pPr>
        <w:pStyle w:val="Heading3"/>
      </w:pPr>
      <w:r>
        <w:t xml:space="preserve">6.0.3 Analísis con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111" name="Picture"/>
            <a:graphic>
              <a:graphicData uri="http://schemas.openxmlformats.org/drawingml/2006/picture">
                <pic:pic>
                  <pic:nvPicPr>
                    <pic:cNvPr descr="images/2_Bibliometrix/Bibliometrix1.PNG" id="112" name="Picture"/>
                    <pic:cNvPicPr>
                      <a:picLocks noChangeArrowheads="1" noChangeAspect="1"/>
                    </pic:cNvPicPr>
                  </pic:nvPicPr>
                  <pic:blipFill>
                    <a:blip r:embed="rId110"/>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 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114" name="Picture"/>
            <a:graphic>
              <a:graphicData uri="http://schemas.openxmlformats.org/drawingml/2006/picture">
                <pic:pic>
                  <pic:nvPicPr>
                    <pic:cNvPr descr="images/2_Bibliometrix/Bibliometrix2.PNG" id="115" name="Picture"/>
                    <pic:cNvPicPr>
                      <a:picLocks noChangeArrowheads="1" noChangeAspect="1"/>
                    </pic:cNvPicPr>
                  </pic:nvPicPr>
                  <pic:blipFill>
                    <a:blip r:embed="rId113"/>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17" name="Picture"/>
            <a:graphic>
              <a:graphicData uri="http://schemas.openxmlformats.org/drawingml/2006/picture">
                <pic:pic>
                  <pic:nvPicPr>
                    <pic:cNvPr descr="images/2_Bibliometrix/Figura_9.png" id="118" name="Picture"/>
                    <pic:cNvPicPr>
                      <a:picLocks noChangeArrowheads="1" noChangeAspect="1"/>
                    </pic:cNvPicPr>
                  </pic:nvPicPr>
                  <pic:blipFill>
                    <a:blip r:embed="rId116"/>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En la parte izquierda se despliega el menú de biblioshiny, y se procede con la importación en</w:t>
      </w:r>
      <w:r>
        <w:t xml:space="preserve"> </w:t>
      </w:r>
      <w:r>
        <w:t xml:space="preserve">“</w:t>
      </w:r>
      <w:r>
        <w:rPr>
          <w:i/>
          <w:iCs/>
        </w:rPr>
        <w:t xml:space="preserve">Import or Load</w:t>
      </w:r>
      <w:r>
        <w:t xml:space="preserve">”</w:t>
      </w:r>
      <w:r>
        <w:t xml:space="preserve"> </w:t>
      </w:r>
      <w:r>
        <w:t xml:space="preserve">se carga el archivo CSV</w:t>
      </w:r>
      <w:r>
        <w:t xml:space="preserve"> </w:t>
      </w:r>
      <w:r>
        <w:t xml:space="preserve">(Aria &amp; Cuccurullo, 2017)</w:t>
      </w:r>
      <w:r>
        <w:t xml:space="preserve">,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20" name="Picture"/>
            <a:graphic>
              <a:graphicData uri="http://schemas.openxmlformats.org/drawingml/2006/picture">
                <pic:pic>
                  <pic:nvPicPr>
                    <pic:cNvPr descr="images/2_Bibliometrix/Figura_10.png" id="121" name="Picture"/>
                    <pic:cNvPicPr>
                      <a:picLocks noChangeArrowheads="1" noChangeAspect="1"/>
                    </pic:cNvPicPr>
                  </pic:nvPicPr>
                  <pic:blipFill>
                    <a:blip r:embed="rId119"/>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23" name="Picture"/>
            <a:graphic>
              <a:graphicData uri="http://schemas.openxmlformats.org/drawingml/2006/picture">
                <pic:pic>
                  <pic:nvPicPr>
                    <pic:cNvPr descr="images/2_Bibliometrix/Figura_11.png" id="124" name="Picture"/>
                    <pic:cNvPicPr>
                      <a:picLocks noChangeArrowheads="1" noChangeAspect="1"/>
                    </pic:cNvPicPr>
                  </pic:nvPicPr>
                  <pic:blipFill>
                    <a:blip r:embed="rId122"/>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26" name="Picture"/>
            <a:graphic>
              <a:graphicData uri="http://schemas.openxmlformats.org/drawingml/2006/picture">
                <pic:pic>
                  <pic:nvPicPr>
                    <pic:cNvPr descr="images/2_Bibliometrix/Figura_12.png" id="127" name="Picture"/>
                    <pic:cNvPicPr>
                      <a:picLocks noChangeArrowheads="1" noChangeAspect="1"/>
                    </pic:cNvPicPr>
                  </pic:nvPicPr>
                  <pic:blipFill>
                    <a:blip r:embed="rId125"/>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bookmarkEnd w:id="128"/>
    <w:bookmarkStart w:id="143" w:name="estructura"/>
    <w:p>
      <w:pPr>
        <w:pStyle w:val="Heading3"/>
      </w:pPr>
      <w:r>
        <w:t xml:space="preserve">6.0.4 Estructura</w:t>
      </w:r>
    </w:p>
    <w:p>
      <w:pPr>
        <w:pStyle w:val="FirstParagraph"/>
      </w:pPr>
      <w:r>
        <w:rPr>
          <w:b/>
          <w:bCs/>
        </w:rPr>
        <w:t xml:space="preserve">Bibliometrix</w:t>
      </w:r>
      <w:r>
        <w:t xml:space="preserve"> </w:t>
      </w:r>
      <w:r>
        <w:t xml:space="preserve">(a través de su interfaz</w:t>
      </w:r>
      <w:r>
        <w:t xml:space="preserve"> </w:t>
      </w:r>
      <w:r>
        <w:rPr>
          <w:b/>
          <w:bCs/>
        </w:rPr>
        <w:t xml:space="preserve">Biblioshiny</w:t>
      </w:r>
      <w:r>
        <w:t xml:space="preserve">) está estructurado en</w:t>
      </w:r>
      <w:r>
        <w:t xml:space="preserve"> </w:t>
      </w:r>
      <w:r>
        <w:rPr>
          <w:b/>
          <w:bCs/>
        </w:rPr>
        <w:t xml:space="preserve">8 módulos principales</w:t>
      </w:r>
      <w:r>
        <w:t xml:space="preserve"> </w:t>
      </w:r>
      <w:r>
        <w:t xml:space="preserve">o menús, y dentro de cada uno hay</w:t>
      </w:r>
      <w:r>
        <w:t xml:space="preserve"> </w:t>
      </w:r>
      <w:r>
        <w:rPr>
          <w:b/>
          <w:bCs/>
        </w:rPr>
        <w:t xml:space="preserve">submódulos o indicadores específicos</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tbl-bibliometrix"/>
          <w:p>
            <w:pPr>
              <w:jc w:val="center"/>
            </w:pPr>
            <w:pPr>
              <w:jc w:val="start"/>
              <w:spacing w:before="200"/>
              <w:pStyle w:val="ImageCaption"/>
            </w:pPr>
            <w:r>
              <w:t xml:space="preserve">Tabla 6.1: Módulos principales de Bibliometrix / Biblioshiny</w:t>
            </w:r>
          </w:p>
          <w:tbl>
            <w:tblPr>
              <w:tblStyle w:val="Table"/>
              <w:tblW w:type="pct" w:w="5000"/>
              <w:tblLayout w:type="fixed"/>
              <w:tblLook w:firstRow="1" w:lastRow="0" w:firstColumn="0" w:lastColumn="0" w:noHBand="0" w:noVBand="0" w:val="0020"/>
            </w:tblPr>
            <w:tblGrid>
              <w:gridCol w:w="1430"/>
              <w:gridCol w:w="1430"/>
              <w:gridCol w:w="2310"/>
              <w:gridCol w:w="2750"/>
            </w:tblGrid>
            <w:tr>
              <w:trPr>
                <w:tblHeader w:val="on"/>
              </w:trPr>
              <w:tc>
                <w:tcPr/>
                <w:p>
                  <w:pPr>
                    <w:pStyle w:val="Compact"/>
                    <w:jc w:val="right"/>
                    <w:jc w:val="center"/>
                  </w:pPr>
                  <w:r>
                    <w:t xml:space="preserve">Nº</w:t>
                  </w:r>
                </w:p>
              </w:tc>
              <w:tc>
                <w:tcPr/>
                <w:p>
                  <w:pPr>
                    <w:pStyle w:val="Compact"/>
                    <w:jc w:val="center"/>
                  </w:pPr>
                  <w:r>
                    <w:t xml:space="preserve">Módulo</w:t>
                  </w:r>
                </w:p>
              </w:tc>
              <w:tc>
                <w:tcPr/>
                <w:p>
                  <w:pPr>
                    <w:pStyle w:val="Compact"/>
                    <w:jc w:val="center"/>
                  </w:pPr>
                  <w:r>
                    <w:t xml:space="preserve">Función general</w:t>
                  </w:r>
                </w:p>
              </w:tc>
              <w:tc>
                <w:tcPr/>
                <w:p>
                  <w:pPr>
                    <w:pStyle w:val="Compact"/>
                    <w:jc w:val="center"/>
                  </w:pPr>
                  <w:r>
                    <w:t xml:space="preserve">Submódulos / indicadores</w:t>
                  </w:r>
                </w:p>
              </w:tc>
            </w:tr>
            <w:tr>
              <w:tc>
                <w:tcPr/>
                <w:p>
                  <w:pPr>
                    <w:pStyle w:val="Compact"/>
                    <w:jc w:val="right"/>
                    <w:jc w:val="center"/>
                  </w:pPr>
                  <w:r>
                    <w:t xml:space="preserve">1</w:t>
                  </w:r>
                </w:p>
              </w:tc>
              <w:tc>
                <w:tcPr/>
                <w:p>
                  <w:pPr>
                    <w:pStyle w:val="Compact"/>
                    <w:jc w:val="center"/>
                  </w:pPr>
                  <w:r>
                    <w:rPr>
                      <w:b/>
                      <w:bCs/>
                    </w:rPr>
                    <w:t xml:space="preserve">Data</w:t>
                  </w:r>
                </w:p>
              </w:tc>
              <w:tc>
                <w:tcPr/>
                <w:p>
                  <w:pPr>
                    <w:pStyle w:val="Compact"/>
                    <w:jc w:val="center"/>
                  </w:pPr>
                  <w:r>
                    <w:t xml:space="preserve">Importar/cargar bases bibliográficas (Scopus, WoS, PubMed, etc.).</w:t>
                  </w:r>
                </w:p>
              </w:tc>
              <w:tc>
                <w:tcPr/>
                <w:p>
                  <w:pPr>
                    <w:pStyle w:val="Compact"/>
                    <w:jc w:val="center"/>
                  </w:pPr>
                  <w:r>
                    <w:t xml:space="preserve">Import or Load; Merge Datasets</w:t>
                  </w:r>
                </w:p>
              </w:tc>
            </w:tr>
            <w:tr>
              <w:tc>
                <w:tcPr/>
                <w:p>
                  <w:pPr>
                    <w:pStyle w:val="Compact"/>
                    <w:jc w:val="right"/>
                    <w:jc w:val="center"/>
                  </w:pPr>
                  <w:r>
                    <w:t xml:space="preserve">2</w:t>
                  </w:r>
                </w:p>
              </w:tc>
              <w:tc>
                <w:tcPr/>
                <w:p>
                  <w:pPr>
                    <w:pStyle w:val="Compact"/>
                    <w:jc w:val="center"/>
                  </w:pPr>
                  <w:r>
                    <w:rPr>
                      <w:b/>
                      <w:bCs/>
                    </w:rPr>
                    <w:t xml:space="preserve">Filters</w:t>
                  </w:r>
                </w:p>
              </w:tc>
              <w:tc>
                <w:tcPr/>
                <w:p>
                  <w:pPr>
                    <w:pStyle w:val="Compact"/>
                    <w:jc w:val="center"/>
                  </w:pPr>
                  <w:r>
                    <w:t xml:space="preserve">Filtrar el corpus por año, tipo de documento, autores, países, palabras clave.</w:t>
                  </w:r>
                </w:p>
              </w:tc>
              <w:tc>
                <w:tcPr/>
                <w:p>
                  <w:pPr>
                    <w:pStyle w:val="Compact"/>
                    <w:jc w:val="center"/>
                  </w:pPr>
                  <w:r>
                    <w:t xml:space="preserve">Time Span; Authors; Countries</w:t>
                  </w:r>
                </w:p>
              </w:tc>
            </w:tr>
            <w:tr>
              <w:tc>
                <w:tcPr/>
                <w:p>
                  <w:pPr>
                    <w:pStyle w:val="Compact"/>
                    <w:jc w:val="right"/>
                    <w:jc w:val="center"/>
                  </w:pPr>
                  <w:r>
                    <w:t xml:space="preserve">3</w:t>
                  </w:r>
                </w:p>
              </w:tc>
              <w:tc>
                <w:tcPr/>
                <w:p>
                  <w:pPr>
                    <w:pStyle w:val="Compact"/>
                    <w:jc w:val="center"/>
                  </w:pPr>
                  <w:r>
                    <w:rPr>
                      <w:b/>
                      <w:bCs/>
                    </w:rPr>
                    <w:t xml:space="preserve">Overview</w:t>
                  </w:r>
                </w:p>
              </w:tc>
              <w:tc>
                <w:tcPr/>
                <w:p>
                  <w:pPr>
                    <w:pStyle w:val="Compact"/>
                    <w:jc w:val="center"/>
                  </w:pPr>
                  <w:r>
                    <w:t xml:space="preserve">Panorama general con indicadores descriptivos.</w:t>
                  </w:r>
                </w:p>
              </w:tc>
              <w:tc>
                <w:tcPr/>
                <w:p>
                  <w:pPr>
                    <w:pStyle w:val="Compact"/>
                    <w:jc w:val="center"/>
                  </w:pPr>
                  <w:r>
                    <w:t xml:space="preserve">Main Information; Annual Scientific Production; Average Citations per Year; Three-Field Plot</w:t>
                  </w:r>
                </w:p>
              </w:tc>
            </w:tr>
            <w:tr>
              <w:tc>
                <w:tcPr/>
                <w:p>
                  <w:pPr>
                    <w:pStyle w:val="Compact"/>
                    <w:jc w:val="right"/>
                    <w:jc w:val="center"/>
                  </w:pPr>
                  <w:r>
                    <w:t xml:space="preserve">4</w:t>
                  </w:r>
                </w:p>
              </w:tc>
              <w:tc>
                <w:tcPr/>
                <w:p>
                  <w:pPr>
                    <w:pStyle w:val="Compact"/>
                    <w:jc w:val="center"/>
                  </w:pPr>
                  <w:r>
                    <w:rPr>
                      <w:b/>
                      <w:bCs/>
                    </w:rPr>
                    <w:t xml:space="preserve">Sources</w:t>
                  </w:r>
                </w:p>
              </w:tc>
              <w:tc>
                <w:tcPr/>
                <w:p>
                  <w:pPr>
                    <w:pStyle w:val="Compact"/>
                    <w:jc w:val="center"/>
                  </w:pPr>
                  <w:r>
                    <w:t xml:space="preserve">Análisis de revistas/fuentes.</w:t>
                  </w:r>
                </w:p>
              </w:tc>
              <w:tc>
                <w:tcPr/>
                <w:p>
                  <w:pPr>
                    <w:pStyle w:val="Compact"/>
                    <w:jc w:val="center"/>
                  </w:pPr>
                  <w:r>
                    <w:t xml:space="preserve">Most Relevant Sources; Bradford’s Law</w:t>
                  </w:r>
                </w:p>
              </w:tc>
            </w:tr>
            <w:tr>
              <w:tc>
                <w:tcPr/>
                <w:p>
                  <w:pPr>
                    <w:pStyle w:val="Compact"/>
                    <w:jc w:val="right"/>
                    <w:jc w:val="center"/>
                  </w:pPr>
                  <w:r>
                    <w:t xml:space="preserve">5</w:t>
                  </w:r>
                </w:p>
              </w:tc>
              <w:tc>
                <w:tcPr/>
                <w:p>
                  <w:pPr>
                    <w:pStyle w:val="Compact"/>
                    <w:jc w:val="center"/>
                  </w:pPr>
                  <w:r>
                    <w:rPr>
                      <w:b/>
                      <w:bCs/>
                    </w:rPr>
                    <w:t xml:space="preserve">Authors</w:t>
                  </w:r>
                </w:p>
              </w:tc>
              <w:tc>
                <w:tcPr/>
                <w:p>
                  <w:pPr>
                    <w:pStyle w:val="Compact"/>
                    <w:jc w:val="center"/>
                  </w:pPr>
                  <w:r>
                    <w:t xml:space="preserve">Productividad, impacto y colaboración de autores.</w:t>
                  </w:r>
                </w:p>
              </w:tc>
              <w:tc>
                <w:tcPr/>
                <w:p>
                  <w:pPr>
                    <w:pStyle w:val="Compact"/>
                    <w:jc w:val="center"/>
                  </w:pPr>
                  <w:r>
                    <w:t xml:space="preserve">Authors’ Production Over Time; Most Cited Authors; Collaboration Network</w:t>
                  </w:r>
                </w:p>
              </w:tc>
            </w:tr>
            <w:tr>
              <w:tc>
                <w:tcPr/>
                <w:p>
                  <w:pPr>
                    <w:pStyle w:val="Compact"/>
                    <w:jc w:val="right"/>
                    <w:jc w:val="center"/>
                  </w:pPr>
                  <w:r>
                    <w:t xml:space="preserve">6</w:t>
                  </w:r>
                </w:p>
              </w:tc>
              <w:tc>
                <w:tcPr/>
                <w:p>
                  <w:pPr>
                    <w:pStyle w:val="Compact"/>
                    <w:jc w:val="center"/>
                  </w:pPr>
                  <w:r>
                    <w:rPr>
                      <w:b/>
                      <w:bCs/>
                    </w:rPr>
                    <w:t xml:space="preserve">Documents</w:t>
                  </w:r>
                </w:p>
              </w:tc>
              <w:tc>
                <w:tcPr/>
                <w:p>
                  <w:pPr>
                    <w:pStyle w:val="Compact"/>
                    <w:jc w:val="center"/>
                  </w:pPr>
                  <w:r>
                    <w:t xml:space="preserve">Documentos más citados y patrones de citación.</w:t>
                  </w:r>
                </w:p>
              </w:tc>
              <w:tc>
                <w:tcPr/>
                <w:p>
                  <w:pPr>
                    <w:pStyle w:val="Compact"/>
                    <w:jc w:val="center"/>
                  </w:pPr>
                  <w:r>
                    <w:t xml:space="preserve">Most Cited Documents; Reference Spectroscopy</w:t>
                  </w:r>
                </w:p>
              </w:tc>
            </w:tr>
            <w:tr>
              <w:tc>
                <w:tcPr/>
                <w:p>
                  <w:pPr>
                    <w:pStyle w:val="Compact"/>
                    <w:jc w:val="right"/>
                    <w:jc w:val="center"/>
                  </w:pPr>
                  <w:r>
                    <w:t xml:space="preserve">7</w:t>
                  </w:r>
                </w:p>
              </w:tc>
              <w:tc>
                <w:tcPr/>
                <w:p>
                  <w:pPr>
                    <w:pStyle w:val="Compact"/>
                    <w:jc w:val="center"/>
                  </w:pPr>
                  <w:r>
                    <w:rPr>
                      <w:b/>
                      <w:bCs/>
                    </w:rPr>
                    <w:t xml:space="preserve">Clustering (Conceptual Structure)</w:t>
                  </w:r>
                </w:p>
              </w:tc>
              <w:tc>
                <w:tcPr/>
                <w:p>
                  <w:pPr>
                    <w:pStyle w:val="Compact"/>
                    <w:jc w:val="center"/>
                  </w:pPr>
                  <w:r>
                    <w:t xml:space="preserve">Estructura temática/conceptual del campo.</w:t>
                  </w:r>
                </w:p>
              </w:tc>
              <w:tc>
                <w:tcPr/>
                <w:p>
                  <w:pPr>
                    <w:pStyle w:val="Compact"/>
                    <w:jc w:val="center"/>
                  </w:pPr>
                  <w:r>
                    <w:t xml:space="preserve">Co-occurrence Network; Thematic Map; Factorial Analysis</w:t>
                  </w:r>
                </w:p>
              </w:tc>
            </w:tr>
            <w:tr>
              <w:tc>
                <w:tcPr/>
                <w:p>
                  <w:pPr>
                    <w:pStyle w:val="Compact"/>
                    <w:jc w:val="right"/>
                    <w:jc w:val="center"/>
                  </w:pPr>
                  <w:r>
                    <w:t xml:space="preserve">8</w:t>
                  </w:r>
                </w:p>
              </w:tc>
              <w:tc>
                <w:tcPr/>
                <w:p>
                  <w:pPr>
                    <w:pStyle w:val="Compact"/>
                    <w:jc w:val="center"/>
                  </w:pPr>
                  <w:r>
                    <w:rPr>
                      <w:b/>
                      <w:bCs/>
                    </w:rPr>
                    <w:t xml:space="preserve">Social Structure</w:t>
                  </w:r>
                </w:p>
              </w:tc>
              <w:tc>
                <w:tcPr/>
                <w:p>
                  <w:pPr>
                    <w:pStyle w:val="Compact"/>
                    <w:jc w:val="center"/>
                  </w:pPr>
                  <w:r>
                    <w:t xml:space="preserve">Redes de colaboración entre autores, instituciones y países.</w:t>
                  </w:r>
                </w:p>
              </w:tc>
              <w:tc>
                <w:tcPr/>
                <w:p>
                  <w:pPr>
                    <w:pStyle w:val="Compact"/>
                    <w:jc w:val="center"/>
                  </w:pPr>
                  <w:r>
                    <w:t xml:space="preserve">Collaboration Network; Country Scientific Production; Collaboration World Map</w:t>
                  </w:r>
                </w:p>
              </w:tc>
            </w:tr>
          </w:tbl>
          <w:bookmarkEnd w:id="129"/>
          <w:p/>
        </w:tc>
      </w:tr>
    </w:tbl>
    <w:bookmarkStart w:id="142" w:name="modulo-overview"/>
    <w:p>
      <w:pPr>
        <w:pStyle w:val="Heading4"/>
      </w:pPr>
      <w:r>
        <w:t xml:space="preserve">6.0.4.1</w:t>
      </w:r>
      <w:r>
        <w:t xml:space="preserve"> </w:t>
      </w:r>
      <w:r>
        <w:rPr>
          <w:b/>
          <w:bCs/>
        </w:rPr>
        <w:t xml:space="preserve">Modulo</w:t>
      </w:r>
      <w:r>
        <w:rPr>
          <w:b/>
          <w:bCs/>
        </w:rPr>
        <w:t xml:space="preserve"> </w:t>
      </w:r>
      <w:r>
        <w:rPr>
          <w:b/>
          <w:bCs/>
          <w:i/>
          <w:iCs/>
        </w:rPr>
        <w:t xml:space="preserve">Overview</w:t>
      </w:r>
    </w:p>
    <w:p>
      <w:pPr>
        <w:pStyle w:val="FirstParagraph"/>
      </w:pPr>
      <w:r>
        <w:t xml:space="preserve">El indicador</w:t>
      </w:r>
      <w:r>
        <w:t xml:space="preserve"> </w:t>
      </w:r>
      <w:r>
        <w:rPr>
          <w:b/>
          <w:bCs/>
          <w:i/>
          <w:iCs/>
        </w:rPr>
        <w:t xml:space="preserve">Main information</w:t>
      </w:r>
      <w:r>
        <w:t xml:space="preserve"> </w:t>
      </w:r>
      <w:r>
        <w:t xml:space="preserve">muestra los valores de los metadatos trabajados, para este ejemplo se tiene un periodo de análisis de1951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p>
    <w:p>
      <w:pPr>
        <w:pStyle w:val="CaptionedFigure"/>
      </w:pPr>
      <w:r>
        <w:drawing>
          <wp:inline>
            <wp:extent cx="5237018" cy="2135731"/>
            <wp:effectExtent b="0" l="0" r="0" t="0"/>
            <wp:docPr descr="Figura 13" title="" id="131" name="Picture"/>
            <a:graphic>
              <a:graphicData uri="http://schemas.openxmlformats.org/drawingml/2006/picture">
                <pic:pic>
                  <pic:nvPicPr>
                    <pic:cNvPr descr="images/2_Bibliometrix/Figura_13.png" id="132" name="Picture"/>
                    <pic:cNvPicPr>
                      <a:picLocks noChangeArrowheads="1" noChangeAspect="1"/>
                    </pic:cNvPicPr>
                  </pic:nvPicPr>
                  <pic:blipFill>
                    <a:blip r:embed="rId130"/>
                    <a:stretch>
                      <a:fillRect/>
                    </a:stretch>
                  </pic:blipFill>
                  <pic:spPr bwMode="auto">
                    <a:xfrm>
                      <a:off x="0" y="0"/>
                      <a:ext cx="5237018" cy="2135731"/>
                    </a:xfrm>
                    <a:prstGeom prst="rect">
                      <a:avLst/>
                    </a:prstGeom>
                    <a:noFill/>
                    <a:ln w="9525">
                      <a:noFill/>
                      <a:headEnd/>
                      <a:tailEnd/>
                    </a:ln>
                  </pic:spPr>
                </pic:pic>
              </a:graphicData>
            </a:graphic>
          </wp:inline>
        </w:drawing>
      </w:r>
    </w:p>
    <w:p>
      <w:pPr>
        <w:pStyle w:val="ImageCaption"/>
      </w:pPr>
      <w:r>
        <w:t xml:space="preserve">Figura 13</w:t>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se muestra que: la evolución de la cantidad de artículos científicos relacionados con</w:t>
      </w:r>
      <w:r>
        <w:t xml:space="preserve"> </w:t>
      </w:r>
      <w:r>
        <w:rPr>
          <w:i/>
          <w:iCs/>
        </w:rPr>
        <w:t xml:space="preserve">Cordyceps militaris</w:t>
      </w:r>
      <w:r>
        <w:t xml:space="preserve"> </w:t>
      </w:r>
      <w:r>
        <w:t xml:space="preserve">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5334000" cy="2760553"/>
            <wp:effectExtent b="0" l="0" r="0" t="0"/>
            <wp:docPr descr="" title="" id="134" name="Picture"/>
            <a:graphic>
              <a:graphicData uri="http://schemas.openxmlformats.org/drawingml/2006/picture">
                <pic:pic>
                  <pic:nvPicPr>
                    <pic:cNvPr descr="images/2_Bibliometrix/Bibliometrix12.PNG" id="135" name="Picture"/>
                    <pic:cNvPicPr>
                      <a:picLocks noChangeArrowheads="1" noChangeAspect="1"/>
                    </pic:cNvPicPr>
                  </pic:nvPicPr>
                  <pic:blipFill>
                    <a:blip r:embed="rId133"/>
                    <a:stretch>
                      <a:fillRect/>
                    </a:stretch>
                  </pic:blipFill>
                  <pic:spPr bwMode="auto">
                    <a:xfrm>
                      <a:off x="0" y="0"/>
                      <a:ext cx="5334000" cy="2760553"/>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36" name="Picture"/>
            <a:graphic>
              <a:graphicData uri="http://schemas.openxmlformats.org/drawingml/2006/picture">
                <pic:pic>
                  <pic:nvPicPr>
                    <pic:cNvPr descr="images/2_Bibliometrix/Figura_11.png" id="137" name="Picture"/>
                    <pic:cNvPicPr>
                      <a:picLocks noChangeArrowheads="1" noChangeAspect="1"/>
                    </pic:cNvPicPr>
                  </pic:nvPicPr>
                  <pic:blipFill>
                    <a:blip r:embed="rId122"/>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38" name="Picture"/>
            <a:graphic>
              <a:graphicData uri="http://schemas.openxmlformats.org/drawingml/2006/picture">
                <pic:pic>
                  <pic:nvPicPr>
                    <pic:cNvPr descr="images/2_Bibliometrix/Figura_10.png" id="139" name="Picture"/>
                    <pic:cNvPicPr>
                      <a:picLocks noChangeArrowheads="1" noChangeAspect="1"/>
                    </pic:cNvPicPr>
                  </pic:nvPicPr>
                  <pic:blipFill>
                    <a:blip r:embed="rId119"/>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40" name="Picture"/>
            <a:graphic>
              <a:graphicData uri="http://schemas.openxmlformats.org/drawingml/2006/picture">
                <pic:pic>
                  <pic:nvPicPr>
                    <pic:cNvPr descr="images/2_Bibliometrix/Figura_12.png" id="141" name="Picture"/>
                    <pic:cNvPicPr>
                      <a:picLocks noChangeArrowheads="1" noChangeAspect="1"/>
                    </pic:cNvPicPr>
                  </pic:nvPicPr>
                  <pic:blipFill>
                    <a:blip r:embed="rId125"/>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42"/>
    <w:bookmarkEnd w:id="143"/>
    <w:bookmarkEnd w:id="144"/>
    <w:bookmarkStart w:id="147" w:name="X5901964817c0fc15beec0d8e6bc19750b86a3d9"/>
    <w:p>
      <w:pPr>
        <w:pStyle w:val="Heading1"/>
      </w:pPr>
      <w:r>
        <w:t xml:space="preserve">7. Capitulo 3 Generalidades del Diseño Experimental</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11"/>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11"/>
        </w:numPr>
      </w:pPr>
      <w:r>
        <w:rPr>
          <w:b/>
          <w:bCs/>
        </w:rPr>
        <w:t xml:space="preserve">Ejecución:</w:t>
      </w:r>
      <w:r>
        <w:t xml:space="preserve"> </w:t>
      </w:r>
      <w:r>
        <w:t xml:space="preserve">implementación del plan experimental bajo condiciones de control y aleatorización.</w:t>
      </w:r>
    </w:p>
    <w:p>
      <w:pPr>
        <w:pStyle w:val="Compact"/>
        <w:numPr>
          <w:ilvl w:val="0"/>
          <w:numId w:val="1011"/>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11"/>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12"/>
        </w:numPr>
      </w:pPr>
      <w:r>
        <w:rPr>
          <w:b/>
          <w:bCs/>
        </w:rPr>
        <w:t xml:space="preserve">Aleatorización</w:t>
      </w:r>
      <w:r>
        <w:t xml:space="preserve">, que asegura independencia de los errores y evita sesgos sistemáticos.</w:t>
      </w:r>
    </w:p>
    <w:p>
      <w:pPr>
        <w:pStyle w:val="Compact"/>
        <w:numPr>
          <w:ilvl w:val="0"/>
          <w:numId w:val="1012"/>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12"/>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45" w:name="tipos-de-diseños-experimentales"/>
    <w:p>
      <w:pPr>
        <w:pStyle w:val="Heading3"/>
      </w:pPr>
      <w:r>
        <w:t xml:space="preserve">7.0.1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45"/>
    <w:bookmarkStart w:id="146" w:name="X44c199ecc38d76a9c17c81e0c47eccafcad0790"/>
    <w:p>
      <w:pPr>
        <w:pStyle w:val="Heading3"/>
      </w:pPr>
      <w:r>
        <w:t xml:space="preserve">7.0.2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13"/>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13"/>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13"/>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13"/>
        </w:numPr>
      </w:pPr>
      <w:r>
        <w:rPr>
          <w:b/>
          <w:bCs/>
        </w:rPr>
        <w:t xml:space="preserve">Diseños robustos</w:t>
      </w:r>
      <w:r>
        <w:br/>
      </w:r>
      <w:r>
        <w:t xml:space="preserve">🔹 Arreglos ortogonales (factoriales)</w:t>
      </w:r>
      <w:r>
        <w:br/>
      </w:r>
      <w:r>
        <w:t xml:space="preserve">🔹 Diseño con arreglos interno y externo</w:t>
      </w:r>
    </w:p>
    <w:p>
      <w:pPr>
        <w:numPr>
          <w:ilvl w:val="0"/>
          <w:numId w:val="1013"/>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46"/>
    <w:bookmarkEnd w:id="147"/>
    <w:bookmarkStart w:id="173" w:name="X32179e65e93df240c85fb7f84f39a6e3fd7bf02"/>
    <w:p>
      <w:pPr>
        <w:pStyle w:val="Heading1"/>
      </w:pPr>
      <w:r>
        <w:t xml:space="preserve">8. Capitulo 4 Diseño Completamente al Azar (DCA)</w:t>
      </w:r>
    </w:p>
    <w:bookmarkStart w:id="148" w:name="problema"/>
    <w:p>
      <w:pPr>
        <w:pStyle w:val="Heading4"/>
      </w:pPr>
      <w:r>
        <w:t xml:space="preserve">8.0.0.1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48"/>
    <w:bookmarkStart w:id="149" w:name="X62bc47d5593449a895c92af67ff043a0683e54c"/>
    <w:p>
      <w:pPr>
        <w:pStyle w:val="Heading4"/>
      </w:pPr>
      <w:r>
        <w:t xml:space="preserve">8.0.0.2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49"/>
    <w:bookmarkStart w:id="160" w:name="Xb7ffef839c181dee96b9ccd1c1be3577cef7c71"/>
    <w:p>
      <w:pPr>
        <w:pStyle w:val="Heading4"/>
      </w:pPr>
      <w:r>
        <w:t xml:space="preserve">8.0.0.3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14"/>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14"/>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51" name="Picture"/>
            <a:graphic>
              <a:graphicData uri="http://schemas.openxmlformats.org/drawingml/2006/picture">
                <pic:pic>
                  <pic:nvPicPr>
                    <pic:cNvPr descr="images/3_DCA/sustrato.png" id="152" name="Picture"/>
                    <pic:cNvPicPr>
                      <a:picLocks noChangeArrowheads="1" noChangeAspect="1"/>
                    </pic:cNvPicPr>
                  </pic:nvPicPr>
                  <pic:blipFill>
                    <a:blip r:embed="rId150"/>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54" name="Picture"/>
            <a:graphic>
              <a:graphicData uri="http://schemas.openxmlformats.org/drawingml/2006/picture">
                <pic:pic>
                  <pic:nvPicPr>
                    <pic:cNvPr descr="images/3_DCA/experimentoinvitro.png" id="155" name="Picture"/>
                    <pic:cNvPicPr>
                      <a:picLocks noChangeArrowheads="1" noChangeAspect="1"/>
                    </pic:cNvPicPr>
                  </pic:nvPicPr>
                  <pic:blipFill>
                    <a:blip r:embed="rId153"/>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57" name="Picture"/>
            <a:graphic>
              <a:graphicData uri="http://schemas.openxmlformats.org/drawingml/2006/picture">
                <pic:pic>
                  <pic:nvPicPr>
                    <pic:cNvPr descr="images/3_DCA/experimentobananos.png" id="158" name="Picture"/>
                    <pic:cNvPicPr>
                      <a:picLocks noChangeArrowheads="1" noChangeAspect="1"/>
                    </pic:cNvPicPr>
                  </pic:nvPicPr>
                  <pic:blipFill>
                    <a:blip r:embed="rId156"/>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59">
        <w:r>
          <w:rPr>
            <w:rStyle w:val="Hyperlink"/>
          </w:rPr>
          <w:t xml:space="preserve">https://repositorio.udes.edu.co/handle/001/8674</w:t>
        </w:r>
      </w:hyperlink>
    </w:p>
    <w:bookmarkEnd w:id="160"/>
    <w:bookmarkStart w:id="172" w:name="estructura-de-la-base-de-datos"/>
    <w:p>
      <w:pPr>
        <w:pStyle w:val="Heading3"/>
      </w:pPr>
      <w:r>
        <w:t xml:space="preserve">8.0.1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1870"/>
        <w:gridCol w:w="605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coordinador.analitic\AppData\Local\Programs\Quarto\share\formats\docx\tip.png" id="1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64" name="Picture"/>
            <a:graphic>
              <a:graphicData uri="http://schemas.openxmlformats.org/drawingml/2006/picture">
                <pic:pic>
                  <pic:nvPicPr>
                    <pic:cNvPr descr="Chapter_04_files/figure-docx/unnamed-chunk-4-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67" name="Picture"/>
            <a:graphic>
              <a:graphicData uri="http://schemas.openxmlformats.org/drawingml/2006/picture">
                <pic:pic>
                  <pic:nvPicPr>
                    <pic:cNvPr descr="Chapter_04_files/figure-docx/unnamed-chunk-6-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70" name="Picture"/>
            <a:graphic>
              <a:graphicData uri="http://schemas.openxmlformats.org/drawingml/2006/picture">
                <pic:pic>
                  <pic:nvPicPr>
                    <pic:cNvPr descr="Chapter_04_files/figure-docx/unnamed-chunk-11-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End w:id="172"/>
    <w:bookmarkEnd w:id="173"/>
    <w:bookmarkStart w:id="177" w:name="X4ce0527f91f45e42a8d7b110d930daa09fd5875"/>
    <w:p>
      <w:pPr>
        <w:pStyle w:val="Heading1"/>
      </w:pPr>
      <w:r>
        <w:t xml:space="preserve">9. Capitulo 5 Diseño de Bloques Completamente al Azar (DBCA)</w:t>
      </w:r>
    </w:p>
    <w:bookmarkStart w:id="176" w:name="problema-1"/>
    <w:p>
      <w:pPr>
        <w:pStyle w:val="Heading3"/>
      </w:pPr>
      <w:r>
        <w:t xml:space="preserve">9.0.1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C:\Users\coordinador.analitic\AppData\Local\Programs\Quarto\share\formats\docx\important.png" id="175"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76"/>
    <w:bookmarkEnd w:id="177"/>
    <w:bookmarkStart w:id="181" w:name="Xcb8354b6d861d3406bafce865232d58298110f5"/>
    <w:p>
      <w:pPr>
        <w:pStyle w:val="Heading1"/>
      </w:pPr>
      <w:r>
        <w:t xml:space="preserve">10. Capitulo 6 Diseño longitudinal (ANOVA de medidas repetidas)</w:t>
      </w:r>
    </w:p>
    <w:bookmarkStart w:id="180" w:name="problema-2"/>
    <w:p>
      <w:pPr>
        <w:pStyle w:val="Heading3"/>
      </w:pPr>
      <w:r>
        <w:t xml:space="preserve">10.0.1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78" name="Picture"/>
                  <a:graphic>
                    <a:graphicData uri="http://schemas.openxmlformats.org/drawingml/2006/picture">
                      <pic:pic>
                        <pic:nvPicPr>
                          <pic:cNvPr descr="C:\Users\coordinador.analitic\AppData\Local\Programs\Quarto\share\formats\docx\important.png" id="179"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80"/>
    <w:bookmarkEnd w:id="181"/>
    <w:bookmarkStart w:id="183" w:name="X492fbba753f56dea31e805de7875d9eeda6feda"/>
    <w:p>
      <w:pPr>
        <w:pStyle w:val="Heading1"/>
      </w:pPr>
      <w:r>
        <w:t xml:space="preserve">11. Capitulo 7 Uso de Inteligencia Artificial para la simulación de datos</w:t>
      </w:r>
    </w:p>
    <w:bookmarkStart w:id="182" w:name="section"/>
    <w:p>
      <w:pPr>
        <w:pStyle w:val="Heading2"/>
      </w:pPr>
      <w:r>
        <w:t xml:space="preserve">11.1</w:t>
      </w:r>
      <w:r>
        <w:t xml:space="preserve"> </w:t>
      </w:r>
    </w:p>
    <w:bookmarkEnd w:id="182"/>
    <w:bookmarkEnd w:id="183"/>
    <w:bookmarkStart w:id="232" w:name="referencias"/>
    <w:p>
      <w:pPr>
        <w:pStyle w:val="Heading1"/>
      </w:pPr>
      <w:r>
        <w:t xml:space="preserve">Referencias</w:t>
      </w:r>
    </w:p>
    <w:bookmarkStart w:id="231" w:name="refs"/>
    <w:bookmarkStart w:id="185"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84">
        <w:r>
          <w:rPr>
            <w:rStyle w:val="Hyperlink"/>
          </w:rPr>
          <w:t xml:space="preserve">https://doi.org/10.1016/j.joi.2017.08.007</w:t>
        </w:r>
      </w:hyperlink>
    </w:p>
    <w:bookmarkEnd w:id="185"/>
    <w:bookmarkStart w:id="187"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86">
        <w:r>
          <w:rPr>
            <w:rStyle w:val="Hyperlink"/>
          </w:rPr>
          <w:t xml:space="preserve">http://www.ucla.edu.ve/bioagro/Rev19(1)/3.%20Control%20qu%C3%ADmico%20de%20la%20antracnosis.pdf</w:t>
        </w:r>
      </w:hyperlink>
    </w:p>
    <w:bookmarkEnd w:id="187"/>
    <w:bookmarkStart w:id="189"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88">
        <w:r>
          <w:rPr>
            <w:rStyle w:val="Hyperlink"/>
          </w:rPr>
          <w:t xml:space="preserve">https://CRAN.R-project.org/package=gridExtra</w:t>
        </w:r>
      </w:hyperlink>
    </w:p>
    <w:bookmarkEnd w:id="189"/>
    <w:bookmarkStart w:id="191"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90">
        <w:r>
          <w:rPr>
            <w:rStyle w:val="Hyperlink"/>
          </w:rPr>
          <w:t xml:space="preserve">https://CRAN.R-project.org/package=shiny</w:t>
        </w:r>
      </w:hyperlink>
    </w:p>
    <w:bookmarkEnd w:id="191"/>
    <w:bookmarkStart w:id="193"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92">
        <w:r>
          <w:rPr>
            <w:rStyle w:val="Hyperlink"/>
          </w:rPr>
          <w:t xml:space="preserve">https://uk.sagepub.com/en-gb/eur/an-r-companion-to-applied-regression/book246125</w:t>
        </w:r>
      </w:hyperlink>
    </w:p>
    <w:bookmarkEnd w:id="193"/>
    <w:bookmarkStart w:id="194"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94"/>
    <w:bookmarkStart w:id="196"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95">
        <w:r>
          <w:rPr>
            <w:rStyle w:val="Hyperlink"/>
          </w:rPr>
          <w:t xml:space="preserve">http://microbiome.github.io/microbiome</w:t>
        </w:r>
      </w:hyperlink>
    </w:p>
    <w:bookmarkEnd w:id="196"/>
    <w:bookmarkStart w:id="198"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197">
        <w:r>
          <w:rPr>
            <w:rStyle w:val="Hyperlink"/>
          </w:rPr>
          <w:t xml:space="preserve">https://doi.org/10.1186/s13059-014-0550-8</w:t>
        </w:r>
      </w:hyperlink>
    </w:p>
    <w:bookmarkEnd w:id="198"/>
    <w:bookmarkStart w:id="200"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199">
        <w:r>
          <w:rPr>
            <w:rStyle w:val="Hyperlink"/>
          </w:rPr>
          <w:t xml:space="preserve">https://doi.org/10.1371/journal.pone.0061217</w:t>
        </w:r>
      </w:hyperlink>
    </w:p>
    <w:bookmarkEnd w:id="200"/>
    <w:bookmarkStart w:id="202"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201">
        <w:r>
          <w:rPr>
            <w:rStyle w:val="Hyperlink"/>
          </w:rPr>
          <w:t xml:space="preserve">https://CRAN.R-project.org/package=agricolae</w:t>
        </w:r>
      </w:hyperlink>
    </w:p>
    <w:bookmarkEnd w:id="202"/>
    <w:bookmarkStart w:id="204"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203">
        <w:r>
          <w:rPr>
            <w:rStyle w:val="Hyperlink"/>
          </w:rPr>
          <w:t xml:space="preserve">https://doi.org/10.1016/j.mimet.2018.12.003</w:t>
        </w:r>
      </w:hyperlink>
    </w:p>
    <w:bookmarkEnd w:id="204"/>
    <w:bookmarkStart w:id="206"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205">
        <w:r>
          <w:rPr>
            <w:rStyle w:val="Hyperlink"/>
          </w:rPr>
          <w:t xml:space="preserve">https://learningstatisticswithr.com/</w:t>
        </w:r>
      </w:hyperlink>
    </w:p>
    <w:bookmarkEnd w:id="206"/>
    <w:bookmarkStart w:id="208"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207">
        <w:r>
          <w:rPr>
            <w:rStyle w:val="Hyperlink"/>
          </w:rPr>
          <w:t xml:space="preserve">https://CRAN.R-project.org/package=vegan</w:t>
        </w:r>
      </w:hyperlink>
    </w:p>
    <w:bookmarkEnd w:id="208"/>
    <w:bookmarkStart w:id="210"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209">
        <w:r>
          <w:rPr>
            <w:rStyle w:val="Hyperlink"/>
          </w:rPr>
          <w:t xml:space="preserve">https://CRAN.R-project.org/package=nlme</w:t>
        </w:r>
      </w:hyperlink>
    </w:p>
    <w:bookmarkEnd w:id="210"/>
    <w:bookmarkStart w:id="212"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211">
        <w:r>
          <w:rPr>
            <w:rStyle w:val="Hyperlink"/>
          </w:rPr>
          <w:t xml:space="preserve">https://www.R-project.org/</w:t>
        </w:r>
      </w:hyperlink>
    </w:p>
    <w:bookmarkEnd w:id="212"/>
    <w:bookmarkStart w:id="214"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213">
        <w:r>
          <w:rPr>
            <w:rStyle w:val="Hyperlink"/>
          </w:rPr>
          <w:t xml:space="preserve">https://doi.org/10.18637/jss.v012.i05</w:t>
        </w:r>
      </w:hyperlink>
    </w:p>
    <w:bookmarkEnd w:id="214"/>
    <w:bookmarkStart w:id="216"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215">
        <w:r>
          <w:rPr>
            <w:rStyle w:val="Hyperlink"/>
          </w:rPr>
          <w:t xml:space="preserve">https://doi.org/10.1371/journal.pcbi.1005752</w:t>
        </w:r>
      </w:hyperlink>
    </w:p>
    <w:bookmarkEnd w:id="216"/>
    <w:bookmarkStart w:id="218"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217">
        <w:r>
          <w:rPr>
            <w:rStyle w:val="Hyperlink"/>
          </w:rPr>
          <w:t xml:space="preserve">https://doi.org/10.29019/enfoque.v10n4.545</w:t>
        </w:r>
      </w:hyperlink>
    </w:p>
    <w:bookmarkEnd w:id="218"/>
    <w:bookmarkStart w:id="220"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19">
        <w:r>
          <w:rPr>
            <w:rStyle w:val="Hyperlink"/>
          </w:rPr>
          <w:t xml:space="preserve">https://doi.org/10.1007/978-3-319-24277-4</w:t>
        </w:r>
      </w:hyperlink>
    </w:p>
    <w:bookmarkEnd w:id="220"/>
    <w:bookmarkStart w:id="222"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21">
        <w:r>
          <w:rPr>
            <w:rStyle w:val="Hyperlink"/>
          </w:rPr>
          <w:t xml:space="preserve">https://doi.org/10.21105/joss.01686</w:t>
        </w:r>
      </w:hyperlink>
    </w:p>
    <w:bookmarkEnd w:id="222"/>
    <w:bookmarkStart w:id="224"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23">
        <w:r>
          <w:rPr>
            <w:rStyle w:val="Hyperlink"/>
          </w:rPr>
          <w:t xml:space="preserve">https://CRAN.R-project.org/package=readxl</w:t>
        </w:r>
      </w:hyperlink>
    </w:p>
    <w:bookmarkEnd w:id="224"/>
    <w:bookmarkStart w:id="226"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25">
        <w:r>
          <w:rPr>
            <w:rStyle w:val="Hyperlink"/>
          </w:rPr>
          <w:t xml:space="preserve">https://r4ds.had.co.nz</w:t>
        </w:r>
      </w:hyperlink>
    </w:p>
    <w:bookmarkEnd w:id="226"/>
    <w:bookmarkStart w:id="228"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27">
        <w:r>
          <w:rPr>
            <w:rStyle w:val="Hyperlink"/>
          </w:rPr>
          <w:t xml:space="preserve">https://doi.org/10.1111/2041-210X.12628</w:t>
        </w:r>
      </w:hyperlink>
    </w:p>
    <w:bookmarkEnd w:id="228"/>
    <w:bookmarkStart w:id="230"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29">
        <w:r>
          <w:rPr>
            <w:rStyle w:val="Hyperlink"/>
          </w:rPr>
          <w:t xml:space="preserve">https://doi.org/10.1039/c1mb05350g</w:t>
        </w:r>
      </w:hyperlink>
    </w:p>
    <w:bookmarkEnd w:id="230"/>
    <w:bookmarkEnd w:id="231"/>
    <w:bookmarkEnd w:id="23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23" Target="media/rId23.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10" Target="media/rId110.png" /><Relationship Type="http://schemas.openxmlformats.org/officeDocument/2006/relationships/image" Id="rId133" Target="media/rId133.png" /><Relationship Type="http://schemas.openxmlformats.org/officeDocument/2006/relationships/image" Id="rId113" Target="media/rId113.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16" Target="media/rId11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95" Target="http://microbiome.github.io/microbiome" TargetMode="External" /><Relationship Type="http://schemas.openxmlformats.org/officeDocument/2006/relationships/hyperlink" Id="rId108" Target="http://www.cochranelibrary.com/" TargetMode="External" /><Relationship Type="http://schemas.openxmlformats.org/officeDocument/2006/relationships/hyperlink" Id="rId105" Target="http://www.dimensions.ai" TargetMode="External" /><Relationship Type="http://schemas.openxmlformats.org/officeDocument/2006/relationships/hyperlink" Id="rId106" Target="http://www.lens.org" TargetMode="External" /><Relationship Type="http://schemas.openxmlformats.org/officeDocument/2006/relationships/hyperlink" Id="rId104" Target="http://www.openalex.org" TargetMode="External" /><Relationship Type="http://schemas.openxmlformats.org/officeDocument/2006/relationships/hyperlink" Id="rId103" Target="http://www.scopus.com" TargetMode="External" /><Relationship Type="http://schemas.openxmlformats.org/officeDocument/2006/relationships/hyperlink" Id="rId186" Target="http://www.ucla.edu.ve/bioagro/Rev19(1)/3.%20Control%20qu%C3%ADmico%20de%20la%20antracnosis.pdf" TargetMode="External" /><Relationship Type="http://schemas.openxmlformats.org/officeDocument/2006/relationships/hyperlink" Id="rId102" Target="http://www.webofscience.com" TargetMode="External" /><Relationship Type="http://schemas.openxmlformats.org/officeDocument/2006/relationships/hyperlink" Id="rId201" Target="https://CRAN.R-project.org/package=agricolae" TargetMode="External" /><Relationship Type="http://schemas.openxmlformats.org/officeDocument/2006/relationships/hyperlink" Id="rId188" Target="https://CRAN.R-project.org/package=gridExtra" TargetMode="External" /><Relationship Type="http://schemas.openxmlformats.org/officeDocument/2006/relationships/hyperlink" Id="rId209" Target="https://CRAN.R-project.org/package=nlme" TargetMode="External" /><Relationship Type="http://schemas.openxmlformats.org/officeDocument/2006/relationships/hyperlink" Id="rId223" Target="https://CRAN.R-project.org/package=readxl" TargetMode="External" /><Relationship Type="http://schemas.openxmlformats.org/officeDocument/2006/relationships/hyperlink" Id="rId190" Target="https://CRAN.R-project.org/package=shiny" TargetMode="External" /><Relationship Type="http://schemas.openxmlformats.org/officeDocument/2006/relationships/hyperlink" Id="rId207"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19" Target="https://doi.org/10.1007/978-3-319-24277-4" TargetMode="External" /><Relationship Type="http://schemas.openxmlformats.org/officeDocument/2006/relationships/hyperlink" Id="rId184" Target="https://doi.org/10.1016/j.joi.2017.08.007" TargetMode="External" /><Relationship Type="http://schemas.openxmlformats.org/officeDocument/2006/relationships/hyperlink" Id="rId203" Target="https://doi.org/10.1016/j.mimet.2018.12.003" TargetMode="External" /><Relationship Type="http://schemas.openxmlformats.org/officeDocument/2006/relationships/hyperlink" Id="rId229" Target="https://doi.org/10.1039/c1mb05350g" TargetMode="External" /><Relationship Type="http://schemas.openxmlformats.org/officeDocument/2006/relationships/hyperlink" Id="rId227" Target="https://doi.org/10.1111/2041-210X.12628" TargetMode="External" /><Relationship Type="http://schemas.openxmlformats.org/officeDocument/2006/relationships/hyperlink" Id="rId197" Target="https://doi.org/10.1186/s13059-014-0550-8" TargetMode="External" /><Relationship Type="http://schemas.openxmlformats.org/officeDocument/2006/relationships/hyperlink" Id="rId215" Target="https://doi.org/10.1371/journal.pcbi.1005752" TargetMode="External" /><Relationship Type="http://schemas.openxmlformats.org/officeDocument/2006/relationships/hyperlink" Id="rId199" Target="https://doi.org/10.1371/journal.pone.0061217" TargetMode="External" /><Relationship Type="http://schemas.openxmlformats.org/officeDocument/2006/relationships/hyperlink" Id="rId213" Target="https://doi.org/10.18637/jss.v012.i05" TargetMode="External" /><Relationship Type="http://schemas.openxmlformats.org/officeDocument/2006/relationships/hyperlink" Id="rId221" Target="https://doi.org/10.21105/joss.01686" TargetMode="External" /><Relationship Type="http://schemas.openxmlformats.org/officeDocument/2006/relationships/hyperlink" Id="rId217"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5" Target="https://learningstatisticswithr.com/" TargetMode="External" /><Relationship Type="http://schemas.openxmlformats.org/officeDocument/2006/relationships/hyperlink" Id="rId107"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5"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59"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2" Target="https://uk.sagepub.com/en-gb/eur/an-r-companion-to-applied-regression/book246125" TargetMode="External" /><Relationship Type="http://schemas.openxmlformats.org/officeDocument/2006/relationships/hyperlink" Id="rId211"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00" Target="https://www.bibliometrix.org/home/index.php/layout/biblioshiny" TargetMode="External" /></Relationships>
</file>

<file path=word/_rels/footnotes.xml.rels><?xml version="1.0" encoding="UTF-8"?><Relationships xmlns="http://schemas.openxmlformats.org/package/2006/relationships"><Relationship Type="http://schemas.openxmlformats.org/officeDocument/2006/relationships/hyperlink" Id="rId195" Target="http://microbiome.github.io/microbiome" TargetMode="External" /><Relationship Type="http://schemas.openxmlformats.org/officeDocument/2006/relationships/hyperlink" Id="rId108" Target="http://www.cochranelibrary.com/" TargetMode="External" /><Relationship Type="http://schemas.openxmlformats.org/officeDocument/2006/relationships/hyperlink" Id="rId105" Target="http://www.dimensions.ai" TargetMode="External" /><Relationship Type="http://schemas.openxmlformats.org/officeDocument/2006/relationships/hyperlink" Id="rId106" Target="http://www.lens.org" TargetMode="External" /><Relationship Type="http://schemas.openxmlformats.org/officeDocument/2006/relationships/hyperlink" Id="rId104" Target="http://www.openalex.org" TargetMode="External" /><Relationship Type="http://schemas.openxmlformats.org/officeDocument/2006/relationships/hyperlink" Id="rId103" Target="http://www.scopus.com" TargetMode="External" /><Relationship Type="http://schemas.openxmlformats.org/officeDocument/2006/relationships/hyperlink" Id="rId186" Target="http://www.ucla.edu.ve/bioagro/Rev19(1)/3.%20Control%20qu%C3%ADmico%20de%20la%20antracnosis.pdf" TargetMode="External" /><Relationship Type="http://schemas.openxmlformats.org/officeDocument/2006/relationships/hyperlink" Id="rId102" Target="http://www.webofscience.com" TargetMode="External" /><Relationship Type="http://schemas.openxmlformats.org/officeDocument/2006/relationships/hyperlink" Id="rId201" Target="https://CRAN.R-project.org/package=agricolae" TargetMode="External" /><Relationship Type="http://schemas.openxmlformats.org/officeDocument/2006/relationships/hyperlink" Id="rId188" Target="https://CRAN.R-project.org/package=gridExtra" TargetMode="External" /><Relationship Type="http://schemas.openxmlformats.org/officeDocument/2006/relationships/hyperlink" Id="rId209" Target="https://CRAN.R-project.org/package=nlme" TargetMode="External" /><Relationship Type="http://schemas.openxmlformats.org/officeDocument/2006/relationships/hyperlink" Id="rId223" Target="https://CRAN.R-project.org/package=readxl" TargetMode="External" /><Relationship Type="http://schemas.openxmlformats.org/officeDocument/2006/relationships/hyperlink" Id="rId190" Target="https://CRAN.R-project.org/package=shiny" TargetMode="External" /><Relationship Type="http://schemas.openxmlformats.org/officeDocument/2006/relationships/hyperlink" Id="rId207"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19" Target="https://doi.org/10.1007/978-3-319-24277-4" TargetMode="External" /><Relationship Type="http://schemas.openxmlformats.org/officeDocument/2006/relationships/hyperlink" Id="rId184" Target="https://doi.org/10.1016/j.joi.2017.08.007" TargetMode="External" /><Relationship Type="http://schemas.openxmlformats.org/officeDocument/2006/relationships/hyperlink" Id="rId203" Target="https://doi.org/10.1016/j.mimet.2018.12.003" TargetMode="External" /><Relationship Type="http://schemas.openxmlformats.org/officeDocument/2006/relationships/hyperlink" Id="rId229" Target="https://doi.org/10.1039/c1mb05350g" TargetMode="External" /><Relationship Type="http://schemas.openxmlformats.org/officeDocument/2006/relationships/hyperlink" Id="rId227" Target="https://doi.org/10.1111/2041-210X.12628" TargetMode="External" /><Relationship Type="http://schemas.openxmlformats.org/officeDocument/2006/relationships/hyperlink" Id="rId197" Target="https://doi.org/10.1186/s13059-014-0550-8" TargetMode="External" /><Relationship Type="http://schemas.openxmlformats.org/officeDocument/2006/relationships/hyperlink" Id="rId215" Target="https://doi.org/10.1371/journal.pcbi.1005752" TargetMode="External" /><Relationship Type="http://schemas.openxmlformats.org/officeDocument/2006/relationships/hyperlink" Id="rId199" Target="https://doi.org/10.1371/journal.pone.0061217" TargetMode="External" /><Relationship Type="http://schemas.openxmlformats.org/officeDocument/2006/relationships/hyperlink" Id="rId213" Target="https://doi.org/10.18637/jss.v012.i05" TargetMode="External" /><Relationship Type="http://schemas.openxmlformats.org/officeDocument/2006/relationships/hyperlink" Id="rId221" Target="https://doi.org/10.21105/joss.01686" TargetMode="External" /><Relationship Type="http://schemas.openxmlformats.org/officeDocument/2006/relationships/hyperlink" Id="rId217"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5" Target="https://learningstatisticswithr.com/" TargetMode="External" /><Relationship Type="http://schemas.openxmlformats.org/officeDocument/2006/relationships/hyperlink" Id="rId107"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5"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59"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2" Target="https://uk.sagepub.com/en-gb/eur/an-r-companion-to-applied-regression/book246125" TargetMode="External" /><Relationship Type="http://schemas.openxmlformats.org/officeDocument/2006/relationships/hyperlink" Id="rId211"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00" Target="https://www.bibliometrix.org/home/index.php/layout/biblioshin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2025-10-08T16:01:17Z</dcterms:created>
  <dcterms:modified xsi:type="dcterms:W3CDTF">2025-10-08T16:01:17Z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cover.png</vt:lpwstr>
  </property>
  <property fmtid="{D5CDD505-2E9C-101B-9397-08002B2CF9AE}" pid="8" name="crossref">
    <vt:lpwstr/>
  </property>
  <property fmtid="{D5CDD505-2E9C-101B-9397-08002B2CF9AE}" pid="9" name="csl">
    <vt:lpwstr>apa.csl</vt:lpwstr>
  </property>
  <property fmtid="{D5CDD505-2E9C-101B-9397-08002B2CF9AE}" pid="10" name="date">
    <vt:lpwstr>2025-05-05</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Tabla de contenidos</vt:lpwstr>
  </property>
</Properties>
</file>