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OMERYX GROUP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24"/>
          <w:szCs w:val="24"/>
        </w:rPr>
        <w:t xml:space="preserve">SARL Unipersonnelle  •  Abidjan, Côte d'Ivoire</w:t>
      </w:r>
    </w:p>
    <w:p>
      <w:pPr>
        <w:pBdr>
          <w:bottom w:val="single" w:color="2563EB" w:sz="4" w:space="1"/>
        </w:pBdr>
        <w:spacing w:after="200" w:before="8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563EB"/>
          <w:sz w:val="44"/>
          <w:szCs w:val="44"/>
        </w:rPr>
        <w:t xml:space="preserve">CAHIER DES CHARGES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Site Web Institutionnel &amp; Vitrine Commerciale</w:t>
      </w:r>
    </w:p>
    <w:p>
      <w:pPr>
        <w:spacing w:after="400" w:before="8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Stack : Next.js 14  •  TypeScript  •  Tailwind CSS  •  Supabase  •  Sanity CMS</w:t>
      </w:r>
    </w:p>
    <w:p>
      <w:pPr>
        <w:pBdr>
          <w:bottom w:val="single" w:color="2563EB" w:sz="4" w:space="1"/>
        </w:pBdr>
        <w:spacing w:after="200" w:before="80"/>
      </w:pP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Version</w:t>
            </w:r>
          </w:p>
        </w:tc>
        <w:tc>
          <w:tcPr>
            <w:tcW w:type="dxa" w:w="63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Date</w:t>
            </w:r>
          </w:p>
        </w:tc>
        <w:tc>
          <w:tcPr>
            <w:tcW w:type="dxa" w:w="63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Avril 2026</w:t>
            </w:r>
          </w:p>
        </w:tc>
      </w:tr>
      <w:tr>
        <w:tc>
          <w:tcPr>
            <w:tcW w:type="dxa" w:w="2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Commanditaire</w:t>
            </w:r>
          </w:p>
        </w:tc>
        <w:tc>
          <w:tcPr>
            <w:tcW w:type="dxa" w:w="63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M. SANOGO ABOU — Gérant, OMERYX Group</w:t>
            </w:r>
          </w:p>
        </w:tc>
      </w:tr>
      <w:tr>
        <w:tc>
          <w:tcPr>
            <w:tcW w:type="dxa" w:w="2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Statut</w:t>
            </w:r>
          </w:p>
        </w:tc>
        <w:tc>
          <w:tcPr>
            <w:tcW w:type="dxa" w:w="63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Confidentiel — Document de travail</w:t>
            </w:r>
          </w:p>
        </w:tc>
      </w:tr>
      <w:tr>
        <w:tc>
          <w:tcPr>
            <w:tcW w:type="dxa" w:w="27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Destinataires</w:t>
            </w:r>
          </w:p>
        </w:tc>
        <w:tc>
          <w:tcPr>
            <w:tcW w:type="dxa" w:w="63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Équipe de développement / Agent IA Dev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Présentation de l'Entreprise</w:t>
      </w:r>
    </w:p>
    <w:p>
      <w:pPr>
        <w:pBdr>
          <w:bottom w:val="single" w:color="2563EB" w:sz="4" w:space="1"/>
        </w:pBdr>
        <w:spacing w:after="200" w:before="8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OMERYX Group est une Société à Responsabilité Limitée unipersonnelle de droit ivoirien, constituée le 25 janvier 2026 à Songon Adiopodoumé (Km17), Abidjan. Son capital social s'élève à 4 000 000 FCFA, divisé en 200 parts sociales. La société est dirigée par M. SANOGO ABOU, logisticien de formation.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Secteurs d'Activité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Production et commercialisation d'eau conditionnée (eau en bouteilles PET et sachets biodégradables)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Gestion immobilière, BTP et représentation commerciale internationale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Transport de marchandises, logistique et opérations d'import-export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Positionnement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OMERYX Group se positionne comme un acteur multi-secteurs en croissance, alliant l'économie locale ivoirienne aux standards internationaux. Le site web doit incarner ce positionnement : sérieux, professionnel, et accessible à une clientèle aussi bien locale qu'internationale.</w:t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Objectifs du Projet</w:t>
      </w:r>
    </w:p>
    <w:p>
      <w:pPr>
        <w:pBdr>
          <w:bottom w:val="single" w:color="2563EB" w:sz="4" w:space="1"/>
        </w:pBdr>
        <w:spacing w:after="2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Objectifs Principaux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Vitrine institutionnelle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présenter OMERYX Group, ses activités, ses valeurs et son équipe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Génération de leads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permettre aux prospects de contacter la société ou de soumettre des demandes de devis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Référencement local et international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optimiser le site pour le SEO en français, ciblant la Côte d'Ivoire et la sous-région CEDEAO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Crédibilité commerciale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fournir un site à la hauteur des standards professionnels internationaux pour rassurer les partenaires et clients B2B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Autonomie éditoriale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permettre au gérant ou à un administrateur de mettre à jour les contenus sans intervention d'un développeur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Objectifs Secondaires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Intégrer un blog/actualités pour améliorer le référencement et la visibilité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Préparer l'architecture pour une future intégration d'un espace client ou d'un catalogue de produits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Afficher les coordonnées, la localisation et les horaires de manière claire</w:t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Stack Technologique Retenu</w:t>
      </w:r>
    </w:p>
    <w:p>
      <w:pPr>
        <w:pBdr>
          <w:bottom w:val="single" w:color="2563EB" w:sz="4" w:space="1"/>
        </w:pBdr>
        <w:spacing w:after="20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300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Composant</w:t>
            </w:r>
          </w:p>
        </w:tc>
        <w:tc>
          <w:tcPr>
            <w:tcW w:type="dxa" w:w="300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Technologie</w:t>
            </w:r>
          </w:p>
        </w:tc>
        <w:tc>
          <w:tcPr>
            <w:tcW w:type="dxa" w:w="300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3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Rendu hybride SSR/SSG, routing, API routes</w:t>
            </w:r>
          </w:p>
        </w:tc>
      </w:tr>
      <w:t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Langage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3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Typage statique, robustesse du code</w:t>
            </w:r>
          </w:p>
        </w:tc>
      </w:tr>
      <w:t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Stylage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 system utilitaire, responsive</w:t>
            </w:r>
          </w:p>
        </w:tc>
      </w:tr>
      <w:t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3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Stockage formulaires, leads, utilisateurs</w:t>
            </w:r>
          </w:p>
        </w:tc>
      </w:tr>
      <w:t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CMS Headless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Sanity.io</w:t>
            </w:r>
          </w:p>
        </w:tc>
        <w:tc>
          <w:tcPr>
            <w:tcW w:type="dxa" w:w="33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Gestion autonome du contenu éditorial</w:t>
            </w:r>
          </w:p>
        </w:tc>
      </w:tr>
      <w:t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</w:t>
            </w:r>
          </w:p>
        </w:tc>
        <w:tc>
          <w:tcPr>
            <w:tcW w:type="dxa" w:w="33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CI/CD automatique, CDN global, preview deployments</w:t>
            </w:r>
          </w:p>
        </w:tc>
      </w:tr>
      <w:t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(futur)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3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Espace client ou admin sécurisé</w:t>
            </w:r>
          </w:p>
        </w:tc>
      </w:tr>
      <w:tr>
        <w:tc>
          <w:tcPr>
            <w:tcW w:type="dxa" w:w="25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33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Mesure d'audience RGPD-friendly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Architecture du Site</w:t>
      </w:r>
    </w:p>
    <w:p>
      <w:pPr>
        <w:pBdr>
          <w:bottom w:val="single" w:color="2563EB" w:sz="4" w:space="1"/>
        </w:pBdr>
        <w:spacing w:after="2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Structure des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300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300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 de la Page</w:t>
            </w:r>
          </w:p>
        </w:tc>
        <w:tc>
          <w:tcPr>
            <w:tcW w:type="dxa" w:w="300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Contenu Principal</w:t>
            </w:r>
          </w:p>
        </w:tc>
      </w:tr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Accueil (Home)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Hero, présentation, 3 activités, CTA, témoignages, contact rapide</w:t>
            </w:r>
          </w:p>
        </w:tc>
      </w:tr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/a-propos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À Propos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Histoire, vision, valeurs, équipe, chiffres clés</w:t>
            </w:r>
          </w:p>
        </w:tc>
      </w:tr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/activites/eau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Eau Conditionnée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Description, gamme de produits, certifications, zones de distribution</w:t>
            </w:r>
          </w:p>
        </w:tc>
      </w:tr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/activites/immobilier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Immobilier &amp; BTP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Services, portfolio de biens, matériaux disponibles</w:t>
            </w:r>
          </w:p>
        </w:tc>
      </w:tr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/activites/transport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Transport &amp; Logistique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Services, zones couvertes, formulaire de demande de cotation</w:t>
            </w:r>
          </w:p>
        </w:tc>
      </w:tr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/actualites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Actualités / Blog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Liste d'articles gérés via Sanity CMS</w:t>
            </w:r>
          </w:p>
        </w:tc>
      </w:tr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/actualites/[slug]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Article de Blog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Article individuel, SEO optimisé</w:t>
            </w:r>
          </w:p>
        </w:tc>
      </w:tr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/contact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Contact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Formulaire, carte, coordonnées complètes, horaires</w:t>
            </w:r>
          </w:p>
        </w:tc>
      </w:tr>
      <w:tr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/mentions-legales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Mentions Légales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Statut juridique, RCCM, responsable de publication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Structure des Dossiers Next.js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omeryx-web/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app/                        # App Router Next.js 14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(site)/                 # Groupe de routes publiques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page.tsx            # Accueil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a-propos/page.tsx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activites/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eau/page.tsx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immobilier/page.tsx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transport/page.tsx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actualites/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[slug]/page.tsx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contact/page.tsx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contact/route.ts    # API Route pour le formulaire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layout.tsx              # Layout global (nav, footer)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components/                 # Composants réutilisables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ui/                     # Boutons, cartes, etc.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sections/               # Sections de pages (Hero, etc.)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lib/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sanity/                 # Client + queries Sanity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supabase/               # Client Supabase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types/                      # Types TypeScript partagés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public/                     # Assets statiques</w:t>
            </w:r>
          </w:p>
        </w:tc>
      </w:tr>
    </w:tbl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Exigences Fonctionnelles</w:t>
      </w:r>
    </w:p>
    <w:p>
      <w:pPr>
        <w:pBdr>
          <w:bottom w:val="single" w:color="2563EB" w:sz="4" w:space="1"/>
        </w:pBdr>
        <w:spacing w:after="2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Navigation et Header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Logo &amp; nom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OMERYX Group avec logo vectoriel (SVG à fournir ou à créer)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Menu principal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Accueil, À Propos, Nos Activités (mega menu avec 3 sous-pages), Actualités,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CTA Header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bouton « Nous Contacter » bien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Mobile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menu hamburger responsive, accessible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Sticky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navigation fixe au scroll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Page d'Accueil — Sections Requises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Hero Section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titre accrocheur, sous-titre, CTA principal « Découvrir nos services », image ou vidéo de fond représentant Abidjan ou l'activité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Nos Activités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3 cartes animées (Eau, Immobilier/BTP, Transport) avec icônes, descriptions courtes et liens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Pourquoi Nous Choisir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4 à 6 arguments différenciants (qualité, conformité OHADA, ancrage local,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Chiffres Clés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compteurs animés (ex : année de création, secteurs couverts, parts de capital)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Appel à l'Action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bandeau CTA « Vous avez un projet ? Parlons-en 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Contact Rapide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formulaire simplifié (nom, email, message) directement sur la page d'accueil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Formulaire de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Champs : Nom complet, Email, Téléphone (avec indicatif pays), Sujet (liste déroulante par activité),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Validation côté client (TypeScript/Zod) et côté serveur (API Route)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Soumission via API Route Next.js → sauvegarde dans Supabase + envoi email (Resend ou SendGrid)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Message de confirmation affiché après envoi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CMS Sanity — Contenu Gérable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Articles de blog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titre, slug, image de couverture, corps (rich text), date, catégorie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Témoignages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nom du client, entreprise, texte, note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Membres de l'équipe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nom, poste, photo, bio courte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Paramètres globaux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coordonnées, réseaux sociaux, textes clés du site</w:t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Exigences Non Fonctionnelles</w:t>
      </w:r>
    </w:p>
    <w:p>
      <w:pPr>
        <w:pBdr>
          <w:bottom w:val="single" w:color="2563EB" w:sz="4" w:space="1"/>
        </w:pBdr>
        <w:spacing w:after="2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 Lighthouse ≥ 90 sur Performance, Accessibilité et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Utiliser Next.js Image Optimization pour toutes les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Adopter une stratégie SSG (Static Site Generation) pour les pages statiques et ISR pour le blog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Bundle JS initial &lt; 150 KB (gzippé)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Métadonnées dynamiques via generateMetadata() de Next.js pour chaque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Sitemap XML automatique (/sitemap.xml)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Fichier robots.txt configuré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Structured Data (JSON-LD) pour l'organisation et les articles de blog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URLs en français, lisibles et descriptives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Responsive &amp; Accessibilité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 Mobile-First avec Tailwind 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Breakpoints : mobile (&lt; 640px), tablette (640–1024px), desktop (&gt; 1024px)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Contraste WCAG AA minimum sur tous les textes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Attributs ARIA sur les éléments interactifs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Navigation au clavier fonctionnelle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Sécurité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Variables d'environnement pour toutes les clés API (jamais exposées côté client)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limiting sur les API Routes de formulaire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Headers de sécurité HTTP configurés dans next.config.ts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Politique CORS restrictive</w:t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Design &amp; Charte Graphique</w:t>
      </w:r>
    </w:p>
    <w:p>
      <w:pPr>
        <w:pBdr>
          <w:bottom w:val="single" w:color="2563EB" w:sz="4" w:space="1"/>
        </w:pBdr>
        <w:spacing w:after="20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Identité Visuelle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design doit refléter le sérieux et l'ambition internationale d'OMERYX Group tout en ancrant son identité ivoirienne. L'esthétique visée est : moderne, épurée, professionnelle.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Palette de Couleurs Recommandée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300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  <w:tc>
          <w:tcPr>
            <w:tcW w:type="dxa" w:w="300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 Hex</w:t>
            </w:r>
          </w:p>
        </w:tc>
        <w:tc>
          <w:tcPr>
            <w:tcW w:type="dxa" w:w="3008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Primaire (Navy)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#1B3A5C</w:t>
            </w:r>
          </w:p>
        </w:tc>
        <w:tc>
          <w:tcPr>
            <w:tcW w:type="dxa" w:w="46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Titres, header, éléments d'autorité</w:t>
            </w:r>
          </w:p>
        </w:tc>
      </w:tr>
      <w:t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Secondaire (Bleu)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#2563EB</w:t>
            </w:r>
          </w:p>
        </w:tc>
        <w:tc>
          <w:tcPr>
            <w:tcW w:type="dxa" w:w="46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CTAs, liens, accents</w:t>
            </w:r>
          </w:p>
        </w:tc>
      </w:tr>
      <w:t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Accent (Or)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#F59E0B</w:t>
            </w:r>
          </w:p>
        </w:tc>
        <w:tc>
          <w:tcPr>
            <w:tcW w:type="dxa" w:w="46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Mise en valeur, badges, alertes positives</w:t>
            </w:r>
          </w:p>
        </w:tc>
      </w:tr>
      <w:t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Fond clair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#EFF6FF</w:t>
            </w:r>
          </w:p>
        </w:tc>
        <w:tc>
          <w:tcPr>
            <w:tcW w:type="dxa" w:w="46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Sections alternées, cartes</w:t>
            </w:r>
          </w:p>
        </w:tc>
      </w:tr>
      <w:t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Texte principal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#374151</w:t>
            </w:r>
          </w:p>
        </w:tc>
        <w:tc>
          <w:tcPr>
            <w:tcW w:type="dxa" w:w="46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Corps de texte</w:t>
            </w:r>
          </w:p>
        </w:tc>
      </w:tr>
      <w:tr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Blanc</w:t>
            </w:r>
          </w:p>
        </w:tc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#FFFFFF</w:t>
            </w:r>
          </w:p>
        </w:tc>
        <w:tc>
          <w:tcPr>
            <w:tcW w:type="dxa" w:w="46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Fond principal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Typographie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Titres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Inter ou Poppins — Bold/SemiBold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Corps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Inter — Regular/Medium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Chargement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next/font/google pour éviter les FOUT et optimiser la performance</w:t>
      </w:r>
    </w:p>
    <w:p>
      <w:r>
        <w:br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Planning &amp; Livrables</w:t>
      </w:r>
    </w:p>
    <w:p>
      <w:pPr>
        <w:pBdr>
          <w:bottom w:val="single" w:color="2563EB" w:sz="4" w:space="1"/>
        </w:pBdr>
        <w:spacing w:after="20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826"/>
        <w:gridCol w:w="1600"/>
      </w:tblGrid>
      <w:tr>
        <w:trPr>
          <w:tblHeader/>
        </w:trPr>
        <w:tc>
          <w:tcPr>
            <w:tcW w:type="dxa" w:w="225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25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Durée</w:t>
            </w:r>
          </w:p>
        </w:tc>
        <w:tc>
          <w:tcPr>
            <w:tcW w:type="dxa" w:w="225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Livrables</w:t>
            </w:r>
          </w:p>
        </w:tc>
        <w:tc>
          <w:tcPr>
            <w:tcW w:type="dxa" w:w="225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Priorité</w:t>
            </w:r>
          </w:p>
        </w:tc>
      </w:tr>
      <w:t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0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jour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Init projet, structure dossiers, layout global, déploiement Vercel vide</w:t>
            </w:r>
          </w:p>
        </w:tc>
        <w:tc>
          <w:tcPr>
            <w:tcW w:type="dxa" w:w="1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3–4 jours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Accueil complète, Header, Footer, composants UI de base</w:t>
            </w:r>
          </w:p>
        </w:tc>
        <w:tc>
          <w:tcPr>
            <w:tcW w:type="dxa" w:w="1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2–3 jours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Pages Activités (×3), Page À Propos, Mentions Légales</w:t>
            </w:r>
          </w:p>
        </w:tc>
        <w:tc>
          <w:tcPr>
            <w:tcW w:type="dxa" w:w="1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 jours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Contact + API Route + Supabase + Resend</w:t>
            </w:r>
          </w:p>
        </w:tc>
        <w:tc>
          <w:tcPr>
            <w:tcW w:type="dxa" w:w="1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2–3 jours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Configuration Sanity, schémas, pages Blog liste + article</w:t>
            </w:r>
          </w:p>
        </w:tc>
        <w:tc>
          <w:tcPr>
            <w:tcW w:type="dxa" w:w="1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1–2 jours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SEO (sitemap, JSON-LD, metadata), Lighthouse audit, corrections</w:t>
            </w:r>
          </w:p>
        </w:tc>
        <w:tc>
          <w:tcPr>
            <w:tcW w:type="dxa" w:w="1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Haute</w:t>
            </w:r>
          </w:p>
        </w:tc>
      </w:tr>
      <w:t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6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jour</w:t>
            </w:r>
          </w:p>
        </w:tc>
        <w:tc>
          <w:tcPr>
            <w:tcW w:type="dxa" w:w="3826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Tests cross-browser, accessibilité, mise en production finale</w:t>
            </w:r>
          </w:p>
        </w:tc>
        <w:tc>
          <w:tcPr>
            <w:tcW w:type="dxa" w:w="1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Critique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Critères de Recette</w:t>
      </w:r>
    </w:p>
    <w:p>
      <w:pPr>
        <w:pBdr>
          <w:bottom w:val="single" w:color="2563EB" w:sz="4" w:space="1"/>
        </w:pBdr>
        <w:spacing w:after="200" w:before="80"/>
      </w:pP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site sera considéré livré et conforme lorsque les critères suivants seront tous satisfaits 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Toutes les pages listées à la Section 4.1 sont accessibles et affichent leur contenu correct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formulaire de contact envoie un email ET sauvegarde dans Supabase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CMS Sanity permet de publier un article de blog qui apparaît sur le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 Lighthouse ≥ 90 en Performance, Accessibilité et SEO (testé sur Chrome)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site est 100% responsive : mobile, tablette,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Toutes les clés API sont dans les variables d'environnement (zéro secret dans le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site est déployé et accessible via un domaine en production sur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Les métadonnées Open Graph permettent un partage correct sur WhatsApp et LinkedIn</w:t>
      </w:r>
    </w:p>
    <w:p>
      <w:pPr>
        <w:spacing w:after="0" w:before="200"/>
      </w:pPr>
    </w:p>
    <w:p>
      <w:pPr>
        <w:pBdr>
          <w:bottom w:val="single" w:color="2563EB" w:sz="4" w:space="1"/>
        </w:pBdr>
        <w:spacing w:after="200" w:before="80"/>
      </w:pPr>
    </w:p>
    <w:p>
      <w:pPr>
        <w:spacing w:after="80" w:before="200"/>
        <w:jc w:val="right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Fait à Abidjan, le Avril 2026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M. SANOGO ABOU</w:t>
      </w:r>
    </w:p>
    <w:p>
      <w:pPr>
        <w:spacing w:after="0" w:before="0"/>
        <w:jc w:val="right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Gérant — OMERYX Group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2" w:space="1"/>
      </w:pBdr>
      <w:tabs>
        <w:tab w:val="right" w:pos="8506"/>
      </w:tabs>
      <w:spacing w:before="80"/>
    </w:pPr>
    <w:r>
      <w:rPr>
        <w:rFonts w:ascii="Arial" w:cs="Arial" w:eastAsia="Arial" w:hAnsi="Arial"/>
        <w:color w:val="374151"/>
        <w:sz w:val="16"/>
        <w:szCs w:val="16"/>
      </w:rPr>
      <w:t xml:space="preserve">© OMERYX Group  •  Songon Adiopodoumé Km17, Abidjan, Côte d'Ivoire</w:t>
    </w:r>
    <w:r>
      <w:rPr>
        <w:rFonts w:ascii="Arial" w:cs="Arial" w:eastAsia="Arial" w:hAnsi="Arial"/>
        <w:color w:val="374151"/>
        <w:sz w:val="16"/>
        <w:szCs w:val="16"/>
      </w:rPr>
      <w:t xml:space="preserve">	Page </w:t>
    </w:r>
    <w:r>
      <w:rPr>
        <w:rFonts w:ascii="Arial" w:cs="Arial" w:eastAsia="Arial" w:hAnsi="Arial"/>
        <w:color w:val="2563E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80" w:before="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OMERYX Group  |  Cahier des Charges — Site Web Institutionnel</w:t>
    </w:r>
    <w:r>
      <w:rPr>
        <w:rFonts w:ascii="Arial" w:cs="Arial" w:eastAsia="Arial" w:hAnsi="Arial"/>
        <w:color w:val="374151"/>
        <w:sz w:val="18"/>
        <w:szCs w:val="18"/>
      </w:rPr>
      <w:t xml:space="preserve">     Version 1.0  |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2026-04-08T20:51:39.027Z</dcterms:created>
  <dcterms:modified xsi:type="dcterms:W3CDTF">2026-04-08T20:51:39.028Z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