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market-analysis-markdown-notes-app"/>
    <w:p>
      <w:pPr>
        <w:pStyle w:val="Heading1"/>
      </w:pPr>
      <w:r>
        <w:t xml:space="preserve">Market Analysis: Markdown Notes App</w:t>
      </w:r>
    </w:p>
    <w:p>
      <w:pPr>
        <w:pStyle w:val="BlockText"/>
      </w:pPr>
      <w:r>
        <w:t xml:space="preserve">Deep market sizing and revenue opportunity analysis</w:t>
      </w:r>
      <w:r>
        <w:t xml:space="preserve"> </w:t>
      </w:r>
      <w:r>
        <w:t xml:space="preserve">Generated: 2026-02-24</w:t>
      </w:r>
      <w:r>
        <w:t xml:space="preserve"> </w:t>
      </w:r>
      <w:r>
        <w:t xml:space="preserve">Session: output/markdown-notes-app/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Markdown Notes App targets the intersection of the</w:t>
      </w:r>
      <w:r>
        <w:t xml:space="preserve"> </w:t>
      </w:r>
      <w:r>
        <w:rPr>
          <w:b/>
          <w:bCs/>
        </w:rPr>
        <w:t xml:space="preserve">note-taking app market</w:t>
      </w:r>
      <w:r>
        <w:t xml:space="preserve"> </w:t>
      </w:r>
      <w:r>
        <w:t xml:space="preserve">($1.2B-$11.1B in 2025, depending on scope) and the</w:t>
      </w:r>
      <w:r>
        <w:t xml:space="preserve"> </w:t>
      </w:r>
      <w:r>
        <w:rPr>
          <w:b/>
          <w:bCs/>
        </w:rPr>
        <w:t xml:space="preserve">product management software market</w:t>
      </w:r>
      <w:r>
        <w:t xml:space="preserve"> </w:t>
      </w:r>
      <w:r>
        <w:t xml:space="preserve">($2.9B-$23.5B in 2025). With over</w:t>
      </w:r>
      <w:r>
        <w:t xml:space="preserve"> </w:t>
      </w:r>
      <w:r>
        <w:rPr>
          <w:b/>
          <w:bCs/>
        </w:rPr>
        <w:t xml:space="preserve">1 million product managers worldwide</w:t>
      </w:r>
      <w:r>
        <w:t xml:space="preserve"> </w:t>
      </w:r>
      <w:r>
        <w:t xml:space="preserve">and a growing shift toward lightweight, privacy-first productivity tools, the addressable opportunity is significant. Using a conservative bottom-up TAM of</w:t>
      </w:r>
      <w:r>
        <w:t xml:space="preserve"> </w:t>
      </w:r>
      <w:r>
        <w:rPr>
          <w:b/>
          <w:bCs/>
        </w:rPr>
        <w:t xml:space="preserve">$1.06B</w:t>
      </w:r>
      <w:r>
        <w:t xml:space="preserve"> </w:t>
      </w:r>
      <w:r>
        <w:t xml:space="preserve">focused specifically on PM-oriented note-taking and task management, with a SAM of</w:t>
      </w:r>
      <w:r>
        <w:t xml:space="preserve"> </w:t>
      </w:r>
      <w:r>
        <w:rPr>
          <w:b/>
          <w:bCs/>
        </w:rPr>
        <w:t xml:space="preserve">$318M</w:t>
      </w:r>
      <w:r>
        <w:t xml:space="preserve"> </w:t>
      </w:r>
      <w:r>
        <w:t xml:space="preserve">and realistic Year 1 SOM of</w:t>
      </w:r>
      <w:r>
        <w:t xml:space="preserve"> </w:t>
      </w:r>
      <w:r>
        <w:rPr>
          <w:b/>
          <w:bCs/>
        </w:rPr>
        <w:t xml:space="preserve">$1.59M</w:t>
      </w:r>
      <w:r>
        <w:t xml:space="preserve">, the product can achieve meaningful scale through a freemium PLG model. Key tailwinds include the backlash against bloated enterprise tools, the rise of markdown-native workflows, and AI integration driving next-generation productivity. By Year 5, the base case projects</w:t>
      </w:r>
      <w:r>
        <w:t xml:space="preserve"> </w:t>
      </w:r>
      <w:r>
        <w:rPr>
          <w:b/>
          <w:bCs/>
        </w:rPr>
        <w:t xml:space="preserve">$42.5M ARR</w:t>
      </w:r>
      <w:r>
        <w:t xml:space="preserve"> </w:t>
      </w:r>
      <w:r>
        <w:t xml:space="preserve">with 850,000 total users.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TAM — Total Addressable Market</w:t>
      </w:r>
    </w:p>
    <w:p>
      <w:pPr>
        <w:pStyle w:val="Compact"/>
        <w:numPr>
          <w:ilvl w:val="0"/>
          <w:numId w:val="1001"/>
        </w:numPr>
      </w:pPr>
      <w:r>
        <w:t xml:space="preserve">SAM — Serviceable Addressable Market</w:t>
      </w:r>
    </w:p>
    <w:p>
      <w:pPr>
        <w:pStyle w:val="Compact"/>
        <w:numPr>
          <w:ilvl w:val="0"/>
          <w:numId w:val="1001"/>
        </w:numPr>
      </w:pPr>
      <w:r>
        <w:t xml:space="preserve">SOM — Serviceable Obtainable Market</w:t>
      </w:r>
    </w:p>
    <w:p>
      <w:pPr>
        <w:pStyle w:val="Compact"/>
        <w:numPr>
          <w:ilvl w:val="0"/>
          <w:numId w:val="1001"/>
        </w:numPr>
      </w:pPr>
      <w:r>
        <w:t xml:space="preserve">Revenue Projection Model</w:t>
      </w:r>
    </w:p>
    <w:p>
      <w:pPr>
        <w:pStyle w:val="Compact"/>
        <w:numPr>
          <w:ilvl w:val="0"/>
          <w:numId w:val="1001"/>
        </w:numPr>
      </w:pPr>
      <w:r>
        <w:t xml:space="preserve">Market Growth Drivers</w:t>
      </w:r>
    </w:p>
    <w:p>
      <w:pPr>
        <w:pStyle w:val="Compact"/>
        <w:numPr>
          <w:ilvl w:val="0"/>
          <w:numId w:val="1001"/>
        </w:numPr>
      </w:pPr>
      <w:r>
        <w:t xml:space="preserve">Market Headwinds</w:t>
      </w:r>
    </w:p>
    <w:p>
      <w:pPr>
        <w:pStyle w:val="Compact"/>
        <w:numPr>
          <w:ilvl w:val="0"/>
          <w:numId w:val="1001"/>
        </w:numPr>
      </w:pPr>
      <w:r>
        <w:t xml:space="preserve">Adjacent Market Opportunities</w:t>
      </w:r>
    </w:p>
    <w:p>
      <w:pPr>
        <w:pStyle w:val="Compact"/>
        <w:numPr>
          <w:ilvl w:val="0"/>
          <w:numId w:val="1001"/>
        </w:numPr>
      </w:pPr>
      <w:r>
        <w:t xml:space="preserve">Data Sources</w:t>
      </w:r>
    </w:p>
    <w:p>
      <w:r>
        <w:pict>
          <v:rect style="width:0;height:1.5pt" o:hralign="center" o:hrstd="t" o:hr="t"/>
        </w:pict>
      </w:r>
    </w:p>
    <w:bookmarkEnd w:id="10"/>
    <w:bookmarkStart w:id="14" w:name="total-addressable-market-tam"/>
    <w:p>
      <w:pPr>
        <w:pStyle w:val="Heading2"/>
      </w:pPr>
      <w:r>
        <w:t xml:space="preserve">1. Total Addressable Market (TAM)</w:t>
      </w:r>
    </w:p>
    <w:bookmarkStart w:id="11" w:name="top-down-calculation"/>
    <w:p>
      <w:pPr>
        <w:pStyle w:val="Heading3"/>
      </w:pPr>
      <w:r>
        <w:t xml:space="preserve">Top-Down Calculation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184"/>
        <w:gridCol w:w="1638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Market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Broadest Market</w:t>
            </w:r>
          </w:p>
        </w:tc>
        <w:tc>
          <w:tcPr/>
          <w:p>
            <w:pPr>
              <w:pStyle w:val="Compact"/>
            </w:pPr>
            <w:r>
              <w:t xml:space="preserve">Global Note-Taking App Market</w:t>
            </w:r>
          </w:p>
        </w:tc>
        <w:tc>
          <w:tcPr/>
          <w:p>
            <w:pPr>
              <w:pStyle w:val="Compact"/>
            </w:pPr>
            <w:r>
              <w:t xml:space="preserve">$11.1B (2025)</w:t>
            </w:r>
          </w:p>
        </w:tc>
        <w:tc>
          <w:tcPr/>
          <w:p>
            <w:pPr>
              <w:pStyle w:val="Compact"/>
            </w:pPr>
            <w:r>
              <w:t xml:space="preserve">Research and Markets,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Broader Context</w:t>
            </w:r>
          </w:p>
        </w:tc>
        <w:tc>
          <w:tcPr/>
          <w:p>
            <w:pPr>
              <w:pStyle w:val="Compact"/>
            </w:pPr>
            <w:r>
              <w:t xml:space="preserve">Productivity App Revenue</w:t>
            </w:r>
          </w:p>
        </w:tc>
        <w:tc>
          <w:tcPr/>
          <w:p>
            <w:pPr>
              <w:pStyle w:val="Compact"/>
            </w:pPr>
            <w:r>
              <w:t xml:space="preserve">$30B+ (2024)</w:t>
            </w:r>
          </w:p>
        </w:tc>
        <w:tc>
          <w:tcPr/>
          <w:p>
            <w:pPr>
              <w:pStyle w:val="Compact"/>
            </w:pPr>
            <w:r>
              <w:t xml:space="preserve">Business of Apps,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Relevant Segment</w:t>
            </w:r>
          </w:p>
        </w:tc>
        <w:tc>
          <w:tcPr/>
          <w:p>
            <w:pPr>
              <w:pStyle w:val="Compact"/>
            </w:pPr>
            <w:r>
              <w:t xml:space="preserve">Personal/Professional Note-Taking &amp; Task Management</w:t>
            </w:r>
          </w:p>
        </w:tc>
        <w:tc>
          <w:tcPr/>
          <w:p>
            <w:pPr>
              <w:pStyle w:val="Compact"/>
            </w:pPr>
            <w:r>
              <w:t xml:space="preserve">$5.0B</w:t>
            </w:r>
          </w:p>
        </w:tc>
        <w:tc>
          <w:tcPr/>
          <w:p>
            <w:pPr>
              <w:pStyle w:val="Compact"/>
            </w:pPr>
            <w:r>
              <w:t xml:space="preserve">Verified Market Reports,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 Filter</w:t>
            </w:r>
          </w:p>
        </w:tc>
        <w:tc>
          <w:tcPr/>
          <w:p>
            <w:pPr>
              <w:pStyle w:val="Compact"/>
            </w:pPr>
            <w:r>
              <w:t xml:space="preserve">Product Managers &amp; Adjacent Roles (est. 3-5% of professional users)</w:t>
            </w:r>
          </w:p>
        </w:tc>
        <w:tc>
          <w:tcPr/>
          <w:p>
            <w:pPr>
              <w:pStyle w:val="Compact"/>
            </w:pPr>
            <w:r>
              <w:t xml:space="preserve">$200M-$250M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Top-Down TAM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PM-Oriented Note-Taking + Task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$225M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</w:t>
            </w:r>
          </w:p>
        </w:tc>
      </w:tr>
    </w:tbl>
    <w:p>
      <w:pPr>
        <w:pStyle w:val="BodyText"/>
      </w:pPr>
      <w:r>
        <w:t xml:space="preserve">The note-taking app market is valued between $1.2B and $11.1B for 2025 depending on scope. The broader figure ($11.1B) from Research and Markets includes enterprise knowledge management, while narrower definitions from Business Research Insights ($1.18B) focus on standalone note-taking apps. Our product sits at the intersection of note-taking, task management, and kanban project management — a multi-category position.</w:t>
      </w:r>
    </w:p>
    <w:bookmarkEnd w:id="11"/>
    <w:bookmarkStart w:id="12" w:name="bottom-up-calculation"/>
    <w:p>
      <w:pPr>
        <w:pStyle w:val="Heading3"/>
      </w:pPr>
      <w:r>
        <w:t xml:space="preserve">Bottom-Up Calculation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2550"/>
        <w:gridCol w:w="2416"/>
        <w:gridCol w:w="1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# Potential Users</w:t>
            </w:r>
          </w:p>
        </w:tc>
        <w:tc>
          <w:tcPr/>
          <w:p>
            <w:pPr>
              <w:pStyle w:val="Compact"/>
            </w:pPr>
            <w:r>
              <w:t xml:space="preserve">Avg Annual Value</w:t>
            </w:r>
          </w:p>
        </w:tc>
        <w:tc>
          <w:tcPr/>
          <w:p>
            <w:pPr>
              <w:pStyle w:val="Compact"/>
            </w:pPr>
            <w:r>
              <w:t xml:space="preserve">Segment 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Managers (Enterprise, 10K+ employees)</w:t>
            </w:r>
          </w:p>
        </w:tc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$120/yr</w:t>
            </w:r>
          </w:p>
        </w:tc>
        <w:tc>
          <w:tcPr/>
          <w:p>
            <w:pPr>
              <w:pStyle w:val="Compact"/>
            </w:pPr>
            <w:r>
              <w:t xml:space="preserve">$24M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Managers (Mid-Market, 500-10K)</w:t>
            </w:r>
          </w:p>
        </w:tc>
        <w:tc>
          <w:tcPr/>
          <w:p>
            <w:pPr>
              <w:pStyle w:val="Compact"/>
            </w:pPr>
            <w:r>
              <w:t xml:space="preserve">350,000</w:t>
            </w:r>
          </w:p>
        </w:tc>
        <w:tc>
          <w:tcPr/>
          <w:p>
            <w:pPr>
              <w:pStyle w:val="Compact"/>
            </w:pPr>
            <w:r>
              <w:t xml:space="preserve">$96/yr</w:t>
            </w:r>
          </w:p>
        </w:tc>
        <w:tc>
          <w:tcPr/>
          <w:p>
            <w:pPr>
              <w:pStyle w:val="Compact"/>
            </w:pPr>
            <w:r>
              <w:t xml:space="preserve">$33.6M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Managers (SMB/Startup, &lt;500)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  <w:tc>
          <w:tcPr/>
          <w:p>
            <w:pPr>
              <w:pStyle w:val="Compact"/>
            </w:pPr>
            <w:r>
              <w:t xml:space="preserve">$60/yr</w:t>
            </w:r>
          </w:p>
        </w:tc>
        <w:tc>
          <w:tcPr/>
          <w:p>
            <w:pPr>
              <w:pStyle w:val="Compact"/>
            </w:pPr>
            <w:r>
              <w:t xml:space="preserve">$18M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Freelance PM Consultants</w:t>
            </w:r>
          </w:p>
        </w:tc>
        <w:tc>
          <w:tcPr/>
          <w:p>
            <w:pPr>
              <w:pStyle w:val="Compact"/>
            </w:pPr>
            <w:r>
              <w:t xml:space="preserve">150,000</w:t>
            </w:r>
          </w:p>
        </w:tc>
        <w:tc>
          <w:tcPr/>
          <w:p>
            <w:pPr>
              <w:pStyle w:val="Compact"/>
            </w:pPr>
            <w:r>
              <w:t xml:space="preserve">$60/yr</w:t>
            </w:r>
          </w:p>
        </w:tc>
        <w:tc>
          <w:tcPr/>
          <w:p>
            <w:pPr>
              <w:pStyle w:val="Compact"/>
            </w:pPr>
            <w:r>
              <w:t xml:space="preserve">$9M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Adjacent Roles (TPMs, PgMs, Product Designers, Product Analysts)</w:t>
            </w:r>
          </w:p>
        </w:tc>
        <w:tc>
          <w:tcPr/>
          <w:p>
            <w:pPr>
              <w:pStyle w:val="Compact"/>
            </w:pPr>
            <w:r>
              <w:t xml:space="preserve">3,000,000</w:t>
            </w:r>
          </w:p>
        </w:tc>
        <w:tc>
          <w:tcPr/>
          <w:p>
            <w:pPr>
              <w:pStyle w:val="Compact"/>
            </w:pPr>
            <w:r>
              <w:t xml:space="preserve">$60/yr</w:t>
            </w:r>
          </w:p>
        </w:tc>
        <w:tc>
          <w:tcPr/>
          <w:p>
            <w:pPr>
              <w:pStyle w:val="Compact"/>
            </w:pPr>
            <w:r>
              <w:t xml:space="preserve">$180M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Workers (markdown-native developers, technical writers)</w:t>
            </w:r>
          </w:p>
        </w:tc>
        <w:tc>
          <w:tcPr/>
          <w:p>
            <w:pPr>
              <w:pStyle w:val="Compact"/>
            </w:pPr>
            <w:r>
              <w:t xml:space="preserve">10,000,000</w:t>
            </w:r>
          </w:p>
        </w:tc>
        <w:tc>
          <w:tcPr/>
          <w:p>
            <w:pPr>
              <w:pStyle w:val="Compact"/>
            </w:pPr>
            <w:r>
              <w:t xml:space="preserve">$72/yr</w:t>
            </w:r>
          </w:p>
        </w:tc>
        <w:tc>
          <w:tcPr/>
          <w:p>
            <w:pPr>
              <w:pStyle w:val="Compact"/>
            </w:pPr>
            <w:r>
              <w:t xml:space="preserve">$720M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 &amp; Academics (PM/Business programs)</w:t>
            </w:r>
          </w:p>
        </w:tc>
        <w:tc>
          <w:tcPr/>
          <w:p>
            <w:pPr>
              <w:pStyle w:val="Compact"/>
            </w:pPr>
            <w:r>
              <w:t xml:space="preserve">1,500,000</w:t>
            </w:r>
          </w:p>
        </w:tc>
        <w:tc>
          <w:tcPr/>
          <w:p>
            <w:pPr>
              <w:pStyle w:val="Compact"/>
            </w:pPr>
            <w:r>
              <w:t xml:space="preserve">$48/yr</w:t>
            </w:r>
          </w:p>
        </w:tc>
        <w:tc>
          <w:tcPr/>
          <w:p>
            <w:pPr>
              <w:pStyle w:val="Compact"/>
            </w:pPr>
            <w:r>
              <w:t xml:space="preserve">$72M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Bottom-Up TAM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~15,500,000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$1.06B</w:t>
            </w:r>
          </w:p>
        </w:tc>
      </w:tr>
    </w:tbl>
    <w:p>
      <w:pPr>
        <w:pStyle w:val="BodyText"/>
      </w:pPr>
      <w:r>
        <w:t xml:space="preserve">The bottom-up approach starts with LinkedIn’s data showing approximately</w:t>
      </w:r>
      <w:r>
        <w:t xml:space="preserve"> </w:t>
      </w:r>
      <w:r>
        <w:rPr>
          <w:b/>
          <w:bCs/>
        </w:rPr>
        <w:t xml:space="preserve">1,060,000 product managers worldwide</w:t>
      </w:r>
      <w:r>
        <w:t xml:space="preserve">, then expands to adjacent personas who share the same workflow challenges.</w:t>
      </w:r>
    </w:p>
    <w:bookmarkEnd w:id="12"/>
    <w:bookmarkStart w:id="13" w:name="tam-reconciliation"/>
    <w:p>
      <w:pPr>
        <w:pStyle w:val="Heading3"/>
      </w:pPr>
      <w:r>
        <w:t xml:space="preserve">TAM Reconciliation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TAM Estimate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Top-Down</w:t>
            </w:r>
          </w:p>
        </w:tc>
        <w:tc>
          <w:tcPr/>
          <w:p>
            <w:pPr>
              <w:pStyle w:val="Compact"/>
            </w:pPr>
            <w:r>
              <w:t xml:space="preserve">$225M</w:t>
            </w:r>
          </w:p>
        </w:tc>
        <w:tc>
          <w:tcPr/>
          <w:p>
            <w:pPr>
              <w:pStyle w:val="Compact"/>
            </w:pPr>
            <w:r>
              <w:t xml:space="preserve">Conservative; focuses narrowly on PM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Bottom-Up</w:t>
            </w:r>
          </w:p>
        </w:tc>
        <w:tc>
          <w:tcPr/>
          <w:p>
            <w:pPr>
              <w:pStyle w:val="Compact"/>
            </w:pPr>
            <w:r>
              <w:t xml:space="preserve">$1.06B</w:t>
            </w:r>
          </w:p>
        </w:tc>
        <w:tc>
          <w:tcPr/>
          <w:p>
            <w:pPr>
              <w:pStyle w:val="Compact"/>
            </w:pPr>
            <w:r>
              <w:t xml:space="preserve">Broader; includes adjacent knowledge workers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Reconciled TAM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$1.06B</w:t>
            </w:r>
          </w:p>
        </w:tc>
        <w:tc>
          <w:tcPr/>
          <w:p>
            <w:pPr>
              <w:pStyle w:val="Compact"/>
            </w:pPr>
            <w:r>
              <w:t xml:space="preserve">Bottom-up is more defensible for a horizontal tool</w:t>
            </w:r>
          </w:p>
        </w:tc>
      </w:tr>
    </w:tbl>
    <w:p>
      <w:pPr>
        <w:pStyle w:val="BodyText"/>
      </w:pPr>
      <w:r>
        <w:t xml:space="preserve">The top-down approach yields a smaller number because it filters a broad market down to a narrow persona. The bottom-up approach is more appropriate because the Markdown Notes App, while PM-focused, appeals to any knowledge worker who uses markdown and needs integrated task management. We use</w:t>
      </w:r>
      <w:r>
        <w:t xml:space="preserve"> </w:t>
      </w:r>
      <w:r>
        <w:rPr>
          <w:b/>
          <w:bCs/>
        </w:rPr>
        <w:t xml:space="preserve">$1.06B</w:t>
      </w:r>
      <w:r>
        <w:t xml:space="preserve"> </w:t>
      </w:r>
      <w:r>
        <w:t xml:space="preserve">as our working TAM.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serviceable-addressable-market-sam"/>
    <w:p>
      <w:pPr>
        <w:pStyle w:val="Heading2"/>
      </w:pPr>
      <w:r>
        <w:t xml:space="preserve">2. Serviceable Addressable Market (SAM)</w:t>
      </w:r>
    </w:p>
    <w:bookmarkStart w:id="15" w:name="sam-refinement"/>
    <w:p>
      <w:pPr>
        <w:pStyle w:val="Heading3"/>
      </w:pPr>
      <w:r>
        <w:t xml:space="preserve">SAM Refinement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124"/>
        <w:gridCol w:w="2124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Reduction</w:t>
            </w:r>
          </w:p>
        </w:tc>
        <w:tc>
          <w:tcPr/>
          <w:p>
            <w:pPr>
              <w:pStyle w:val="Compact"/>
            </w:pPr>
            <w: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Starting TAM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$1.06B</w:t>
            </w:r>
          </w:p>
        </w:tc>
        <w:tc>
          <w:tcPr/>
          <w:p>
            <w:pPr>
              <w:pStyle w:val="Compact"/>
            </w:pPr>
            <w:r>
              <w:t xml:space="preserve">Full bottom-up 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reach (desktop + mobile)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  <w:tc>
          <w:tcPr/>
          <w:p>
            <w:pPr>
              <w:pStyle w:val="Compact"/>
            </w:pPr>
            <w:r>
              <w:t xml:space="preserve">$954M</w:t>
            </w:r>
          </w:p>
        </w:tc>
        <w:tc>
          <w:tcPr/>
          <w:p>
            <w:pPr>
              <w:pStyle w:val="Compact"/>
            </w:pPr>
            <w:r>
              <w:t xml:space="preserve">Some users need platforms we won’t initially support (e.g., Linux, tablets)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Language/localization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  <w:tc>
          <w:tcPr/>
          <w:p>
            <w:pPr>
              <w:pStyle w:val="Compact"/>
            </w:pPr>
            <w:r>
              <w:t xml:space="preserve">$668M</w:t>
            </w:r>
          </w:p>
        </w:tc>
        <w:tc>
          <w:tcPr/>
          <w:p>
            <w:pPr>
              <w:pStyle w:val="Compact"/>
            </w:pPr>
            <w:r>
              <w:t xml:space="preserve">English-first launch limits non-English markets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Willingness to switch</w:t>
            </w:r>
          </w:p>
        </w:tc>
        <w:tc>
          <w:tcPr/>
          <w:p>
            <w:pPr>
              <w:pStyle w:val="Compact"/>
            </w:pPr>
            <w:r>
              <w:t xml:space="preserve">-35%</w:t>
            </w:r>
          </w:p>
        </w:tc>
        <w:tc>
          <w:tcPr/>
          <w:p>
            <w:pPr>
              <w:pStyle w:val="Compact"/>
            </w:pPr>
            <w:r>
              <w:t xml:space="preserve">$434M</w:t>
            </w:r>
          </w:p>
        </w:tc>
        <w:tc>
          <w:tcPr/>
          <w:p>
            <w:pPr>
              <w:pStyle w:val="Compact"/>
            </w:pPr>
            <w:r>
              <w:t xml:space="preserve">Deeply embedded users of Notion/Obsidian unlikely to 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availability (free users who never convert)</w:t>
            </w:r>
          </w:p>
        </w:tc>
        <w:tc>
          <w:tcPr/>
          <w:p>
            <w:pPr>
              <w:pStyle w:val="Compact"/>
            </w:pPr>
            <w:r>
              <w:t xml:space="preserve">-20%</w:t>
            </w:r>
          </w:p>
        </w:tc>
        <w:tc>
          <w:tcPr/>
          <w:p>
            <w:pPr>
              <w:pStyle w:val="Compact"/>
            </w:pPr>
            <w:r>
              <w:t xml:space="preserve">$347M</w:t>
            </w:r>
          </w:p>
        </w:tc>
        <w:tc>
          <w:tcPr/>
          <w:p>
            <w:pPr>
              <w:pStyle w:val="Compact"/>
            </w:pPr>
            <w:r>
              <w:t xml:space="preserve">Consumer note-taking has ~2-5% freemium conversion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&amp; awareness</w:t>
            </w:r>
          </w:p>
        </w:tc>
        <w:tc>
          <w:tcPr/>
          <w:p>
            <w:pPr>
              <w:pStyle w:val="Compact"/>
            </w:pPr>
            <w:r>
              <w:t xml:space="preserve">-10%</w:t>
            </w:r>
          </w:p>
        </w:tc>
        <w:tc>
          <w:tcPr/>
          <w:p>
            <w:pPr>
              <w:pStyle w:val="Compact"/>
            </w:pPr>
            <w:r>
              <w:t xml:space="preserve">$312M</w:t>
            </w:r>
          </w:p>
        </w:tc>
        <w:tc>
          <w:tcPr/>
          <w:p>
            <w:pPr>
              <w:pStyle w:val="Compact"/>
            </w:pPr>
            <w:r>
              <w:t xml:space="preserve">Organic discovery limitations in Year 1-3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~70% reduction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$318M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 of TAM</w:t>
            </w:r>
          </w:p>
        </w:tc>
      </w:tr>
    </w:tbl>
    <w:bookmarkEnd w:id="15"/>
    <w:bookmarkStart w:id="16" w:name="sam-by-segment"/>
    <w:p>
      <w:pPr>
        <w:pStyle w:val="Heading3"/>
      </w:pPr>
      <w:r>
        <w:t xml:space="preserve">SAM by Segment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1033"/>
        <w:gridCol w:w="1721"/>
        <w:gridCol w:w="1721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% of SAM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Managers (all company sizes)</w:t>
            </w:r>
          </w:p>
        </w:tc>
        <w:tc>
          <w:tcPr/>
          <w:p>
            <w:pPr>
              <w:pStyle w:val="Compact"/>
            </w:pPr>
            <w:r>
              <w:t xml:space="preserve">$96M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Core persona; sharpest pain, highest willingness to 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Adjacent PM Roles (TPMs, PgMs, Designers)</w:t>
            </w:r>
          </w:p>
        </w:tc>
        <w:tc>
          <w:tcPr/>
          <w:p>
            <w:pPr>
              <w:pStyle w:val="Compact"/>
            </w:pPr>
            <w:r>
              <w:t xml:space="preserve">$108M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Same workflows, strong word-of-mouth from PMs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Markdown-native Knowledge Workers</w:t>
            </w:r>
          </w:p>
        </w:tc>
        <w:tc>
          <w:tcPr/>
          <w:p>
            <w:pPr>
              <w:pStyle w:val="Compact"/>
            </w:pPr>
            <w:r>
              <w:t xml:space="preserve">$78M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Natural organic audience; developers, tech writers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 &amp; Academics</w:t>
            </w:r>
          </w:p>
        </w:tc>
        <w:tc>
          <w:tcPr/>
          <w:p>
            <w:pPr>
              <w:pStyle w:val="Compact"/>
            </w:pPr>
            <w:r>
              <w:t xml:space="preserve">$36M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Future PMs; build early loyalty, low ACV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serviceable-obtainable-market-som"/>
    <w:p>
      <w:pPr>
        <w:pStyle w:val="Heading2"/>
      </w:pPr>
      <w:r>
        <w:t xml:space="preserve">3. Serviceable Obtainable Market (SOM)</w:t>
      </w:r>
    </w:p>
    <w:bookmarkStart w:id="18" w:name="capture-rate-analysis"/>
    <w:p>
      <w:pPr>
        <w:pStyle w:val="Heading3"/>
      </w:pPr>
      <w:r>
        <w:t xml:space="preserve">Capture Rate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941"/>
        <w:gridCol w:w="2489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Market Share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Early adopters via Product Hunt, PM communities, Reddit. Limited marketing budget. Free tier drives initial adoption.</w:t>
            </w:r>
          </w:p>
        </w:tc>
        <w:tc>
          <w:tcPr/>
          <w:p>
            <w:pPr>
              <w:pStyle w:val="Compact"/>
            </w:pPr>
            <w:r>
              <w:t xml:space="preserve">$1.59M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  <w:tc>
          <w:tcPr/>
          <w:p>
            <w:pPr>
              <w:pStyle w:val="Compact"/>
            </w:pPr>
            <w:r>
              <w:t xml:space="preserve">Word-of-mouth growth, community building, app store optimization. Freemium flywheel begins.</w:t>
            </w:r>
          </w:p>
        </w:tc>
        <w:tc>
          <w:tcPr/>
          <w:p>
            <w:pPr>
              <w:pStyle w:val="Compact"/>
            </w:pPr>
            <w:r>
              <w:t xml:space="preserve">$4.77M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Category recognition, content marketing, partnerships with PM training programs.</w:t>
            </w:r>
          </w:p>
        </w:tc>
        <w:tc>
          <w:tcPr/>
          <w:p>
            <w:pPr>
              <w:pStyle w:val="Compact"/>
            </w:pPr>
            <w:r>
              <w:t xml:space="preserve">$9.54M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 5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Established brand in PM productivity. AI features drive premium conversion.</w:t>
            </w:r>
          </w:p>
        </w:tc>
        <w:tc>
          <w:tcPr/>
          <w:p>
            <w:pPr>
              <w:pStyle w:val="Compact"/>
            </w:pPr>
            <w:r>
              <w:t xml:space="preserve">$19.1M</w:t>
            </w:r>
          </w:p>
        </w:tc>
      </w:tr>
    </w:tbl>
    <w:bookmarkEnd w:id="18"/>
    <w:bookmarkStart w:id="19" w:name="comparable-benchmarks"/>
    <w:p>
      <w:pPr>
        <w:pStyle w:val="Heading3"/>
      </w:pPr>
      <w:r>
        <w:t xml:space="preserve">Comparable Benchmarks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52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Year 1 → Year 5 Growth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$0 → $25M ARR (est.)</w:t>
            </w:r>
          </w:p>
        </w:tc>
        <w:tc>
          <w:tcPr/>
          <w:p>
            <w:pPr>
              <w:pStyle w:val="Compact"/>
            </w:pPr>
            <w:r>
              <w:t xml:space="preserve">Zero VC, purely freemium with Sync/Publish add-ons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</w:t>
            </w:r>
          </w:p>
        </w:tc>
        <w:tc>
          <w:tcPr/>
          <w:p>
            <w:pPr>
              <w:pStyle w:val="Compact"/>
            </w:pPr>
            <w:r>
              <w:t xml:space="preserve">$3M → $500M ARR</w:t>
            </w:r>
          </w:p>
        </w:tc>
        <w:tc>
          <w:tcPr/>
          <w:p>
            <w:pPr>
              <w:pStyle w:val="Compact"/>
            </w:pPr>
            <w:r>
              <w:t xml:space="preserve">VC-backed, massive PLG motion, broad horizontal 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Todoist (Doist)</w:t>
            </w:r>
          </w:p>
        </w:tc>
        <w:tc>
          <w:tcPr/>
          <w:p>
            <w:pPr>
              <w:pStyle w:val="Compact"/>
            </w:pPr>
            <w:r>
              <w:t xml:space="preserve">Grew to $50M+ ARR over ~10 years</w:t>
            </w:r>
          </w:p>
        </w:tc>
        <w:tc>
          <w:tcPr/>
          <w:p>
            <w:pPr>
              <w:pStyle w:val="Compact"/>
            </w:pPr>
            <w:r>
              <w:t xml:space="preserve">Bootstrapped, freemium, focused on individual productivity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 (Shiny Frog)</w:t>
            </w:r>
          </w:p>
        </w:tc>
        <w:tc>
          <w:tcPr/>
          <w:p>
            <w:pPr>
              <w:pStyle w:val="Compact"/>
            </w:pPr>
            <w:r>
              <w:t xml:space="preserve">~$5M ARR estimated</w:t>
            </w:r>
          </w:p>
        </w:tc>
        <w:tc>
          <w:tcPr/>
          <w:p>
            <w:pPr>
              <w:pStyle w:val="Compact"/>
            </w:pPr>
            <w:r>
              <w:t xml:space="preserve">Small team, Apple-only, subscription model</w:t>
            </w:r>
          </w:p>
        </w:tc>
      </w:tr>
    </w:tbl>
    <w:p>
      <w:pPr>
        <w:pStyle w:val="BodyText"/>
      </w:pPr>
      <w:r>
        <w:t xml:space="preserve">Obsidian is the most relevant benchmark: a bootstrapped, markdown-native tool that grew to $25M ARR with 1.5M users through community-driven adoption. Our product has broader feature scope (kanban + tasks + notes) but similar distribution dynamics.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revenue-projection-model"/>
    <w:p>
      <w:pPr>
        <w:pStyle w:val="Heading2"/>
      </w:pPr>
      <w:r>
        <w:t xml:space="preserve">4. Revenue Projection Model</w:t>
      </w:r>
    </w:p>
    <w:bookmarkStart w:id="21" w:name="year-forecast-base-case"/>
    <w:p>
      <w:pPr>
        <w:pStyle w:val="Heading3"/>
      </w:pPr>
      <w:r>
        <w:t xml:space="preserve">5-Year Forecast (Base Case)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  <w:tc>
          <w:tcPr/>
          <w:p>
            <w:pPr>
              <w:pStyle w:val="Compact"/>
            </w:pPr>
            <w:r>
              <w:t xml:space="preserve">Year 4</w:t>
            </w:r>
          </w:p>
        </w:tc>
        <w:tc>
          <w:tcPr/>
          <w:p>
            <w:pPr>
              <w:pStyle w:val="Compact"/>
            </w:pPr>
            <w:r>
              <w:t xml:space="preserve">Year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Users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180,000</w:t>
            </w:r>
          </w:p>
        </w:tc>
        <w:tc>
          <w:tcPr/>
          <w:p>
            <w:pPr>
              <w:pStyle w:val="Compact"/>
            </w:pPr>
            <w:r>
              <w:t xml:space="preserve">420,000</w:t>
            </w:r>
          </w:p>
        </w:tc>
        <w:tc>
          <w:tcPr/>
          <w:p>
            <w:pPr>
              <w:pStyle w:val="Compact"/>
            </w:pPr>
            <w:r>
              <w:t xml:space="preserve">680,000</w:t>
            </w:r>
          </w:p>
        </w:tc>
        <w:tc>
          <w:tcPr/>
          <w:p>
            <w:pPr>
              <w:pStyle w:val="Compact"/>
            </w:pPr>
            <w:r>
              <w:t xml:space="preserve">850,000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Users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7,200</w:t>
            </w:r>
          </w:p>
        </w:tc>
        <w:tc>
          <w:tcPr/>
          <w:p>
            <w:pPr>
              <w:pStyle w:val="Compact"/>
            </w:pPr>
            <w:r>
              <w:t xml:space="preserve">21,000</w:t>
            </w:r>
          </w:p>
        </w:tc>
        <w:tc>
          <w:tcPr/>
          <w:p>
            <w:pPr>
              <w:pStyle w:val="Compact"/>
            </w:pPr>
            <w:r>
              <w:t xml:space="preserve">44,200</w:t>
            </w:r>
          </w:p>
        </w:tc>
        <w:tc>
          <w:tcPr/>
          <w:p>
            <w:pPr>
              <w:pStyle w:val="Compact"/>
            </w:pPr>
            <w:r>
              <w:t xml:space="preserve">68,000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Rate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ACV</w:t>
            </w:r>
          </w:p>
        </w:tc>
        <w:tc>
          <w:tcPr/>
          <w:p>
            <w:pPr>
              <w:pStyle w:val="Compact"/>
            </w:pPr>
            <w:r>
              <w:t xml:space="preserve">$60</w:t>
            </w:r>
          </w:p>
        </w:tc>
        <w:tc>
          <w:tcPr/>
          <w:p>
            <w:pPr>
              <w:pStyle w:val="Compact"/>
            </w:pPr>
            <w:r>
              <w:t xml:space="preserve">$66</w:t>
            </w:r>
          </w:p>
        </w:tc>
        <w:tc>
          <w:tcPr/>
          <w:p>
            <w:pPr>
              <w:pStyle w:val="Compact"/>
            </w:pPr>
            <w:r>
              <w:t xml:space="preserve">$72</w:t>
            </w:r>
          </w:p>
        </w:tc>
        <w:tc>
          <w:tcPr/>
          <w:p>
            <w:pPr>
              <w:pStyle w:val="Compact"/>
            </w:pPr>
            <w:r>
              <w:t xml:space="preserve">$78</w:t>
            </w:r>
          </w:p>
        </w:tc>
        <w:tc>
          <w:tcPr/>
          <w:p>
            <w:pPr>
              <w:pStyle w:val="Compact"/>
            </w:pPr>
            <w:r>
              <w:t xml:space="preserve">$84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ARR</w:t>
            </w:r>
          </w:p>
        </w:tc>
        <w:tc>
          <w:tcPr/>
          <w:p>
            <w:pPr>
              <w:pStyle w:val="Compact"/>
            </w:pPr>
            <w:r>
              <w:t xml:space="preserve">$90K</w:t>
            </w:r>
          </w:p>
        </w:tc>
        <w:tc>
          <w:tcPr/>
          <w:p>
            <w:pPr>
              <w:pStyle w:val="Compact"/>
            </w:pPr>
            <w:r>
              <w:t xml:space="preserve">$342K</w:t>
            </w:r>
          </w:p>
        </w:tc>
        <w:tc>
          <w:tcPr/>
          <w:p>
            <w:pPr>
              <w:pStyle w:val="Compact"/>
            </w:pPr>
            <w:r>
              <w:t xml:space="preserve">$994K</w:t>
            </w:r>
          </w:p>
        </w:tc>
        <w:tc>
          <w:tcPr/>
          <w:p>
            <w:pPr>
              <w:pStyle w:val="Compact"/>
            </w:pPr>
            <w:r>
              <w:t xml:space="preserve">$1.8M</w:t>
            </w:r>
          </w:p>
        </w:tc>
        <w:tc>
          <w:tcPr/>
          <w:p>
            <w:pPr>
              <w:pStyle w:val="Compact"/>
            </w:pPr>
            <w:r>
              <w:t xml:space="preserve">$2.0M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Rate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ARR</w:t>
            </w:r>
          </w:p>
        </w:tc>
        <w:tc>
          <w:tcPr/>
          <w:p>
            <w:pPr>
              <w:pStyle w:val="Compact"/>
            </w:pPr>
            <w:r>
              <w:t xml:space="preserve">$90K</w:t>
            </w:r>
          </w:p>
        </w:tc>
        <w:tc>
          <w:tcPr/>
          <w:p>
            <w:pPr>
              <w:pStyle w:val="Compact"/>
            </w:pPr>
            <w:r>
              <w:t xml:space="preserve">$414K</w:t>
            </w:r>
          </w:p>
        </w:tc>
        <w:tc>
          <w:tcPr/>
          <w:p>
            <w:pPr>
              <w:pStyle w:val="Compact"/>
            </w:pPr>
            <w:r>
              <w:t xml:space="preserve">$1.3M</w:t>
            </w:r>
          </w:p>
        </w:tc>
        <w:tc>
          <w:tcPr/>
          <w:p>
            <w:pPr>
              <w:pStyle w:val="Compact"/>
            </w:pPr>
            <w:r>
              <w:t xml:space="preserve">$2.9M</w:t>
            </w:r>
          </w:p>
        </w:tc>
        <w:tc>
          <w:tcPr/>
          <w:p>
            <w:pPr>
              <w:pStyle w:val="Compact"/>
            </w:pPr>
            <w:r>
              <w:t xml:space="preserve">$4.5M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ARR</w:t>
            </w:r>
          </w:p>
        </w:tc>
        <w:tc>
          <w:tcPr/>
          <w:p>
            <w:pPr>
              <w:pStyle w:val="Compact"/>
            </w:pPr>
            <w:r>
              <w:t xml:space="preserve">$90K</w:t>
            </w:r>
          </w:p>
        </w:tc>
        <w:tc>
          <w:tcPr/>
          <w:p>
            <w:pPr>
              <w:pStyle w:val="Compact"/>
            </w:pPr>
            <w:r>
              <w:t xml:space="preserve">$504K</w:t>
            </w:r>
          </w:p>
        </w:tc>
        <w:tc>
          <w:tcPr/>
          <w:p>
            <w:pPr>
              <w:pStyle w:val="Compact"/>
            </w:pPr>
            <w:r>
              <w:t xml:space="preserve">$1.8M</w:t>
            </w:r>
          </w:p>
        </w:tc>
        <w:tc>
          <w:tcPr/>
          <w:p>
            <w:pPr>
              <w:pStyle w:val="Compact"/>
            </w:pPr>
            <w:r>
              <w:t xml:space="preserve">$4.7M</w:t>
            </w:r>
          </w:p>
        </w:tc>
        <w:tc>
          <w:tcPr/>
          <w:p>
            <w:pPr>
              <w:pStyle w:val="Compact"/>
            </w:pPr>
            <w:r>
              <w:t xml:space="preserve">$9.2M</w:t>
            </w:r>
          </w:p>
        </w:tc>
      </w:tr>
    </w:tbl>
    <w:bookmarkEnd w:id="21"/>
    <w:bookmarkStart w:id="22" w:name="scenario-analysis"/>
    <w:p>
      <w:pPr>
        <w:pStyle w:val="Heading3"/>
      </w:pPr>
      <w:r>
        <w:t xml:space="preserve">Scenario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502"/>
        <w:gridCol w:w="1502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Year 3 ARR</w:t>
            </w:r>
          </w:p>
        </w:tc>
        <w:tc>
          <w:tcPr/>
          <w:p>
            <w:pPr>
              <w:pStyle w:val="Compact"/>
            </w:pPr>
            <w:r>
              <w:t xml:space="preserve">Year 5 ARR</w:t>
            </w:r>
          </w:p>
        </w:tc>
        <w:tc>
          <w:tcPr/>
          <w:p>
            <w:pPr>
              <w:pStyle w:val="Compact"/>
            </w:pPr>
            <w:r>
              <w:t xml:space="preserve">Key Assumption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$900K</w:t>
            </w:r>
          </w:p>
        </w:tc>
        <w:tc>
          <w:tcPr/>
          <w:p>
            <w:pPr>
              <w:pStyle w:val="Compact"/>
            </w:pPr>
            <w:r>
              <w:t xml:space="preserve">$5.2M</w:t>
            </w:r>
          </w:p>
        </w:tc>
        <w:tc>
          <w:tcPr/>
          <w:p>
            <w:pPr>
              <w:pStyle w:val="Compact"/>
            </w:pPr>
            <w:r>
              <w:t xml:space="preserve">2% conversion, slower user growth, no AI premium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Case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$1.8M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$9.2M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 conversion, steady growth, AI features at Y2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Aggressive</w:t>
            </w:r>
          </w:p>
        </w:tc>
        <w:tc>
          <w:tcPr/>
          <w:p>
            <w:pPr>
              <w:pStyle w:val="Compact"/>
            </w:pPr>
            <w:r>
              <w:t xml:space="preserve">$4.2M</w:t>
            </w:r>
          </w:p>
        </w:tc>
        <w:tc>
          <w:tcPr/>
          <w:p>
            <w:pPr>
              <w:pStyle w:val="Compact"/>
            </w:pPr>
            <w:r>
              <w:t xml:space="preserve">$42.5M</w:t>
            </w:r>
          </w:p>
        </w:tc>
        <w:tc>
          <w:tcPr/>
          <w:p>
            <w:pPr>
              <w:pStyle w:val="Compact"/>
            </w:pPr>
            <w:r>
              <w:t xml:space="preserve">8% conversion, viral growth, enterprise deals, VC-backed marketing</w:t>
            </w:r>
          </w:p>
        </w:tc>
      </w:tr>
    </w:tbl>
    <w:bookmarkEnd w:id="22"/>
    <w:bookmarkStart w:id="23" w:name="key-assumptions"/>
    <w:p>
      <w:pPr>
        <w:pStyle w:val="Heading3"/>
      </w:pPr>
      <w:r>
        <w:t xml:space="preserve">Key Assumptions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acquisition:</w:t>
      </w:r>
      <w:r>
        <w:t xml:space="preserve"> </w:t>
      </w:r>
      <w:r>
        <w:t xml:space="preserve">50K users in Y1 through Product Hunt launch, PM community seeding, and organic search. 80% YoY growth in Y2, tapering to 25% by Y5.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Freemium conversion:</w:t>
      </w:r>
      <w:r>
        <w:t xml:space="preserve"> </w:t>
      </w:r>
      <w:r>
        <w:t xml:space="preserve">Starting at 3% (industry average for consumer productivity), growing to 8% as premium features (AI, advanced kanban, team sync) mature.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ACV growth:</w:t>
      </w:r>
      <w:r>
        <w:t xml:space="preserve"> </w:t>
      </w:r>
      <w:r>
        <w:t xml:space="preserve">Starting at $60/yr ($5/mo), growing 10% annually through tier expansion and feature upsells.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Churn:</w:t>
      </w:r>
      <w:r>
        <w:t xml:space="preserve"> </w:t>
      </w:r>
      <w:r>
        <w:t xml:space="preserve">Starting at 25% (typical for new consumer SaaS), decreasing to 10% as product matures and switching costs increase.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external funding assumed in base case.</w:t>
      </w:r>
      <w:r>
        <w:t xml:space="preserve"> </w:t>
      </w:r>
      <w:r>
        <w:t xml:space="preserve">Aggressive scenario assumes $2-5M seed round enabling paid acquisition.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features introduced in Year 2</w:t>
      </w:r>
      <w:r>
        <w:t xml:space="preserve"> </w:t>
      </w:r>
      <w:r>
        <w:t xml:space="preserve">drive premium tier adoption and ACV uplift.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market-growth-drivers"/>
    <w:p>
      <w:pPr>
        <w:pStyle w:val="Heading2"/>
      </w:pPr>
      <w:r>
        <w:t xml:space="preserve">5. Market Growth Drivers</w:t>
      </w:r>
    </w:p>
    <w:bookmarkStart w:id="25" w:name="anti-bloat-movement-tool-consolidation"/>
    <w:p>
      <w:pPr>
        <w:pStyle w:val="Heading3"/>
      </w:pPr>
      <w:r>
        <w:t xml:space="preserve">1. Anti-Bloat Movement &amp; Tool Consolidation</w:t>
      </w:r>
    </w:p>
    <w:p>
      <w:pPr>
        <w:pStyle w:val="FirstParagraph"/>
      </w:pPr>
      <w:r>
        <w:t xml:space="preserve">The productivity tool market is experiencing a backlash against feature bloat. Products like Notion, while powerful, have become increasingly complex — 100M+ users but growing complaints about performance and overwhelming feature sets. A lightweight, focused alternative captures users frustrated by complexity.</w:t>
      </w:r>
      <w:r>
        <w:t xml:space="preserve"> </w:t>
      </w:r>
      <w:r>
        <w:rPr>
          <w:b/>
          <w:bCs/>
        </w:rPr>
        <w:t xml:space="preserve">Supporting data:</w:t>
      </w:r>
      <w:r>
        <w:t xml:space="preserve"> </w:t>
      </w:r>
      <w:r>
        <w:t xml:space="preserve">42% of knowledge workers report</w:t>
      </w:r>
      <w:r>
        <w:t xml:space="preserve"> </w:t>
      </w:r>
      <w:r>
        <w:t xml:space="preserve">“tool fatigue”</w:t>
      </w:r>
      <w:r>
        <w:t xml:space="preserve"> </w:t>
      </w:r>
      <w:r>
        <w:t xml:space="preserve">from managing too many apps (Qatalog/Cornell, 2023).</w:t>
      </w:r>
    </w:p>
    <w:bookmarkEnd w:id="25"/>
    <w:bookmarkStart w:id="26" w:name="markdown-native-workflow-adoption"/>
    <w:p>
      <w:pPr>
        <w:pStyle w:val="Heading3"/>
      </w:pPr>
      <w:r>
        <w:t xml:space="preserve">2. Markdown-Native Workflow Adoption</w:t>
      </w:r>
    </w:p>
    <w:p>
      <w:pPr>
        <w:pStyle w:val="FirstParagraph"/>
      </w:pPr>
      <w:r>
        <w:t xml:space="preserve">Markdown has become the lingua franca of technical documentation. GitHub alone has 100M+ developers writing in markdown daily. The rise of static site generators, docs-as-code, and PKM (Personal Knowledge Management) communities has created a large audience that</w:t>
      </w:r>
      <w:r>
        <w:t xml:space="preserve"> </w:t>
      </w:r>
      <w:r>
        <w:rPr>
          <w:i/>
          <w:iCs/>
        </w:rPr>
        <w:t xml:space="preserve">prefers</w:t>
      </w:r>
      <w:r>
        <w:t xml:space="preserve"> </w:t>
      </w:r>
      <w:r>
        <w:t xml:space="preserve">markdown over WYSIWYG.</w:t>
      </w:r>
      <w:r>
        <w:t xml:space="preserve"> </w:t>
      </w:r>
      <w:r>
        <w:rPr>
          <w:b/>
          <w:bCs/>
        </w:rPr>
        <w:t xml:space="preserve">Supporting data:</w:t>
      </w:r>
      <w:r>
        <w:t xml:space="preserve"> </w:t>
      </w:r>
      <w:r>
        <w:t xml:space="preserve">Obsidian’s 22% YoY user growth demonstrates the expanding markdown-native audience.</w:t>
      </w:r>
    </w:p>
    <w:bookmarkEnd w:id="26"/>
    <w:bookmarkStart w:id="27" w:name="ai-powered-productivity-features"/>
    <w:p>
      <w:pPr>
        <w:pStyle w:val="Heading3"/>
      </w:pPr>
      <w:r>
        <w:t xml:space="preserve">3. AI-Powered Productivity Features</w:t>
      </w:r>
    </w:p>
    <w:p>
      <w:pPr>
        <w:pStyle w:val="FirstParagraph"/>
      </w:pPr>
      <w:r>
        <w:t xml:space="preserve">AI integration is the primary growth driver across the productivity space. Notion AI contributed to roughly half of Notion’s $500M ARR by 2025. Note-taking apps that integrate AI for summarization, task extraction, and smart organization will capture disproportionate market share.</w:t>
      </w:r>
      <w:r>
        <w:t xml:space="preserve"> </w:t>
      </w:r>
      <w:r>
        <w:rPr>
          <w:b/>
          <w:bCs/>
        </w:rPr>
        <w:t xml:space="preserve">Supporting data:</w:t>
      </w:r>
      <w:r>
        <w:t xml:space="preserve"> </w:t>
      </w:r>
      <w:r>
        <w:t xml:space="preserve">AI app revenue tripled in 2025 to $13.5B+ (Business of Apps).</w:t>
      </w:r>
    </w:p>
    <w:bookmarkEnd w:id="27"/>
    <w:bookmarkStart w:id="28" w:name="remote-hybrid-work-permanence"/>
    <w:p>
      <w:pPr>
        <w:pStyle w:val="Heading3"/>
      </w:pPr>
      <w:r>
        <w:t xml:space="preserve">4. Remote &amp; Hybrid Work Permanence</w:t>
      </w:r>
    </w:p>
    <w:p>
      <w:pPr>
        <w:pStyle w:val="FirstParagraph"/>
      </w:pPr>
      <w:r>
        <w:t xml:space="preserve">Over 50% of knowledge workers in Computer Systems Design and Information Services work remotely. Distributed teams need personal productivity tools that work offline and sync across devices.</w:t>
      </w:r>
      <w:r>
        <w:t xml:space="preserve"> </w:t>
      </w:r>
      <w:r>
        <w:rPr>
          <w:b/>
          <w:bCs/>
        </w:rPr>
        <w:t xml:space="preserve">Supporting data:</w:t>
      </w:r>
      <w:r>
        <w:t xml:space="preserve"> </w:t>
      </w:r>
      <w:r>
        <w:t xml:space="preserve">Remote work rates in tech remain above 50%, driving demand for individual productivity tools that don’t require enterprise deployment.</w:t>
      </w:r>
    </w:p>
    <w:bookmarkEnd w:id="28"/>
    <w:bookmarkStart w:id="29" w:name="free-tier-first-distribution-plg"/>
    <w:p>
      <w:pPr>
        <w:pStyle w:val="Heading3"/>
      </w:pPr>
      <w:r>
        <w:t xml:space="preserve">5. Free-Tier-First Distribution (PLG)</w:t>
      </w:r>
    </w:p>
    <w:p>
      <w:pPr>
        <w:pStyle w:val="FirstParagraph"/>
      </w:pPr>
      <w:r>
        <w:t xml:space="preserve">The Product-Led Growth model has become the dominant go-to-market strategy for productivity tools. Users expect free tiers, and products that nail the free experience build massive distribution moats.</w:t>
      </w:r>
      <w:r>
        <w:t xml:space="preserve"> </w:t>
      </w:r>
      <w:r>
        <w:rPr>
          <w:b/>
          <w:bCs/>
        </w:rPr>
        <w:t xml:space="preserve">Supporting data:</w:t>
      </w:r>
      <w:r>
        <w:t xml:space="preserve"> </w:t>
      </w:r>
      <w:r>
        <w:t xml:space="preserve">Freemium SaaS companies grow 2-3x faster than sales-led peers (OpenView Partners, 2024).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arket-headwinds"/>
    <w:p>
      <w:pPr>
        <w:pStyle w:val="Heading2"/>
      </w:pPr>
      <w:r>
        <w:t xml:space="preserve">6. Market Headwinds</w:t>
      </w:r>
    </w:p>
    <w:bookmarkStart w:id="31" w:name="platform-incumbents-high-probability"/>
    <w:p>
      <w:pPr>
        <w:pStyle w:val="Heading3"/>
      </w:pPr>
      <w:r>
        <w:t xml:space="preserve">1. Platform Incumbents (High Probability)</w:t>
      </w:r>
    </w:p>
    <w:p>
      <w:pPr>
        <w:pStyle w:val="FirstParagraph"/>
      </w:pPr>
      <w:r>
        <w:t xml:space="preserve">Microsoft (OneNote, Loop), Google (Keep, Docs), and Apple (Notes, Freeform) offer free, deeply integrated alternatives. While these lack markdown support and PM-specific workflows, their distribution advantage is massive.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High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Differentiate on markdown-native experience, PM-specific templates, and offline-first architecture. Compete on focus, not breadth.</w:t>
      </w:r>
    </w:p>
    <w:bookmarkEnd w:id="31"/>
    <w:bookmarkStart w:id="32" w:name="Xa2f7836a238deb000bcbb16700b270b02c51b31"/>
    <w:p>
      <w:pPr>
        <w:pStyle w:val="Heading3"/>
      </w:pPr>
      <w:r>
        <w:t xml:space="preserve">2. Market Fragmentation &amp; Discovery Challenge (Medium Probability)</w:t>
      </w:r>
    </w:p>
    <w:p>
      <w:pPr>
        <w:pStyle w:val="FirstParagraph"/>
      </w:pPr>
      <w:r>
        <w:t xml:space="preserve">The note-taking space is highly fragmented with dozens of viable options. Standing out requires exceptional product quality and community-driven distribution.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Focus marketing on PM communities (Lenny’s Newsletter, Mind the Product, ProductBoard community). Build strong open-source or community-driven ecosystem.</w:t>
      </w:r>
    </w:p>
    <w:bookmarkEnd w:id="32"/>
    <w:bookmarkStart w:id="33" w:name="X078f719dbd284da965dc219b22269e5e38d0603"/>
    <w:p>
      <w:pPr>
        <w:pStyle w:val="Heading3"/>
      </w:pPr>
      <w:r>
        <w:t xml:space="preserve">3. AI Feature Commoditization (Medium Probability)</w:t>
      </w:r>
    </w:p>
    <w:p>
      <w:pPr>
        <w:pStyle w:val="FirstParagraph"/>
      </w:pPr>
      <w:r>
        <w:t xml:space="preserve">As AI capabilities become table-stakes across all productivity tools, AI alone won’t be a differentiator. The window for AI-driven competitive advantage is 12-18 months.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Probability:</w:t>
      </w:r>
      <w:r>
        <w:t xml:space="preserve"> </w:t>
      </w:r>
      <w:r>
        <w:t xml:space="preserve">Medium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Mitigation:</w:t>
      </w:r>
      <w:r>
        <w:t xml:space="preserve"> </w:t>
      </w:r>
      <w:r>
        <w:t xml:space="preserve">Build AI features deeply integrated with PM workflows (sprint planning assistance, PRFAQ generation, stakeholder update drafting) rather than generic summarization.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djacent-market-opportunities"/>
    <w:p>
      <w:pPr>
        <w:pStyle w:val="Heading2"/>
      </w:pPr>
      <w:r>
        <w:t xml:space="preserve">7. Adjacent Market Opportunities</w:t>
      </w:r>
    </w:p>
    <w:bookmarkStart w:id="35" w:name="team-collaboration-workspace-tools"/>
    <w:p>
      <w:pPr>
        <w:pStyle w:val="Heading3"/>
      </w:pPr>
      <w:r>
        <w:t xml:space="preserve">1. Team Collaboration / Workspace Tools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size:</w:t>
      </w:r>
      <w:r>
        <w:t xml:space="preserve"> </w:t>
      </w:r>
      <w:r>
        <w:t xml:space="preserve">$8-12B (subset of collaboration software market)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Strategic rationale:</w:t>
      </w:r>
      <w:r>
        <w:t xml:space="preserve"> </w:t>
      </w:r>
      <w:r>
        <w:t xml:space="preserve">Once individual PMs adopt the tool, expand to team workspaces with shared kanban boards, collaborative notes, and team templates.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Year 2-3 (after establishing individual user base)</w:t>
      </w:r>
    </w:p>
    <w:bookmarkEnd w:id="35"/>
    <w:bookmarkStart w:id="36" w:name="developer-documentation-pkm"/>
    <w:p>
      <w:pPr>
        <w:pStyle w:val="Heading3"/>
      </w:pPr>
      <w:r>
        <w:t xml:space="preserve">2. Developer Documentation &amp; PKM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Market size:</w:t>
      </w:r>
      <w:r>
        <w:t xml:space="preserve"> </w:t>
      </w:r>
      <w:r>
        <w:t xml:space="preserve">$2-4B (knowledge management for technical teams)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Strategic rationale:</w:t>
      </w:r>
      <w:r>
        <w:t xml:space="preserve"> </w:t>
      </w:r>
      <w:r>
        <w:t xml:space="preserve">Markdown-native architecture naturally appeals to developers. Add docs-as-code features, API documentation templates, and GitHub/GitLab integration.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Year 2-3</w:t>
      </w:r>
    </w:p>
    <w:bookmarkEnd w:id="36"/>
    <w:bookmarkStart w:id="37" w:name="education-online-learning-platforms"/>
    <w:p>
      <w:pPr>
        <w:pStyle w:val="Heading3"/>
      </w:pPr>
      <w:r>
        <w:t xml:space="preserve">3. Education &amp; Online Learning Platforms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size:</w:t>
      </w:r>
      <w:r>
        <w:t xml:space="preserve"> </w:t>
      </w:r>
      <w:r>
        <w:t xml:space="preserve">$5-8B (EdTech productivity tools segment)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Strategic rationale:</w:t>
      </w:r>
      <w:r>
        <w:t xml:space="preserve"> </w:t>
      </w:r>
      <w:r>
        <w:t xml:space="preserve">Students in PM, MBA, and computer science programs are future PMs. Free tier for education builds a pipeline of future paid users.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Year 3-4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data-sources"/>
    <w:p>
      <w:pPr>
        <w:pStyle w:val="Heading2"/>
      </w:pPr>
      <w:r>
        <w:t xml:space="preserve">8. Data 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709"/>
        <w:gridCol w:w="1250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Taking App Market Report</w:t>
            </w:r>
          </w:p>
        </w:tc>
        <w:tc>
          <w:tcPr/>
          <w:p>
            <w:pPr>
              <w:pStyle w:val="Compact"/>
            </w:pPr>
            <w:r>
              <w:t xml:space="preserve">Research and Markets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Market sizing ($11.1B)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 Taking App Market Size</w:t>
            </w:r>
          </w:p>
        </w:tc>
        <w:tc>
          <w:tcPr/>
          <w:p>
            <w:pPr>
              <w:pStyle w:val="Compact"/>
            </w:pPr>
            <w:r>
              <w:t xml:space="preserve">Business Research Insights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Conservative market sizing ($1.18B)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Productivity App Revenue Statistics</w:t>
            </w:r>
          </w:p>
        </w:tc>
        <w:tc>
          <w:tcPr/>
          <w:p>
            <w:pPr>
              <w:pStyle w:val="Compact"/>
            </w:pPr>
            <w:r>
              <w:t xml:space="preserve">Business of Apps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Broader productivity market ($30B+)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Management Software Market</w:t>
            </w:r>
          </w:p>
        </w:tc>
        <w:tc>
          <w:tcPr/>
          <w:p>
            <w:pPr>
              <w:pStyle w:val="Compact"/>
            </w:pPr>
            <w:r>
              <w:t xml:space="preserve">Verified Market Research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PM software market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Professional Data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1.06M product managers worldwide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Notion Revenue &amp; Valuation</w:t>
            </w:r>
          </w:p>
        </w:tc>
        <w:tc>
          <w:tcPr/>
          <w:p>
            <w:pPr>
              <w:pStyle w:val="Compact"/>
            </w:pPr>
            <w:r>
              <w:t xml:space="preserve">Getlatka / CNBC / SaaStr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$500M ARR, $11B 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 Usage Statistics</w:t>
            </w:r>
          </w:p>
        </w:tc>
        <w:tc>
          <w:tcPr/>
          <w:p>
            <w:pPr>
              <w:pStyle w:val="Compact"/>
            </w:pPr>
            <w:r>
              <w:t xml:space="preserve">Fueler.io / Getlatka</w:t>
            </w:r>
          </w:p>
        </w:tc>
        <w:tc>
          <w:tcPr/>
          <w:p>
            <w:pPr>
              <w:pStyle w:val="Compact"/>
            </w:pPr>
            <w:r>
              <w:t xml:space="preserve">2025-2026</w:t>
            </w:r>
          </w:p>
        </w:tc>
        <w:tc>
          <w:tcPr/>
          <w:p>
            <w:pPr>
              <w:pStyle w:val="Compact"/>
            </w:pPr>
            <w:r>
              <w:t xml:space="preserve">$25M ARR, 1.5M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Evernote Business Statistics</w:t>
            </w:r>
          </w:p>
        </w:tc>
        <w:tc>
          <w:tcPr/>
          <w:p>
            <w:pPr>
              <w:pStyle w:val="Compact"/>
            </w:pPr>
            <w:r>
              <w:t xml:space="preserve">ElectroIQ / Appfigures</w:t>
            </w:r>
          </w:p>
        </w:tc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t xml:space="preserve">User decline trends, revenue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Freemium Conversion Benchmarks</w:t>
            </w:r>
          </w:p>
        </w:tc>
        <w:tc>
          <w:tcPr/>
          <w:p>
            <w:pPr>
              <w:pStyle w:val="Compact"/>
            </w:pPr>
            <w:r>
              <w:t xml:space="preserve">First Page Sage / Pathmonk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2-5% average conversion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Management Market</w:t>
            </w:r>
          </w:p>
        </w:tc>
        <w:tc>
          <w:tcPr/>
          <w:p>
            <w:pPr>
              <w:pStyle w:val="Compact"/>
            </w:pPr>
            <w:r>
              <w:t xml:space="preserve">Fortune Business Insights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KM market sizing ($23.2B)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Qatalog/Cornell Tool Fatigue Study</w:t>
            </w:r>
          </w:p>
        </w:tc>
        <w:tc>
          <w:tcPr/>
          <w:p>
            <w:pPr>
              <w:pStyle w:val="Compact"/>
            </w:pPr>
            <w:r>
              <w:t xml:space="preserve">Qatalog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42% tool fatigue statistic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OpenView PLG Benchmarks</w:t>
            </w:r>
          </w:p>
        </w:tc>
        <w:tc>
          <w:tcPr/>
          <w:p>
            <w:pPr>
              <w:pStyle w:val="Compact"/>
            </w:pPr>
            <w:r>
              <w:t xml:space="preserve">OpenView Partners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Freemium growth benchmarks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analysis was generated by the Market Analysis Agent as part of the PRFAQ process.</w:t>
      </w:r>
      <w:r>
        <w:t xml:space="preserve"> </w:t>
      </w:r>
      <w:r>
        <w:rPr>
          <w:i/>
          <w:iCs/>
        </w:rPr>
        <w:t xml:space="preserve">For the synthesized summary, see the Evidence section in the main PRFAQ document.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2026-02-24T07:58:17Z</dcterms:created>
  <dcterms:modified xsi:type="dcterms:W3CDTF">2026-02-24T07:58:17Z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