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3CB1" w:rsidRDefault="007F3CB1">
      <w:pPr>
        <w:spacing w:before="2400"/>
      </w:pPr>
      <w:bookmarkStart w:id="0" w:name="_GoBack"/>
      <w:bookmarkEnd w:id="0"/>
    </w:p>
    <w:p w:rsidR="007F3CB1" w:rsidRDefault="002104A6">
      <w:pPr>
        <w:spacing w:after="200"/>
        <w:jc w:val="center"/>
      </w:pPr>
      <w:r>
        <w:t>COMPLY GLOBALLY</w:t>
      </w:r>
    </w:p>
    <w:p w:rsidR="007F3CB1" w:rsidRDefault="002104A6">
      <w:pPr>
        <w:spacing w:after="100"/>
        <w:jc w:val="center"/>
      </w:pPr>
      <w:r>
        <w:t>A Connect Ventures Initiative</w:t>
      </w:r>
    </w:p>
    <w:p w:rsidR="007F3CB1" w:rsidRDefault="002104A6">
      <w:pPr>
        <w:spacing w:after="600"/>
        <w:jc w:val="center"/>
      </w:pPr>
      <w:r>
        <w:t>___________________________________</w:t>
      </w:r>
    </w:p>
    <w:p w:rsidR="007F3CB1" w:rsidRDefault="002104A6">
      <w:pPr>
        <w:spacing w:after="200"/>
        <w:jc w:val="center"/>
      </w:pPr>
      <w:r>
        <w:t>ENTRY AUSTRALIA</w:t>
      </w:r>
    </w:p>
    <w:p w:rsidR="007F3CB1" w:rsidRDefault="002104A6">
      <w:pPr>
        <w:spacing w:after="200"/>
        <w:jc w:val="center"/>
      </w:pPr>
      <w:r>
        <w:t>Comprehensive Country Guide for</w:t>
      </w:r>
    </w:p>
    <w:p w:rsidR="007F3CB1" w:rsidRDefault="002104A6">
      <w:pPr>
        <w:spacing w:after="200"/>
        <w:jc w:val="center"/>
      </w:pPr>
      <w:r>
        <w:t>Indian Entrepreneurs, Investors &amp; Expansion-Stage Companies</w:t>
      </w:r>
    </w:p>
    <w:p w:rsidR="007F3CB1" w:rsidRDefault="002104A6">
      <w:pPr>
        <w:spacing w:after="600"/>
        <w:jc w:val="center"/>
      </w:pPr>
      <w:r>
        <w:t>Compliance | Taxation | Market Entry | Operations</w:t>
      </w:r>
    </w:p>
    <w:p w:rsidR="007F3CB1" w:rsidRDefault="002104A6">
      <w:pPr>
        <w:spacing w:after="200"/>
        <w:jc w:val="center"/>
      </w:pPr>
      <w:r>
        <w:t>2026 Edition</w:t>
      </w:r>
    </w:p>
    <w:p w:rsidR="007F3CB1" w:rsidRDefault="002104A6">
      <w:pPr>
        <w:spacing w:before="1200"/>
        <w:jc w:val="center"/>
      </w:pPr>
      <w:r>
        <w:t>Contact: anil.gupta@TheConnectVentures.com</w:t>
      </w:r>
    </w:p>
    <w:p w:rsidR="007F3CB1" w:rsidRDefault="002104A6">
      <w:pPr>
        <w:jc w:val="center"/>
      </w:pPr>
      <w:r>
        <w:t>Phone: +91 99999 81613 | +1 302 214 1717</w:t>
      </w:r>
    </w:p>
    <w:p w:rsidR="007F3CB1" w:rsidRDefault="002104A6">
      <w:pPr>
        <w:spacing w:after="200"/>
        <w:jc w:val="center"/>
      </w:pPr>
      <w:r>
        <w:t>Disclaimer: This guide is for informational purposes only and does not constitute legal or tax advice. Users should verify all information independently.</w:t>
      </w:r>
    </w:p>
    <w:p w:rsidR="007F3CB1" w:rsidRDefault="002104A6">
      <w:r>
        <w:br w:type="page"/>
      </w:r>
    </w:p>
    <w:p w:rsidR="007F3CB1" w:rsidRDefault="002104A6">
      <w:pPr>
        <w:spacing w:after="400"/>
        <w:jc w:val="center"/>
      </w:pPr>
      <w:r>
        <w:lastRenderedPageBreak/>
        <w:t>TABLE OF CONTENT</w:t>
      </w:r>
      <w:r>
        <w:t>S</w:t>
      </w:r>
    </w:p>
    <w:sdt>
      <w:sdtPr>
        <w:alias w:val="Table of Contents"/>
        <w:id w:val="1255856275"/>
      </w:sdtPr>
      <w:sdtEndPr/>
      <w:sdtContent>
        <w:p w:rsidR="00E5461E" w:rsidRDefault="002104A6">
          <w:pPr>
            <w:pStyle w:val="TOC1"/>
            <w:tabs>
              <w:tab w:val="right" w:leader="dot" w:pos="9350"/>
            </w:tabs>
            <w:rPr>
              <w:noProof/>
            </w:rPr>
          </w:pPr>
          <w:r>
            <w:fldChar w:fldCharType="begin"/>
          </w:r>
          <w:r>
            <w:instrText>TOC \h \o "1-3"</w:instrText>
          </w:r>
          <w:r>
            <w:fldChar w:fldCharType="separate"/>
          </w:r>
          <w:hyperlink w:anchor="_Toc230446440" w:history="1">
            <w:r w:rsidR="00E5461E" w:rsidRPr="00A36C99">
              <w:rPr>
                <w:rStyle w:val="Hyperlink"/>
                <w:noProof/>
              </w:rPr>
              <w:t>1. Executive Overview</w:t>
            </w:r>
            <w:r w:rsidR="00E5461E">
              <w:rPr>
                <w:noProof/>
              </w:rPr>
              <w:tab/>
            </w:r>
            <w:r w:rsidR="00E5461E">
              <w:rPr>
                <w:noProof/>
              </w:rPr>
              <w:fldChar w:fldCharType="begin"/>
            </w:r>
            <w:r w:rsidR="00E5461E">
              <w:rPr>
                <w:noProof/>
              </w:rPr>
              <w:instrText xml:space="preserve"> PAGEREF _Toc230446440 \h </w:instrText>
            </w:r>
            <w:r w:rsidR="00E5461E">
              <w:rPr>
                <w:noProof/>
              </w:rPr>
            </w:r>
            <w:r w:rsidR="00E5461E">
              <w:rPr>
                <w:noProof/>
              </w:rPr>
              <w:fldChar w:fldCharType="separate"/>
            </w:r>
            <w:r w:rsidR="00E5461E">
              <w:rPr>
                <w:noProof/>
              </w:rPr>
              <w:t>5</w:t>
            </w:r>
            <w:r w:rsidR="00E5461E">
              <w:rPr>
                <w:noProof/>
              </w:rPr>
              <w:fldChar w:fldCharType="end"/>
            </w:r>
          </w:hyperlink>
        </w:p>
        <w:p w:rsidR="00E5461E" w:rsidRDefault="00E5461E">
          <w:pPr>
            <w:pStyle w:val="TOC2"/>
            <w:tabs>
              <w:tab w:val="right" w:leader="dot" w:pos="9350"/>
            </w:tabs>
            <w:rPr>
              <w:noProof/>
            </w:rPr>
          </w:pPr>
          <w:hyperlink w:anchor="_Toc230446441" w:history="1">
            <w:r w:rsidRPr="00A36C99">
              <w:rPr>
                <w:rStyle w:val="Hyperlink"/>
                <w:noProof/>
              </w:rPr>
              <w:t>1.1 Why Australia?</w:t>
            </w:r>
            <w:r>
              <w:rPr>
                <w:noProof/>
              </w:rPr>
              <w:tab/>
            </w:r>
            <w:r>
              <w:rPr>
                <w:noProof/>
              </w:rPr>
              <w:fldChar w:fldCharType="begin"/>
            </w:r>
            <w:r>
              <w:rPr>
                <w:noProof/>
              </w:rPr>
              <w:instrText xml:space="preserve"> PAGEREF _Toc230446441 \h </w:instrText>
            </w:r>
            <w:r>
              <w:rPr>
                <w:noProof/>
              </w:rPr>
            </w:r>
            <w:r>
              <w:rPr>
                <w:noProof/>
              </w:rPr>
              <w:fldChar w:fldCharType="separate"/>
            </w:r>
            <w:r>
              <w:rPr>
                <w:noProof/>
              </w:rPr>
              <w:t>5</w:t>
            </w:r>
            <w:r>
              <w:rPr>
                <w:noProof/>
              </w:rPr>
              <w:fldChar w:fldCharType="end"/>
            </w:r>
          </w:hyperlink>
        </w:p>
        <w:p w:rsidR="00E5461E" w:rsidRDefault="00E5461E">
          <w:pPr>
            <w:pStyle w:val="TOC2"/>
            <w:tabs>
              <w:tab w:val="right" w:leader="dot" w:pos="9350"/>
            </w:tabs>
            <w:rPr>
              <w:noProof/>
            </w:rPr>
          </w:pPr>
          <w:hyperlink w:anchor="_Toc230446442" w:history="1">
            <w:r w:rsidRPr="00A36C99">
              <w:rPr>
                <w:rStyle w:val="Hyperlink"/>
                <w:noProof/>
              </w:rPr>
              <w:t>1.2 Typical Entry Timelines and Cost Ranges</w:t>
            </w:r>
            <w:r>
              <w:rPr>
                <w:noProof/>
              </w:rPr>
              <w:tab/>
            </w:r>
            <w:r>
              <w:rPr>
                <w:noProof/>
              </w:rPr>
              <w:fldChar w:fldCharType="begin"/>
            </w:r>
            <w:r>
              <w:rPr>
                <w:noProof/>
              </w:rPr>
              <w:instrText xml:space="preserve"> PAGEREF _Toc230446442 \h </w:instrText>
            </w:r>
            <w:r>
              <w:rPr>
                <w:noProof/>
              </w:rPr>
            </w:r>
            <w:r>
              <w:rPr>
                <w:noProof/>
              </w:rPr>
              <w:fldChar w:fldCharType="separate"/>
            </w:r>
            <w:r>
              <w:rPr>
                <w:noProof/>
              </w:rPr>
              <w:t>5</w:t>
            </w:r>
            <w:r>
              <w:rPr>
                <w:noProof/>
              </w:rPr>
              <w:fldChar w:fldCharType="end"/>
            </w:r>
          </w:hyperlink>
        </w:p>
        <w:p w:rsidR="00E5461E" w:rsidRDefault="00E5461E">
          <w:pPr>
            <w:pStyle w:val="TOC1"/>
            <w:tabs>
              <w:tab w:val="right" w:leader="dot" w:pos="9350"/>
            </w:tabs>
            <w:rPr>
              <w:noProof/>
            </w:rPr>
          </w:pPr>
          <w:hyperlink w:anchor="_Toc230446443" w:history="1">
            <w:r w:rsidRPr="00A36C99">
              <w:rPr>
                <w:rStyle w:val="Hyperlink"/>
                <w:noProof/>
              </w:rPr>
              <w:t>2. Country Snapshot</w:t>
            </w:r>
            <w:r>
              <w:rPr>
                <w:noProof/>
              </w:rPr>
              <w:tab/>
            </w:r>
            <w:r>
              <w:rPr>
                <w:noProof/>
              </w:rPr>
              <w:fldChar w:fldCharType="begin"/>
            </w:r>
            <w:r>
              <w:rPr>
                <w:noProof/>
              </w:rPr>
              <w:instrText xml:space="preserve"> PAGEREF _Toc230446443 \h </w:instrText>
            </w:r>
            <w:r>
              <w:rPr>
                <w:noProof/>
              </w:rPr>
            </w:r>
            <w:r>
              <w:rPr>
                <w:noProof/>
              </w:rPr>
              <w:fldChar w:fldCharType="separate"/>
            </w:r>
            <w:r>
              <w:rPr>
                <w:noProof/>
              </w:rPr>
              <w:t>6</w:t>
            </w:r>
            <w:r>
              <w:rPr>
                <w:noProof/>
              </w:rPr>
              <w:fldChar w:fldCharType="end"/>
            </w:r>
          </w:hyperlink>
        </w:p>
        <w:p w:rsidR="00E5461E" w:rsidRDefault="00E5461E">
          <w:pPr>
            <w:pStyle w:val="TOC2"/>
            <w:tabs>
              <w:tab w:val="right" w:leader="dot" w:pos="9350"/>
            </w:tabs>
            <w:rPr>
              <w:noProof/>
            </w:rPr>
          </w:pPr>
          <w:hyperlink w:anchor="_Toc230446444" w:history="1">
            <w:r w:rsidRPr="00A36C99">
              <w:rPr>
                <w:rStyle w:val="Hyperlink"/>
                <w:noProof/>
              </w:rPr>
              <w:t>2.1 Political and Economic Overview</w:t>
            </w:r>
            <w:r>
              <w:rPr>
                <w:noProof/>
              </w:rPr>
              <w:tab/>
            </w:r>
            <w:r>
              <w:rPr>
                <w:noProof/>
              </w:rPr>
              <w:fldChar w:fldCharType="begin"/>
            </w:r>
            <w:r>
              <w:rPr>
                <w:noProof/>
              </w:rPr>
              <w:instrText xml:space="preserve"> PAGEREF _Toc230446444 \h </w:instrText>
            </w:r>
            <w:r>
              <w:rPr>
                <w:noProof/>
              </w:rPr>
            </w:r>
            <w:r>
              <w:rPr>
                <w:noProof/>
              </w:rPr>
              <w:fldChar w:fldCharType="separate"/>
            </w:r>
            <w:r>
              <w:rPr>
                <w:noProof/>
              </w:rPr>
              <w:t>6</w:t>
            </w:r>
            <w:r>
              <w:rPr>
                <w:noProof/>
              </w:rPr>
              <w:fldChar w:fldCharType="end"/>
            </w:r>
          </w:hyperlink>
        </w:p>
        <w:p w:rsidR="00E5461E" w:rsidRDefault="00E5461E">
          <w:pPr>
            <w:pStyle w:val="TOC2"/>
            <w:tabs>
              <w:tab w:val="right" w:leader="dot" w:pos="9350"/>
            </w:tabs>
            <w:rPr>
              <w:noProof/>
            </w:rPr>
          </w:pPr>
          <w:hyperlink w:anchor="_Toc230446445" w:history="1">
            <w:r w:rsidRPr="00A36C99">
              <w:rPr>
                <w:rStyle w:val="Hyperlink"/>
                <w:noProof/>
              </w:rPr>
              <w:t>2.2 Demographics and Key Economic Hubs</w:t>
            </w:r>
            <w:r>
              <w:rPr>
                <w:noProof/>
              </w:rPr>
              <w:tab/>
            </w:r>
            <w:r>
              <w:rPr>
                <w:noProof/>
              </w:rPr>
              <w:fldChar w:fldCharType="begin"/>
            </w:r>
            <w:r>
              <w:rPr>
                <w:noProof/>
              </w:rPr>
              <w:instrText xml:space="preserve"> PAGEREF _Toc230446445 \h </w:instrText>
            </w:r>
            <w:r>
              <w:rPr>
                <w:noProof/>
              </w:rPr>
            </w:r>
            <w:r>
              <w:rPr>
                <w:noProof/>
              </w:rPr>
              <w:fldChar w:fldCharType="separate"/>
            </w:r>
            <w:r>
              <w:rPr>
                <w:noProof/>
              </w:rPr>
              <w:t>6</w:t>
            </w:r>
            <w:r>
              <w:rPr>
                <w:noProof/>
              </w:rPr>
              <w:fldChar w:fldCharType="end"/>
            </w:r>
          </w:hyperlink>
        </w:p>
        <w:p w:rsidR="00E5461E" w:rsidRDefault="00E5461E">
          <w:pPr>
            <w:pStyle w:val="TOC2"/>
            <w:tabs>
              <w:tab w:val="right" w:leader="dot" w:pos="9350"/>
            </w:tabs>
            <w:rPr>
              <w:noProof/>
            </w:rPr>
          </w:pPr>
          <w:hyperlink w:anchor="_Toc230446446" w:history="1">
            <w:r w:rsidRPr="00A36C99">
              <w:rPr>
                <w:rStyle w:val="Hyperlink"/>
                <w:noProof/>
              </w:rPr>
              <w:t>2.3 Trade Agreements and Tax Treaties</w:t>
            </w:r>
            <w:r>
              <w:rPr>
                <w:noProof/>
              </w:rPr>
              <w:tab/>
            </w:r>
            <w:r>
              <w:rPr>
                <w:noProof/>
              </w:rPr>
              <w:fldChar w:fldCharType="begin"/>
            </w:r>
            <w:r>
              <w:rPr>
                <w:noProof/>
              </w:rPr>
              <w:instrText xml:space="preserve"> PAGEREF _Toc230446446 \h </w:instrText>
            </w:r>
            <w:r>
              <w:rPr>
                <w:noProof/>
              </w:rPr>
            </w:r>
            <w:r>
              <w:rPr>
                <w:noProof/>
              </w:rPr>
              <w:fldChar w:fldCharType="separate"/>
            </w:r>
            <w:r>
              <w:rPr>
                <w:noProof/>
              </w:rPr>
              <w:t>6</w:t>
            </w:r>
            <w:r>
              <w:rPr>
                <w:noProof/>
              </w:rPr>
              <w:fldChar w:fldCharType="end"/>
            </w:r>
          </w:hyperlink>
        </w:p>
        <w:p w:rsidR="00E5461E" w:rsidRDefault="00E5461E">
          <w:pPr>
            <w:pStyle w:val="TOC1"/>
            <w:tabs>
              <w:tab w:val="right" w:leader="dot" w:pos="9350"/>
            </w:tabs>
            <w:rPr>
              <w:noProof/>
            </w:rPr>
          </w:pPr>
          <w:hyperlink w:anchor="_Toc230446447" w:history="1">
            <w:r w:rsidRPr="00A36C99">
              <w:rPr>
                <w:rStyle w:val="Hyperlink"/>
                <w:noProof/>
              </w:rPr>
              <w:t>3. Investment Climate &amp; Business Environment</w:t>
            </w:r>
            <w:r>
              <w:rPr>
                <w:noProof/>
              </w:rPr>
              <w:tab/>
            </w:r>
            <w:r>
              <w:rPr>
                <w:noProof/>
              </w:rPr>
              <w:fldChar w:fldCharType="begin"/>
            </w:r>
            <w:r>
              <w:rPr>
                <w:noProof/>
              </w:rPr>
              <w:instrText xml:space="preserve"> PAGEREF _Toc230446447 \h </w:instrText>
            </w:r>
            <w:r>
              <w:rPr>
                <w:noProof/>
              </w:rPr>
            </w:r>
            <w:r>
              <w:rPr>
                <w:noProof/>
              </w:rPr>
              <w:fldChar w:fldCharType="separate"/>
            </w:r>
            <w:r>
              <w:rPr>
                <w:noProof/>
              </w:rPr>
              <w:t>7</w:t>
            </w:r>
            <w:r>
              <w:rPr>
                <w:noProof/>
              </w:rPr>
              <w:fldChar w:fldCharType="end"/>
            </w:r>
          </w:hyperlink>
        </w:p>
        <w:p w:rsidR="00E5461E" w:rsidRDefault="00E5461E">
          <w:pPr>
            <w:pStyle w:val="TOC2"/>
            <w:tabs>
              <w:tab w:val="right" w:leader="dot" w:pos="9350"/>
            </w:tabs>
            <w:rPr>
              <w:noProof/>
            </w:rPr>
          </w:pPr>
          <w:hyperlink w:anchor="_Toc230446448" w:history="1">
            <w:r w:rsidRPr="00A36C99">
              <w:rPr>
                <w:rStyle w:val="Hyperlink"/>
                <w:noProof/>
              </w:rPr>
              <w:t>3.1 Openness to Foreign Investment</w:t>
            </w:r>
            <w:r>
              <w:rPr>
                <w:noProof/>
              </w:rPr>
              <w:tab/>
            </w:r>
            <w:r>
              <w:rPr>
                <w:noProof/>
              </w:rPr>
              <w:fldChar w:fldCharType="begin"/>
            </w:r>
            <w:r>
              <w:rPr>
                <w:noProof/>
              </w:rPr>
              <w:instrText xml:space="preserve"> PAGEREF _Toc230446448 \h </w:instrText>
            </w:r>
            <w:r>
              <w:rPr>
                <w:noProof/>
              </w:rPr>
            </w:r>
            <w:r>
              <w:rPr>
                <w:noProof/>
              </w:rPr>
              <w:fldChar w:fldCharType="separate"/>
            </w:r>
            <w:r>
              <w:rPr>
                <w:noProof/>
              </w:rPr>
              <w:t>7</w:t>
            </w:r>
            <w:r>
              <w:rPr>
                <w:noProof/>
              </w:rPr>
              <w:fldChar w:fldCharType="end"/>
            </w:r>
          </w:hyperlink>
        </w:p>
        <w:p w:rsidR="00E5461E" w:rsidRDefault="00E5461E">
          <w:pPr>
            <w:pStyle w:val="TOC2"/>
            <w:tabs>
              <w:tab w:val="right" w:leader="dot" w:pos="9350"/>
            </w:tabs>
            <w:rPr>
              <w:noProof/>
            </w:rPr>
          </w:pPr>
          <w:hyperlink w:anchor="_Toc230446449" w:history="1">
            <w:r w:rsidRPr="00A36C99">
              <w:rPr>
                <w:rStyle w:val="Hyperlink"/>
                <w:noProof/>
              </w:rPr>
              <w:t>3.2 Ease of Doing Business</w:t>
            </w:r>
            <w:r>
              <w:rPr>
                <w:noProof/>
              </w:rPr>
              <w:tab/>
            </w:r>
            <w:r>
              <w:rPr>
                <w:noProof/>
              </w:rPr>
              <w:fldChar w:fldCharType="begin"/>
            </w:r>
            <w:r>
              <w:rPr>
                <w:noProof/>
              </w:rPr>
              <w:instrText xml:space="preserve"> PAGEREF _Toc230446449 \h </w:instrText>
            </w:r>
            <w:r>
              <w:rPr>
                <w:noProof/>
              </w:rPr>
            </w:r>
            <w:r>
              <w:rPr>
                <w:noProof/>
              </w:rPr>
              <w:fldChar w:fldCharType="separate"/>
            </w:r>
            <w:r>
              <w:rPr>
                <w:noProof/>
              </w:rPr>
              <w:t>7</w:t>
            </w:r>
            <w:r>
              <w:rPr>
                <w:noProof/>
              </w:rPr>
              <w:fldChar w:fldCharType="end"/>
            </w:r>
          </w:hyperlink>
        </w:p>
        <w:p w:rsidR="00E5461E" w:rsidRDefault="00E5461E">
          <w:pPr>
            <w:pStyle w:val="TOC2"/>
            <w:tabs>
              <w:tab w:val="right" w:leader="dot" w:pos="9350"/>
            </w:tabs>
            <w:rPr>
              <w:noProof/>
            </w:rPr>
          </w:pPr>
          <w:hyperlink w:anchor="_Toc230446450" w:history="1">
            <w:r w:rsidRPr="00A36C99">
              <w:rPr>
                <w:rStyle w:val="Hyperlink"/>
                <w:noProof/>
              </w:rPr>
              <w:t>3.3 Priority Sectors and Incentives</w:t>
            </w:r>
            <w:r>
              <w:rPr>
                <w:noProof/>
              </w:rPr>
              <w:tab/>
            </w:r>
            <w:r>
              <w:rPr>
                <w:noProof/>
              </w:rPr>
              <w:fldChar w:fldCharType="begin"/>
            </w:r>
            <w:r>
              <w:rPr>
                <w:noProof/>
              </w:rPr>
              <w:instrText xml:space="preserve"> PAGEREF _Toc230446450 \h </w:instrText>
            </w:r>
            <w:r>
              <w:rPr>
                <w:noProof/>
              </w:rPr>
            </w:r>
            <w:r>
              <w:rPr>
                <w:noProof/>
              </w:rPr>
              <w:fldChar w:fldCharType="separate"/>
            </w:r>
            <w:r>
              <w:rPr>
                <w:noProof/>
              </w:rPr>
              <w:t>7</w:t>
            </w:r>
            <w:r>
              <w:rPr>
                <w:noProof/>
              </w:rPr>
              <w:fldChar w:fldCharType="end"/>
            </w:r>
          </w:hyperlink>
        </w:p>
        <w:p w:rsidR="00E5461E" w:rsidRDefault="00E5461E">
          <w:pPr>
            <w:pStyle w:val="TOC1"/>
            <w:tabs>
              <w:tab w:val="right" w:leader="dot" w:pos="9350"/>
            </w:tabs>
            <w:rPr>
              <w:noProof/>
            </w:rPr>
          </w:pPr>
          <w:hyperlink w:anchor="_Toc230446451" w:history="1">
            <w:r w:rsidRPr="00A36C99">
              <w:rPr>
                <w:rStyle w:val="Hyperlink"/>
                <w:noProof/>
              </w:rPr>
              <w:t>4. Market Entry Strategy</w:t>
            </w:r>
            <w:r>
              <w:rPr>
                <w:noProof/>
              </w:rPr>
              <w:tab/>
            </w:r>
            <w:r>
              <w:rPr>
                <w:noProof/>
              </w:rPr>
              <w:fldChar w:fldCharType="begin"/>
            </w:r>
            <w:r>
              <w:rPr>
                <w:noProof/>
              </w:rPr>
              <w:instrText xml:space="preserve"> PAGEREF _Toc230446451 \h </w:instrText>
            </w:r>
            <w:r>
              <w:rPr>
                <w:noProof/>
              </w:rPr>
            </w:r>
            <w:r>
              <w:rPr>
                <w:noProof/>
              </w:rPr>
              <w:fldChar w:fldCharType="separate"/>
            </w:r>
            <w:r>
              <w:rPr>
                <w:noProof/>
              </w:rPr>
              <w:t>8</w:t>
            </w:r>
            <w:r>
              <w:rPr>
                <w:noProof/>
              </w:rPr>
              <w:fldChar w:fldCharType="end"/>
            </w:r>
          </w:hyperlink>
        </w:p>
        <w:p w:rsidR="00E5461E" w:rsidRDefault="00E5461E">
          <w:pPr>
            <w:pStyle w:val="TOC2"/>
            <w:tabs>
              <w:tab w:val="right" w:leader="dot" w:pos="9350"/>
            </w:tabs>
            <w:rPr>
              <w:noProof/>
            </w:rPr>
          </w:pPr>
          <w:hyperlink w:anchor="_Toc230446452" w:history="1">
            <w:r w:rsidRPr="00A36C99">
              <w:rPr>
                <w:rStyle w:val="Hyperlink"/>
                <w:noProof/>
              </w:rPr>
              <w:t>4.1 Go-to-Market Models</w:t>
            </w:r>
            <w:r>
              <w:rPr>
                <w:noProof/>
              </w:rPr>
              <w:tab/>
            </w:r>
            <w:r>
              <w:rPr>
                <w:noProof/>
              </w:rPr>
              <w:fldChar w:fldCharType="begin"/>
            </w:r>
            <w:r>
              <w:rPr>
                <w:noProof/>
              </w:rPr>
              <w:instrText xml:space="preserve"> PAGEREF _Toc230446452 \h </w:instrText>
            </w:r>
            <w:r>
              <w:rPr>
                <w:noProof/>
              </w:rPr>
            </w:r>
            <w:r>
              <w:rPr>
                <w:noProof/>
              </w:rPr>
              <w:fldChar w:fldCharType="separate"/>
            </w:r>
            <w:r>
              <w:rPr>
                <w:noProof/>
              </w:rPr>
              <w:t>8</w:t>
            </w:r>
            <w:r>
              <w:rPr>
                <w:noProof/>
              </w:rPr>
              <w:fldChar w:fldCharType="end"/>
            </w:r>
          </w:hyperlink>
        </w:p>
        <w:p w:rsidR="00E5461E" w:rsidRDefault="00E5461E">
          <w:pPr>
            <w:pStyle w:val="TOC2"/>
            <w:tabs>
              <w:tab w:val="right" w:leader="dot" w:pos="9350"/>
            </w:tabs>
            <w:rPr>
              <w:noProof/>
            </w:rPr>
          </w:pPr>
          <w:hyperlink w:anchor="_Toc230446453" w:history="1">
            <w:r w:rsidRPr="00A36C99">
              <w:rPr>
                <w:rStyle w:val="Hyperlink"/>
                <w:noProof/>
              </w:rPr>
              <w:t>4.2 Strategic Considerations</w:t>
            </w:r>
            <w:r>
              <w:rPr>
                <w:noProof/>
              </w:rPr>
              <w:tab/>
            </w:r>
            <w:r>
              <w:rPr>
                <w:noProof/>
              </w:rPr>
              <w:fldChar w:fldCharType="begin"/>
            </w:r>
            <w:r>
              <w:rPr>
                <w:noProof/>
              </w:rPr>
              <w:instrText xml:space="preserve"> PAGEREF _Toc230446453 \h </w:instrText>
            </w:r>
            <w:r>
              <w:rPr>
                <w:noProof/>
              </w:rPr>
            </w:r>
            <w:r>
              <w:rPr>
                <w:noProof/>
              </w:rPr>
              <w:fldChar w:fldCharType="separate"/>
            </w:r>
            <w:r>
              <w:rPr>
                <w:noProof/>
              </w:rPr>
              <w:t>8</w:t>
            </w:r>
            <w:r>
              <w:rPr>
                <w:noProof/>
              </w:rPr>
              <w:fldChar w:fldCharType="end"/>
            </w:r>
          </w:hyperlink>
        </w:p>
        <w:p w:rsidR="00E5461E" w:rsidRDefault="00E5461E">
          <w:pPr>
            <w:pStyle w:val="TOC1"/>
            <w:tabs>
              <w:tab w:val="right" w:leader="dot" w:pos="9350"/>
            </w:tabs>
            <w:rPr>
              <w:noProof/>
            </w:rPr>
          </w:pPr>
          <w:hyperlink w:anchor="_Toc230446454" w:history="1">
            <w:r w:rsidRPr="00A36C99">
              <w:rPr>
                <w:rStyle w:val="Hyperlink"/>
                <w:noProof/>
              </w:rPr>
              <w:t>5. Legal and Regulatory Framework</w:t>
            </w:r>
            <w:r>
              <w:rPr>
                <w:noProof/>
              </w:rPr>
              <w:tab/>
            </w:r>
            <w:r>
              <w:rPr>
                <w:noProof/>
              </w:rPr>
              <w:fldChar w:fldCharType="begin"/>
            </w:r>
            <w:r>
              <w:rPr>
                <w:noProof/>
              </w:rPr>
              <w:instrText xml:space="preserve"> PAGEREF _Toc230446454 \h </w:instrText>
            </w:r>
            <w:r>
              <w:rPr>
                <w:noProof/>
              </w:rPr>
            </w:r>
            <w:r>
              <w:rPr>
                <w:noProof/>
              </w:rPr>
              <w:fldChar w:fldCharType="separate"/>
            </w:r>
            <w:r>
              <w:rPr>
                <w:noProof/>
              </w:rPr>
              <w:t>9</w:t>
            </w:r>
            <w:r>
              <w:rPr>
                <w:noProof/>
              </w:rPr>
              <w:fldChar w:fldCharType="end"/>
            </w:r>
          </w:hyperlink>
        </w:p>
        <w:p w:rsidR="00E5461E" w:rsidRDefault="00E5461E">
          <w:pPr>
            <w:pStyle w:val="TOC2"/>
            <w:tabs>
              <w:tab w:val="right" w:leader="dot" w:pos="9350"/>
            </w:tabs>
            <w:rPr>
              <w:noProof/>
            </w:rPr>
          </w:pPr>
          <w:hyperlink w:anchor="_Toc230446455" w:history="1">
            <w:r w:rsidRPr="00A36C99">
              <w:rPr>
                <w:rStyle w:val="Hyperlink"/>
                <w:noProof/>
              </w:rPr>
              <w:t>5.1 Overview of the Legal System</w:t>
            </w:r>
            <w:r>
              <w:rPr>
                <w:noProof/>
              </w:rPr>
              <w:tab/>
            </w:r>
            <w:r>
              <w:rPr>
                <w:noProof/>
              </w:rPr>
              <w:fldChar w:fldCharType="begin"/>
            </w:r>
            <w:r>
              <w:rPr>
                <w:noProof/>
              </w:rPr>
              <w:instrText xml:space="preserve"> PAGEREF _Toc230446455 \h </w:instrText>
            </w:r>
            <w:r>
              <w:rPr>
                <w:noProof/>
              </w:rPr>
            </w:r>
            <w:r>
              <w:rPr>
                <w:noProof/>
              </w:rPr>
              <w:fldChar w:fldCharType="separate"/>
            </w:r>
            <w:r>
              <w:rPr>
                <w:noProof/>
              </w:rPr>
              <w:t>9</w:t>
            </w:r>
            <w:r>
              <w:rPr>
                <w:noProof/>
              </w:rPr>
              <w:fldChar w:fldCharType="end"/>
            </w:r>
          </w:hyperlink>
        </w:p>
        <w:p w:rsidR="00E5461E" w:rsidRDefault="00E5461E">
          <w:pPr>
            <w:pStyle w:val="TOC2"/>
            <w:tabs>
              <w:tab w:val="right" w:leader="dot" w:pos="9350"/>
            </w:tabs>
            <w:rPr>
              <w:noProof/>
            </w:rPr>
          </w:pPr>
          <w:hyperlink w:anchor="_Toc230446456" w:history="1">
            <w:r w:rsidRPr="00A36C99">
              <w:rPr>
                <w:rStyle w:val="Hyperlink"/>
                <w:noProof/>
              </w:rPr>
              <w:t>5.2 Key Regulatory Bodies</w:t>
            </w:r>
            <w:r>
              <w:rPr>
                <w:noProof/>
              </w:rPr>
              <w:tab/>
            </w:r>
            <w:r>
              <w:rPr>
                <w:noProof/>
              </w:rPr>
              <w:fldChar w:fldCharType="begin"/>
            </w:r>
            <w:r>
              <w:rPr>
                <w:noProof/>
              </w:rPr>
              <w:instrText xml:space="preserve"> PAGEREF _Toc230446456 \h </w:instrText>
            </w:r>
            <w:r>
              <w:rPr>
                <w:noProof/>
              </w:rPr>
            </w:r>
            <w:r>
              <w:rPr>
                <w:noProof/>
              </w:rPr>
              <w:fldChar w:fldCharType="separate"/>
            </w:r>
            <w:r>
              <w:rPr>
                <w:noProof/>
              </w:rPr>
              <w:t>9</w:t>
            </w:r>
            <w:r>
              <w:rPr>
                <w:noProof/>
              </w:rPr>
              <w:fldChar w:fldCharType="end"/>
            </w:r>
          </w:hyperlink>
        </w:p>
        <w:p w:rsidR="00E5461E" w:rsidRDefault="00E5461E">
          <w:pPr>
            <w:pStyle w:val="TOC2"/>
            <w:tabs>
              <w:tab w:val="right" w:leader="dot" w:pos="9350"/>
            </w:tabs>
            <w:rPr>
              <w:noProof/>
            </w:rPr>
          </w:pPr>
          <w:hyperlink w:anchor="_Toc230446457" w:history="1">
            <w:r w:rsidRPr="00A36C99">
              <w:rPr>
                <w:rStyle w:val="Hyperlink"/>
                <w:noProof/>
              </w:rPr>
              <w:t>5.3 Competition, Consumer Protection, and Data Privacy</w:t>
            </w:r>
            <w:r>
              <w:rPr>
                <w:noProof/>
              </w:rPr>
              <w:tab/>
            </w:r>
            <w:r>
              <w:rPr>
                <w:noProof/>
              </w:rPr>
              <w:fldChar w:fldCharType="begin"/>
            </w:r>
            <w:r>
              <w:rPr>
                <w:noProof/>
              </w:rPr>
              <w:instrText xml:space="preserve"> PAGEREF _Toc230446457 \h </w:instrText>
            </w:r>
            <w:r>
              <w:rPr>
                <w:noProof/>
              </w:rPr>
            </w:r>
            <w:r>
              <w:rPr>
                <w:noProof/>
              </w:rPr>
              <w:fldChar w:fldCharType="separate"/>
            </w:r>
            <w:r>
              <w:rPr>
                <w:noProof/>
              </w:rPr>
              <w:t>9</w:t>
            </w:r>
            <w:r>
              <w:rPr>
                <w:noProof/>
              </w:rPr>
              <w:fldChar w:fldCharType="end"/>
            </w:r>
          </w:hyperlink>
        </w:p>
        <w:p w:rsidR="00E5461E" w:rsidRDefault="00E5461E">
          <w:pPr>
            <w:pStyle w:val="TOC1"/>
            <w:tabs>
              <w:tab w:val="right" w:leader="dot" w:pos="9350"/>
            </w:tabs>
            <w:rPr>
              <w:noProof/>
            </w:rPr>
          </w:pPr>
          <w:hyperlink w:anchor="_Toc230446458" w:history="1">
            <w:r w:rsidRPr="00A36C99">
              <w:rPr>
                <w:rStyle w:val="Hyperlink"/>
                <w:noProof/>
              </w:rPr>
              <w:t>6. Business Structures for Foreign Investors</w:t>
            </w:r>
            <w:r>
              <w:rPr>
                <w:noProof/>
              </w:rPr>
              <w:tab/>
            </w:r>
            <w:r>
              <w:rPr>
                <w:noProof/>
              </w:rPr>
              <w:fldChar w:fldCharType="begin"/>
            </w:r>
            <w:r>
              <w:rPr>
                <w:noProof/>
              </w:rPr>
              <w:instrText xml:space="preserve"> PAGEREF _Toc230446458 \h </w:instrText>
            </w:r>
            <w:r>
              <w:rPr>
                <w:noProof/>
              </w:rPr>
            </w:r>
            <w:r>
              <w:rPr>
                <w:noProof/>
              </w:rPr>
              <w:fldChar w:fldCharType="separate"/>
            </w:r>
            <w:r>
              <w:rPr>
                <w:noProof/>
              </w:rPr>
              <w:t>10</w:t>
            </w:r>
            <w:r>
              <w:rPr>
                <w:noProof/>
              </w:rPr>
              <w:fldChar w:fldCharType="end"/>
            </w:r>
          </w:hyperlink>
        </w:p>
        <w:p w:rsidR="00E5461E" w:rsidRDefault="00E5461E">
          <w:pPr>
            <w:pStyle w:val="TOC2"/>
            <w:tabs>
              <w:tab w:val="right" w:leader="dot" w:pos="9350"/>
            </w:tabs>
            <w:rPr>
              <w:noProof/>
            </w:rPr>
          </w:pPr>
          <w:hyperlink w:anchor="_Toc230446459" w:history="1">
            <w:r w:rsidRPr="00A36C99">
              <w:rPr>
                <w:rStyle w:val="Hyperlink"/>
                <w:noProof/>
              </w:rPr>
              <w:t>6.1 Available Business Vehicles</w:t>
            </w:r>
            <w:r>
              <w:rPr>
                <w:noProof/>
              </w:rPr>
              <w:tab/>
            </w:r>
            <w:r>
              <w:rPr>
                <w:noProof/>
              </w:rPr>
              <w:fldChar w:fldCharType="begin"/>
            </w:r>
            <w:r>
              <w:rPr>
                <w:noProof/>
              </w:rPr>
              <w:instrText xml:space="preserve"> PAGEREF _Toc230446459 \h </w:instrText>
            </w:r>
            <w:r>
              <w:rPr>
                <w:noProof/>
              </w:rPr>
            </w:r>
            <w:r>
              <w:rPr>
                <w:noProof/>
              </w:rPr>
              <w:fldChar w:fldCharType="separate"/>
            </w:r>
            <w:r>
              <w:rPr>
                <w:noProof/>
              </w:rPr>
              <w:t>10</w:t>
            </w:r>
            <w:r>
              <w:rPr>
                <w:noProof/>
              </w:rPr>
              <w:fldChar w:fldCharType="end"/>
            </w:r>
          </w:hyperlink>
        </w:p>
        <w:p w:rsidR="00E5461E" w:rsidRDefault="00E5461E">
          <w:pPr>
            <w:pStyle w:val="TOC2"/>
            <w:tabs>
              <w:tab w:val="right" w:leader="dot" w:pos="9350"/>
            </w:tabs>
            <w:rPr>
              <w:noProof/>
            </w:rPr>
          </w:pPr>
          <w:hyperlink w:anchor="_Toc230446460" w:history="1">
            <w:r w:rsidRPr="00A36C99">
              <w:rPr>
                <w:rStyle w:val="Hyperlink"/>
                <w:noProof/>
              </w:rPr>
              <w:t>6.2 Comparative Table of Structures</w:t>
            </w:r>
            <w:r>
              <w:rPr>
                <w:noProof/>
              </w:rPr>
              <w:tab/>
            </w:r>
            <w:r>
              <w:rPr>
                <w:noProof/>
              </w:rPr>
              <w:fldChar w:fldCharType="begin"/>
            </w:r>
            <w:r>
              <w:rPr>
                <w:noProof/>
              </w:rPr>
              <w:instrText xml:space="preserve"> PAGEREF _Toc230446460 \h </w:instrText>
            </w:r>
            <w:r>
              <w:rPr>
                <w:noProof/>
              </w:rPr>
            </w:r>
            <w:r>
              <w:rPr>
                <w:noProof/>
              </w:rPr>
              <w:fldChar w:fldCharType="separate"/>
            </w:r>
            <w:r>
              <w:rPr>
                <w:noProof/>
              </w:rPr>
              <w:t>10</w:t>
            </w:r>
            <w:r>
              <w:rPr>
                <w:noProof/>
              </w:rPr>
              <w:fldChar w:fldCharType="end"/>
            </w:r>
          </w:hyperlink>
        </w:p>
        <w:p w:rsidR="00E5461E" w:rsidRDefault="00E5461E">
          <w:pPr>
            <w:pStyle w:val="TOC1"/>
            <w:tabs>
              <w:tab w:val="right" w:leader="dot" w:pos="9350"/>
            </w:tabs>
            <w:rPr>
              <w:noProof/>
            </w:rPr>
          </w:pPr>
          <w:hyperlink w:anchor="_Toc230446461" w:history="1">
            <w:r w:rsidRPr="00A36C99">
              <w:rPr>
                <w:rStyle w:val="Hyperlink"/>
                <w:noProof/>
              </w:rPr>
              <w:t>7. Foreign Investment Rules and Exchange Control</w:t>
            </w:r>
            <w:r>
              <w:rPr>
                <w:noProof/>
              </w:rPr>
              <w:tab/>
            </w:r>
            <w:r>
              <w:rPr>
                <w:noProof/>
              </w:rPr>
              <w:fldChar w:fldCharType="begin"/>
            </w:r>
            <w:r>
              <w:rPr>
                <w:noProof/>
              </w:rPr>
              <w:instrText xml:space="preserve"> PAGEREF _Toc230446461 \h </w:instrText>
            </w:r>
            <w:r>
              <w:rPr>
                <w:noProof/>
              </w:rPr>
            </w:r>
            <w:r>
              <w:rPr>
                <w:noProof/>
              </w:rPr>
              <w:fldChar w:fldCharType="separate"/>
            </w:r>
            <w:r>
              <w:rPr>
                <w:noProof/>
              </w:rPr>
              <w:t>11</w:t>
            </w:r>
            <w:r>
              <w:rPr>
                <w:noProof/>
              </w:rPr>
              <w:fldChar w:fldCharType="end"/>
            </w:r>
          </w:hyperlink>
        </w:p>
        <w:p w:rsidR="00E5461E" w:rsidRDefault="00E5461E">
          <w:pPr>
            <w:pStyle w:val="TOC2"/>
            <w:tabs>
              <w:tab w:val="right" w:leader="dot" w:pos="9350"/>
            </w:tabs>
            <w:rPr>
              <w:noProof/>
            </w:rPr>
          </w:pPr>
          <w:hyperlink w:anchor="_Toc230446462" w:history="1">
            <w:r w:rsidRPr="00A36C99">
              <w:rPr>
                <w:rStyle w:val="Hyperlink"/>
                <w:noProof/>
              </w:rPr>
              <w:t>7.1 FDI Regime Overview</w:t>
            </w:r>
            <w:r>
              <w:rPr>
                <w:noProof/>
              </w:rPr>
              <w:tab/>
            </w:r>
            <w:r>
              <w:rPr>
                <w:noProof/>
              </w:rPr>
              <w:fldChar w:fldCharType="begin"/>
            </w:r>
            <w:r>
              <w:rPr>
                <w:noProof/>
              </w:rPr>
              <w:instrText xml:space="preserve"> PAGEREF _Toc230446462 \h </w:instrText>
            </w:r>
            <w:r>
              <w:rPr>
                <w:noProof/>
              </w:rPr>
            </w:r>
            <w:r>
              <w:rPr>
                <w:noProof/>
              </w:rPr>
              <w:fldChar w:fldCharType="separate"/>
            </w:r>
            <w:r>
              <w:rPr>
                <w:noProof/>
              </w:rPr>
              <w:t>11</w:t>
            </w:r>
            <w:r>
              <w:rPr>
                <w:noProof/>
              </w:rPr>
              <w:fldChar w:fldCharType="end"/>
            </w:r>
          </w:hyperlink>
        </w:p>
        <w:p w:rsidR="00E5461E" w:rsidRDefault="00E5461E">
          <w:pPr>
            <w:pStyle w:val="TOC2"/>
            <w:tabs>
              <w:tab w:val="right" w:leader="dot" w:pos="9350"/>
            </w:tabs>
            <w:rPr>
              <w:noProof/>
            </w:rPr>
          </w:pPr>
          <w:hyperlink w:anchor="_Toc230446463" w:history="1">
            <w:r w:rsidRPr="00A36C99">
              <w:rPr>
                <w:rStyle w:val="Hyperlink"/>
                <w:noProof/>
              </w:rPr>
              <w:t>7.2 Key Conditions for Foreign Shareholders</w:t>
            </w:r>
            <w:r>
              <w:rPr>
                <w:noProof/>
              </w:rPr>
              <w:tab/>
            </w:r>
            <w:r>
              <w:rPr>
                <w:noProof/>
              </w:rPr>
              <w:fldChar w:fldCharType="begin"/>
            </w:r>
            <w:r>
              <w:rPr>
                <w:noProof/>
              </w:rPr>
              <w:instrText xml:space="preserve"> PAGEREF _Toc230446463 \h </w:instrText>
            </w:r>
            <w:r>
              <w:rPr>
                <w:noProof/>
              </w:rPr>
            </w:r>
            <w:r>
              <w:rPr>
                <w:noProof/>
              </w:rPr>
              <w:fldChar w:fldCharType="separate"/>
            </w:r>
            <w:r>
              <w:rPr>
                <w:noProof/>
              </w:rPr>
              <w:t>11</w:t>
            </w:r>
            <w:r>
              <w:rPr>
                <w:noProof/>
              </w:rPr>
              <w:fldChar w:fldCharType="end"/>
            </w:r>
          </w:hyperlink>
        </w:p>
        <w:p w:rsidR="00E5461E" w:rsidRDefault="00E5461E">
          <w:pPr>
            <w:pStyle w:val="TOC2"/>
            <w:tabs>
              <w:tab w:val="right" w:leader="dot" w:pos="9350"/>
            </w:tabs>
            <w:rPr>
              <w:noProof/>
            </w:rPr>
          </w:pPr>
          <w:hyperlink w:anchor="_Toc230446464" w:history="1">
            <w:r w:rsidRPr="00A36C99">
              <w:rPr>
                <w:rStyle w:val="Hyperlink"/>
                <w:noProof/>
              </w:rPr>
              <w:t>7.3 Foreign Exchange Regulations</w:t>
            </w:r>
            <w:r>
              <w:rPr>
                <w:noProof/>
              </w:rPr>
              <w:tab/>
            </w:r>
            <w:r>
              <w:rPr>
                <w:noProof/>
              </w:rPr>
              <w:fldChar w:fldCharType="begin"/>
            </w:r>
            <w:r>
              <w:rPr>
                <w:noProof/>
              </w:rPr>
              <w:instrText xml:space="preserve"> PAGEREF _Toc230446464 \h </w:instrText>
            </w:r>
            <w:r>
              <w:rPr>
                <w:noProof/>
              </w:rPr>
            </w:r>
            <w:r>
              <w:rPr>
                <w:noProof/>
              </w:rPr>
              <w:fldChar w:fldCharType="separate"/>
            </w:r>
            <w:r>
              <w:rPr>
                <w:noProof/>
              </w:rPr>
              <w:t>11</w:t>
            </w:r>
            <w:r>
              <w:rPr>
                <w:noProof/>
              </w:rPr>
              <w:fldChar w:fldCharType="end"/>
            </w:r>
          </w:hyperlink>
        </w:p>
        <w:p w:rsidR="00E5461E" w:rsidRDefault="00E5461E">
          <w:pPr>
            <w:pStyle w:val="TOC1"/>
            <w:tabs>
              <w:tab w:val="right" w:leader="dot" w:pos="9350"/>
            </w:tabs>
            <w:rPr>
              <w:noProof/>
            </w:rPr>
          </w:pPr>
          <w:hyperlink w:anchor="_Toc230446465" w:history="1">
            <w:r w:rsidRPr="00A36C99">
              <w:rPr>
                <w:rStyle w:val="Hyperlink"/>
                <w:noProof/>
              </w:rPr>
              <w:t>8. Step-by-Step Incorporation &amp; Registration Process</w:t>
            </w:r>
            <w:r>
              <w:rPr>
                <w:noProof/>
              </w:rPr>
              <w:tab/>
            </w:r>
            <w:r>
              <w:rPr>
                <w:noProof/>
              </w:rPr>
              <w:fldChar w:fldCharType="begin"/>
            </w:r>
            <w:r>
              <w:rPr>
                <w:noProof/>
              </w:rPr>
              <w:instrText xml:space="preserve"> PAGEREF _Toc230446465 \h </w:instrText>
            </w:r>
            <w:r>
              <w:rPr>
                <w:noProof/>
              </w:rPr>
            </w:r>
            <w:r>
              <w:rPr>
                <w:noProof/>
              </w:rPr>
              <w:fldChar w:fldCharType="separate"/>
            </w:r>
            <w:r>
              <w:rPr>
                <w:noProof/>
              </w:rPr>
              <w:t>12</w:t>
            </w:r>
            <w:r>
              <w:rPr>
                <w:noProof/>
              </w:rPr>
              <w:fldChar w:fldCharType="end"/>
            </w:r>
          </w:hyperlink>
        </w:p>
        <w:p w:rsidR="00E5461E" w:rsidRDefault="00E5461E">
          <w:pPr>
            <w:pStyle w:val="TOC2"/>
            <w:tabs>
              <w:tab w:val="right" w:leader="dot" w:pos="9350"/>
            </w:tabs>
            <w:rPr>
              <w:noProof/>
            </w:rPr>
          </w:pPr>
          <w:hyperlink w:anchor="_Toc230446466" w:history="1">
            <w:r w:rsidRPr="00A36C99">
              <w:rPr>
                <w:rStyle w:val="Hyperlink"/>
                <w:noProof/>
              </w:rPr>
              <w:t>8.1 Pre-Incorporation Planning</w:t>
            </w:r>
            <w:r>
              <w:rPr>
                <w:noProof/>
              </w:rPr>
              <w:tab/>
            </w:r>
            <w:r>
              <w:rPr>
                <w:noProof/>
              </w:rPr>
              <w:fldChar w:fldCharType="begin"/>
            </w:r>
            <w:r>
              <w:rPr>
                <w:noProof/>
              </w:rPr>
              <w:instrText xml:space="preserve"> PAGEREF _Toc230446466 \h </w:instrText>
            </w:r>
            <w:r>
              <w:rPr>
                <w:noProof/>
              </w:rPr>
            </w:r>
            <w:r>
              <w:rPr>
                <w:noProof/>
              </w:rPr>
              <w:fldChar w:fldCharType="separate"/>
            </w:r>
            <w:r>
              <w:rPr>
                <w:noProof/>
              </w:rPr>
              <w:t>12</w:t>
            </w:r>
            <w:r>
              <w:rPr>
                <w:noProof/>
              </w:rPr>
              <w:fldChar w:fldCharType="end"/>
            </w:r>
          </w:hyperlink>
        </w:p>
        <w:p w:rsidR="00E5461E" w:rsidRDefault="00E5461E">
          <w:pPr>
            <w:pStyle w:val="TOC2"/>
            <w:tabs>
              <w:tab w:val="right" w:leader="dot" w:pos="9350"/>
            </w:tabs>
            <w:rPr>
              <w:noProof/>
            </w:rPr>
          </w:pPr>
          <w:hyperlink w:anchor="_Toc230446467" w:history="1">
            <w:r w:rsidRPr="00A36C99">
              <w:rPr>
                <w:rStyle w:val="Hyperlink"/>
                <w:noProof/>
              </w:rPr>
              <w:t>8.2 Step-by-Step Incorporation Workflow</w:t>
            </w:r>
            <w:r>
              <w:rPr>
                <w:noProof/>
              </w:rPr>
              <w:tab/>
            </w:r>
            <w:r>
              <w:rPr>
                <w:noProof/>
              </w:rPr>
              <w:fldChar w:fldCharType="begin"/>
            </w:r>
            <w:r>
              <w:rPr>
                <w:noProof/>
              </w:rPr>
              <w:instrText xml:space="preserve"> PAGEREF _Toc230446467 \h </w:instrText>
            </w:r>
            <w:r>
              <w:rPr>
                <w:noProof/>
              </w:rPr>
            </w:r>
            <w:r>
              <w:rPr>
                <w:noProof/>
              </w:rPr>
              <w:fldChar w:fldCharType="separate"/>
            </w:r>
            <w:r>
              <w:rPr>
                <w:noProof/>
              </w:rPr>
              <w:t>12</w:t>
            </w:r>
            <w:r>
              <w:rPr>
                <w:noProof/>
              </w:rPr>
              <w:fldChar w:fldCharType="end"/>
            </w:r>
          </w:hyperlink>
        </w:p>
        <w:p w:rsidR="00E5461E" w:rsidRDefault="00E5461E">
          <w:pPr>
            <w:pStyle w:val="TOC1"/>
            <w:tabs>
              <w:tab w:val="right" w:leader="dot" w:pos="9350"/>
            </w:tabs>
            <w:rPr>
              <w:noProof/>
            </w:rPr>
          </w:pPr>
          <w:hyperlink w:anchor="_Toc230446468" w:history="1">
            <w:r w:rsidRPr="00A36C99">
              <w:rPr>
                <w:rStyle w:val="Hyperlink"/>
                <w:noProof/>
              </w:rPr>
              <w:t>9. Licenses, Approvals, and Sector-Specific Requirements</w:t>
            </w:r>
            <w:r>
              <w:rPr>
                <w:noProof/>
              </w:rPr>
              <w:tab/>
            </w:r>
            <w:r>
              <w:rPr>
                <w:noProof/>
              </w:rPr>
              <w:fldChar w:fldCharType="begin"/>
            </w:r>
            <w:r>
              <w:rPr>
                <w:noProof/>
              </w:rPr>
              <w:instrText xml:space="preserve"> PAGEREF _Toc230446468 \h </w:instrText>
            </w:r>
            <w:r>
              <w:rPr>
                <w:noProof/>
              </w:rPr>
            </w:r>
            <w:r>
              <w:rPr>
                <w:noProof/>
              </w:rPr>
              <w:fldChar w:fldCharType="separate"/>
            </w:r>
            <w:r>
              <w:rPr>
                <w:noProof/>
              </w:rPr>
              <w:t>13</w:t>
            </w:r>
            <w:r>
              <w:rPr>
                <w:noProof/>
              </w:rPr>
              <w:fldChar w:fldCharType="end"/>
            </w:r>
          </w:hyperlink>
        </w:p>
        <w:p w:rsidR="00E5461E" w:rsidRDefault="00E5461E">
          <w:pPr>
            <w:pStyle w:val="TOC2"/>
            <w:tabs>
              <w:tab w:val="right" w:leader="dot" w:pos="9350"/>
            </w:tabs>
            <w:rPr>
              <w:noProof/>
            </w:rPr>
          </w:pPr>
          <w:hyperlink w:anchor="_Toc230446469" w:history="1">
            <w:r w:rsidRPr="00A36C99">
              <w:rPr>
                <w:rStyle w:val="Hyperlink"/>
                <w:noProof/>
              </w:rPr>
              <w:t>9.1 Common Cross-Sector Requirements</w:t>
            </w:r>
            <w:r>
              <w:rPr>
                <w:noProof/>
              </w:rPr>
              <w:tab/>
            </w:r>
            <w:r>
              <w:rPr>
                <w:noProof/>
              </w:rPr>
              <w:fldChar w:fldCharType="begin"/>
            </w:r>
            <w:r>
              <w:rPr>
                <w:noProof/>
              </w:rPr>
              <w:instrText xml:space="preserve"> PAGEREF _Toc230446469 \h </w:instrText>
            </w:r>
            <w:r>
              <w:rPr>
                <w:noProof/>
              </w:rPr>
            </w:r>
            <w:r>
              <w:rPr>
                <w:noProof/>
              </w:rPr>
              <w:fldChar w:fldCharType="separate"/>
            </w:r>
            <w:r>
              <w:rPr>
                <w:noProof/>
              </w:rPr>
              <w:t>13</w:t>
            </w:r>
            <w:r>
              <w:rPr>
                <w:noProof/>
              </w:rPr>
              <w:fldChar w:fldCharType="end"/>
            </w:r>
          </w:hyperlink>
        </w:p>
        <w:p w:rsidR="00E5461E" w:rsidRDefault="00E5461E">
          <w:pPr>
            <w:pStyle w:val="TOC2"/>
            <w:tabs>
              <w:tab w:val="right" w:leader="dot" w:pos="9350"/>
            </w:tabs>
            <w:rPr>
              <w:noProof/>
            </w:rPr>
          </w:pPr>
          <w:hyperlink w:anchor="_Toc230446470" w:history="1">
            <w:r w:rsidRPr="00A36C99">
              <w:rPr>
                <w:rStyle w:val="Hyperlink"/>
                <w:noProof/>
              </w:rPr>
              <w:t>9.2 Sector-Specific Approvals</w:t>
            </w:r>
            <w:r>
              <w:rPr>
                <w:noProof/>
              </w:rPr>
              <w:tab/>
            </w:r>
            <w:r>
              <w:rPr>
                <w:noProof/>
              </w:rPr>
              <w:fldChar w:fldCharType="begin"/>
            </w:r>
            <w:r>
              <w:rPr>
                <w:noProof/>
              </w:rPr>
              <w:instrText xml:space="preserve"> PAGEREF _Toc230446470 \h </w:instrText>
            </w:r>
            <w:r>
              <w:rPr>
                <w:noProof/>
              </w:rPr>
            </w:r>
            <w:r>
              <w:rPr>
                <w:noProof/>
              </w:rPr>
              <w:fldChar w:fldCharType="separate"/>
            </w:r>
            <w:r>
              <w:rPr>
                <w:noProof/>
              </w:rPr>
              <w:t>13</w:t>
            </w:r>
            <w:r>
              <w:rPr>
                <w:noProof/>
              </w:rPr>
              <w:fldChar w:fldCharType="end"/>
            </w:r>
          </w:hyperlink>
        </w:p>
        <w:p w:rsidR="00E5461E" w:rsidRDefault="00E5461E">
          <w:pPr>
            <w:pStyle w:val="TOC1"/>
            <w:tabs>
              <w:tab w:val="right" w:leader="dot" w:pos="9350"/>
            </w:tabs>
            <w:rPr>
              <w:noProof/>
            </w:rPr>
          </w:pPr>
          <w:hyperlink w:anchor="_Toc230446471" w:history="1">
            <w:r w:rsidRPr="00A36C99">
              <w:rPr>
                <w:rStyle w:val="Hyperlink"/>
                <w:noProof/>
              </w:rPr>
              <w:t>10. Taxation and Incentives</w:t>
            </w:r>
            <w:r>
              <w:rPr>
                <w:noProof/>
              </w:rPr>
              <w:tab/>
            </w:r>
            <w:r>
              <w:rPr>
                <w:noProof/>
              </w:rPr>
              <w:fldChar w:fldCharType="begin"/>
            </w:r>
            <w:r>
              <w:rPr>
                <w:noProof/>
              </w:rPr>
              <w:instrText xml:space="preserve"> PAGEREF _Toc230446471 \h </w:instrText>
            </w:r>
            <w:r>
              <w:rPr>
                <w:noProof/>
              </w:rPr>
            </w:r>
            <w:r>
              <w:rPr>
                <w:noProof/>
              </w:rPr>
              <w:fldChar w:fldCharType="separate"/>
            </w:r>
            <w:r>
              <w:rPr>
                <w:noProof/>
              </w:rPr>
              <w:t>14</w:t>
            </w:r>
            <w:r>
              <w:rPr>
                <w:noProof/>
              </w:rPr>
              <w:fldChar w:fldCharType="end"/>
            </w:r>
          </w:hyperlink>
        </w:p>
        <w:p w:rsidR="00E5461E" w:rsidRDefault="00E5461E">
          <w:pPr>
            <w:pStyle w:val="TOC2"/>
            <w:tabs>
              <w:tab w:val="right" w:leader="dot" w:pos="9350"/>
            </w:tabs>
            <w:rPr>
              <w:noProof/>
            </w:rPr>
          </w:pPr>
          <w:hyperlink w:anchor="_Toc230446472" w:history="1">
            <w:r w:rsidRPr="00A36C99">
              <w:rPr>
                <w:rStyle w:val="Hyperlink"/>
                <w:noProof/>
              </w:rPr>
              <w:t>10.1 Overview of the Tax System</w:t>
            </w:r>
            <w:r>
              <w:rPr>
                <w:noProof/>
              </w:rPr>
              <w:tab/>
            </w:r>
            <w:r>
              <w:rPr>
                <w:noProof/>
              </w:rPr>
              <w:fldChar w:fldCharType="begin"/>
            </w:r>
            <w:r>
              <w:rPr>
                <w:noProof/>
              </w:rPr>
              <w:instrText xml:space="preserve"> PAGEREF _Toc230446472 \h </w:instrText>
            </w:r>
            <w:r>
              <w:rPr>
                <w:noProof/>
              </w:rPr>
            </w:r>
            <w:r>
              <w:rPr>
                <w:noProof/>
              </w:rPr>
              <w:fldChar w:fldCharType="separate"/>
            </w:r>
            <w:r>
              <w:rPr>
                <w:noProof/>
              </w:rPr>
              <w:t>14</w:t>
            </w:r>
            <w:r>
              <w:rPr>
                <w:noProof/>
              </w:rPr>
              <w:fldChar w:fldCharType="end"/>
            </w:r>
          </w:hyperlink>
        </w:p>
        <w:p w:rsidR="00E5461E" w:rsidRDefault="00E5461E">
          <w:pPr>
            <w:pStyle w:val="TOC2"/>
            <w:tabs>
              <w:tab w:val="right" w:leader="dot" w:pos="9350"/>
            </w:tabs>
            <w:rPr>
              <w:noProof/>
            </w:rPr>
          </w:pPr>
          <w:hyperlink w:anchor="_Toc230446473" w:history="1">
            <w:r w:rsidRPr="00A36C99">
              <w:rPr>
                <w:rStyle w:val="Hyperlink"/>
                <w:noProof/>
              </w:rPr>
              <w:t>10.2 Corporate Income Tax</w:t>
            </w:r>
            <w:r>
              <w:rPr>
                <w:noProof/>
              </w:rPr>
              <w:tab/>
            </w:r>
            <w:r>
              <w:rPr>
                <w:noProof/>
              </w:rPr>
              <w:fldChar w:fldCharType="begin"/>
            </w:r>
            <w:r>
              <w:rPr>
                <w:noProof/>
              </w:rPr>
              <w:instrText xml:space="preserve"> PAGEREF _Toc230446473 \h </w:instrText>
            </w:r>
            <w:r>
              <w:rPr>
                <w:noProof/>
              </w:rPr>
            </w:r>
            <w:r>
              <w:rPr>
                <w:noProof/>
              </w:rPr>
              <w:fldChar w:fldCharType="separate"/>
            </w:r>
            <w:r>
              <w:rPr>
                <w:noProof/>
              </w:rPr>
              <w:t>14</w:t>
            </w:r>
            <w:r>
              <w:rPr>
                <w:noProof/>
              </w:rPr>
              <w:fldChar w:fldCharType="end"/>
            </w:r>
          </w:hyperlink>
        </w:p>
        <w:p w:rsidR="00E5461E" w:rsidRDefault="00E5461E">
          <w:pPr>
            <w:pStyle w:val="TOC2"/>
            <w:tabs>
              <w:tab w:val="right" w:leader="dot" w:pos="9350"/>
            </w:tabs>
            <w:rPr>
              <w:noProof/>
            </w:rPr>
          </w:pPr>
          <w:hyperlink w:anchor="_Toc230446474" w:history="1">
            <w:r w:rsidRPr="00A36C99">
              <w:rPr>
                <w:rStyle w:val="Hyperlink"/>
                <w:noProof/>
              </w:rPr>
              <w:t>10.3 Value Added Tax (GST)</w:t>
            </w:r>
            <w:r>
              <w:rPr>
                <w:noProof/>
              </w:rPr>
              <w:tab/>
            </w:r>
            <w:r>
              <w:rPr>
                <w:noProof/>
              </w:rPr>
              <w:fldChar w:fldCharType="begin"/>
            </w:r>
            <w:r>
              <w:rPr>
                <w:noProof/>
              </w:rPr>
              <w:instrText xml:space="preserve"> PAGEREF _Toc230446474 \h </w:instrText>
            </w:r>
            <w:r>
              <w:rPr>
                <w:noProof/>
              </w:rPr>
            </w:r>
            <w:r>
              <w:rPr>
                <w:noProof/>
              </w:rPr>
              <w:fldChar w:fldCharType="separate"/>
            </w:r>
            <w:r>
              <w:rPr>
                <w:noProof/>
              </w:rPr>
              <w:t>14</w:t>
            </w:r>
            <w:r>
              <w:rPr>
                <w:noProof/>
              </w:rPr>
              <w:fldChar w:fldCharType="end"/>
            </w:r>
          </w:hyperlink>
        </w:p>
        <w:p w:rsidR="00E5461E" w:rsidRDefault="00E5461E">
          <w:pPr>
            <w:pStyle w:val="TOC2"/>
            <w:tabs>
              <w:tab w:val="right" w:leader="dot" w:pos="9350"/>
            </w:tabs>
            <w:rPr>
              <w:noProof/>
            </w:rPr>
          </w:pPr>
          <w:hyperlink w:anchor="_Toc230446475" w:history="1">
            <w:r w:rsidRPr="00A36C99">
              <w:rPr>
                <w:rStyle w:val="Hyperlink"/>
                <w:noProof/>
              </w:rPr>
              <w:t>10.4 Withholding Tax Rates</w:t>
            </w:r>
            <w:r>
              <w:rPr>
                <w:noProof/>
              </w:rPr>
              <w:tab/>
            </w:r>
            <w:r>
              <w:rPr>
                <w:noProof/>
              </w:rPr>
              <w:fldChar w:fldCharType="begin"/>
            </w:r>
            <w:r>
              <w:rPr>
                <w:noProof/>
              </w:rPr>
              <w:instrText xml:space="preserve"> PAGEREF _Toc230446475 \h </w:instrText>
            </w:r>
            <w:r>
              <w:rPr>
                <w:noProof/>
              </w:rPr>
            </w:r>
            <w:r>
              <w:rPr>
                <w:noProof/>
              </w:rPr>
              <w:fldChar w:fldCharType="separate"/>
            </w:r>
            <w:r>
              <w:rPr>
                <w:noProof/>
              </w:rPr>
              <w:t>14</w:t>
            </w:r>
            <w:r>
              <w:rPr>
                <w:noProof/>
              </w:rPr>
              <w:fldChar w:fldCharType="end"/>
            </w:r>
          </w:hyperlink>
        </w:p>
        <w:p w:rsidR="00E5461E" w:rsidRDefault="00E5461E">
          <w:pPr>
            <w:pStyle w:val="TOC2"/>
            <w:tabs>
              <w:tab w:val="right" w:leader="dot" w:pos="9350"/>
            </w:tabs>
            <w:rPr>
              <w:noProof/>
            </w:rPr>
          </w:pPr>
          <w:hyperlink w:anchor="_Toc230446476" w:history="1">
            <w:r w:rsidRPr="00A36C99">
              <w:rPr>
                <w:rStyle w:val="Hyperlink"/>
                <w:noProof/>
              </w:rPr>
              <w:t>10.5 Tax Incentives and Reliefs</w:t>
            </w:r>
            <w:r>
              <w:rPr>
                <w:noProof/>
              </w:rPr>
              <w:tab/>
            </w:r>
            <w:r>
              <w:rPr>
                <w:noProof/>
              </w:rPr>
              <w:fldChar w:fldCharType="begin"/>
            </w:r>
            <w:r>
              <w:rPr>
                <w:noProof/>
              </w:rPr>
              <w:instrText xml:space="preserve"> PAGEREF _Toc230446476 \h </w:instrText>
            </w:r>
            <w:r>
              <w:rPr>
                <w:noProof/>
              </w:rPr>
            </w:r>
            <w:r>
              <w:rPr>
                <w:noProof/>
              </w:rPr>
              <w:fldChar w:fldCharType="separate"/>
            </w:r>
            <w:r>
              <w:rPr>
                <w:noProof/>
              </w:rPr>
              <w:t>15</w:t>
            </w:r>
            <w:r>
              <w:rPr>
                <w:noProof/>
              </w:rPr>
              <w:fldChar w:fldCharType="end"/>
            </w:r>
          </w:hyperlink>
        </w:p>
        <w:p w:rsidR="00E5461E" w:rsidRDefault="00E5461E">
          <w:pPr>
            <w:pStyle w:val="TOC1"/>
            <w:tabs>
              <w:tab w:val="right" w:leader="dot" w:pos="9350"/>
            </w:tabs>
            <w:rPr>
              <w:noProof/>
            </w:rPr>
          </w:pPr>
          <w:hyperlink w:anchor="_Toc230446477" w:history="1">
            <w:r w:rsidRPr="00A36C99">
              <w:rPr>
                <w:rStyle w:val="Hyperlink"/>
                <w:noProof/>
              </w:rPr>
              <w:t>11. Banking, Finance, and Repatriation</w:t>
            </w:r>
            <w:r>
              <w:rPr>
                <w:noProof/>
              </w:rPr>
              <w:tab/>
            </w:r>
            <w:r>
              <w:rPr>
                <w:noProof/>
              </w:rPr>
              <w:fldChar w:fldCharType="begin"/>
            </w:r>
            <w:r>
              <w:rPr>
                <w:noProof/>
              </w:rPr>
              <w:instrText xml:space="preserve"> PAGEREF _Toc230446477 \h </w:instrText>
            </w:r>
            <w:r>
              <w:rPr>
                <w:noProof/>
              </w:rPr>
            </w:r>
            <w:r>
              <w:rPr>
                <w:noProof/>
              </w:rPr>
              <w:fldChar w:fldCharType="separate"/>
            </w:r>
            <w:r>
              <w:rPr>
                <w:noProof/>
              </w:rPr>
              <w:t>16</w:t>
            </w:r>
            <w:r>
              <w:rPr>
                <w:noProof/>
              </w:rPr>
              <w:fldChar w:fldCharType="end"/>
            </w:r>
          </w:hyperlink>
        </w:p>
        <w:p w:rsidR="00E5461E" w:rsidRDefault="00E5461E">
          <w:pPr>
            <w:pStyle w:val="TOC2"/>
            <w:tabs>
              <w:tab w:val="right" w:leader="dot" w:pos="9350"/>
            </w:tabs>
            <w:rPr>
              <w:noProof/>
            </w:rPr>
          </w:pPr>
          <w:hyperlink w:anchor="_Toc230446478" w:history="1">
            <w:r w:rsidRPr="00A36C99">
              <w:rPr>
                <w:rStyle w:val="Hyperlink"/>
                <w:noProof/>
              </w:rPr>
              <w:t>11.1 Opening Corporate Bank Accounts</w:t>
            </w:r>
            <w:r>
              <w:rPr>
                <w:noProof/>
              </w:rPr>
              <w:tab/>
            </w:r>
            <w:r>
              <w:rPr>
                <w:noProof/>
              </w:rPr>
              <w:fldChar w:fldCharType="begin"/>
            </w:r>
            <w:r>
              <w:rPr>
                <w:noProof/>
              </w:rPr>
              <w:instrText xml:space="preserve"> PAGEREF _Toc230446478 \h </w:instrText>
            </w:r>
            <w:r>
              <w:rPr>
                <w:noProof/>
              </w:rPr>
            </w:r>
            <w:r>
              <w:rPr>
                <w:noProof/>
              </w:rPr>
              <w:fldChar w:fldCharType="separate"/>
            </w:r>
            <w:r>
              <w:rPr>
                <w:noProof/>
              </w:rPr>
              <w:t>16</w:t>
            </w:r>
            <w:r>
              <w:rPr>
                <w:noProof/>
              </w:rPr>
              <w:fldChar w:fldCharType="end"/>
            </w:r>
          </w:hyperlink>
        </w:p>
        <w:p w:rsidR="00E5461E" w:rsidRDefault="00E5461E">
          <w:pPr>
            <w:pStyle w:val="TOC2"/>
            <w:tabs>
              <w:tab w:val="right" w:leader="dot" w:pos="9350"/>
            </w:tabs>
            <w:rPr>
              <w:noProof/>
            </w:rPr>
          </w:pPr>
          <w:hyperlink w:anchor="_Toc230446479" w:history="1">
            <w:r w:rsidRPr="00A36C99">
              <w:rPr>
                <w:rStyle w:val="Hyperlink"/>
                <w:noProof/>
              </w:rPr>
              <w:t>11.2 Funding Options</w:t>
            </w:r>
            <w:r>
              <w:rPr>
                <w:noProof/>
              </w:rPr>
              <w:tab/>
            </w:r>
            <w:r>
              <w:rPr>
                <w:noProof/>
              </w:rPr>
              <w:fldChar w:fldCharType="begin"/>
            </w:r>
            <w:r>
              <w:rPr>
                <w:noProof/>
              </w:rPr>
              <w:instrText xml:space="preserve"> PAGEREF _Toc230446479 \h </w:instrText>
            </w:r>
            <w:r>
              <w:rPr>
                <w:noProof/>
              </w:rPr>
            </w:r>
            <w:r>
              <w:rPr>
                <w:noProof/>
              </w:rPr>
              <w:fldChar w:fldCharType="separate"/>
            </w:r>
            <w:r>
              <w:rPr>
                <w:noProof/>
              </w:rPr>
              <w:t>16</w:t>
            </w:r>
            <w:r>
              <w:rPr>
                <w:noProof/>
              </w:rPr>
              <w:fldChar w:fldCharType="end"/>
            </w:r>
          </w:hyperlink>
        </w:p>
        <w:p w:rsidR="00E5461E" w:rsidRDefault="00E5461E">
          <w:pPr>
            <w:pStyle w:val="TOC2"/>
            <w:tabs>
              <w:tab w:val="right" w:leader="dot" w:pos="9350"/>
            </w:tabs>
            <w:rPr>
              <w:noProof/>
            </w:rPr>
          </w:pPr>
          <w:hyperlink w:anchor="_Toc230446480" w:history="1">
            <w:r w:rsidRPr="00A36C99">
              <w:rPr>
                <w:rStyle w:val="Hyperlink"/>
                <w:noProof/>
              </w:rPr>
              <w:t>11.3 Repatriation Rules</w:t>
            </w:r>
            <w:r>
              <w:rPr>
                <w:noProof/>
              </w:rPr>
              <w:tab/>
            </w:r>
            <w:r>
              <w:rPr>
                <w:noProof/>
              </w:rPr>
              <w:fldChar w:fldCharType="begin"/>
            </w:r>
            <w:r>
              <w:rPr>
                <w:noProof/>
              </w:rPr>
              <w:instrText xml:space="preserve"> PAGEREF _Toc230446480 \h </w:instrText>
            </w:r>
            <w:r>
              <w:rPr>
                <w:noProof/>
              </w:rPr>
            </w:r>
            <w:r>
              <w:rPr>
                <w:noProof/>
              </w:rPr>
              <w:fldChar w:fldCharType="separate"/>
            </w:r>
            <w:r>
              <w:rPr>
                <w:noProof/>
              </w:rPr>
              <w:t>16</w:t>
            </w:r>
            <w:r>
              <w:rPr>
                <w:noProof/>
              </w:rPr>
              <w:fldChar w:fldCharType="end"/>
            </w:r>
          </w:hyperlink>
        </w:p>
        <w:p w:rsidR="00E5461E" w:rsidRDefault="00E5461E">
          <w:pPr>
            <w:pStyle w:val="TOC1"/>
            <w:tabs>
              <w:tab w:val="right" w:leader="dot" w:pos="9350"/>
            </w:tabs>
            <w:rPr>
              <w:noProof/>
            </w:rPr>
          </w:pPr>
          <w:hyperlink w:anchor="_Toc230446481" w:history="1">
            <w:r w:rsidRPr="00A36C99">
              <w:rPr>
                <w:rStyle w:val="Hyperlink"/>
                <w:noProof/>
              </w:rPr>
              <w:t>12. Employment, Immigration, and Payroll</w:t>
            </w:r>
            <w:r>
              <w:rPr>
                <w:noProof/>
              </w:rPr>
              <w:tab/>
            </w:r>
            <w:r>
              <w:rPr>
                <w:noProof/>
              </w:rPr>
              <w:fldChar w:fldCharType="begin"/>
            </w:r>
            <w:r>
              <w:rPr>
                <w:noProof/>
              </w:rPr>
              <w:instrText xml:space="preserve"> PAGEREF _Toc230446481 \h </w:instrText>
            </w:r>
            <w:r>
              <w:rPr>
                <w:noProof/>
              </w:rPr>
            </w:r>
            <w:r>
              <w:rPr>
                <w:noProof/>
              </w:rPr>
              <w:fldChar w:fldCharType="separate"/>
            </w:r>
            <w:r>
              <w:rPr>
                <w:noProof/>
              </w:rPr>
              <w:t>17</w:t>
            </w:r>
            <w:r>
              <w:rPr>
                <w:noProof/>
              </w:rPr>
              <w:fldChar w:fldCharType="end"/>
            </w:r>
          </w:hyperlink>
        </w:p>
        <w:p w:rsidR="00E5461E" w:rsidRDefault="00E5461E">
          <w:pPr>
            <w:pStyle w:val="TOC2"/>
            <w:tabs>
              <w:tab w:val="right" w:leader="dot" w:pos="9350"/>
            </w:tabs>
            <w:rPr>
              <w:noProof/>
            </w:rPr>
          </w:pPr>
          <w:hyperlink w:anchor="_Toc230446482" w:history="1">
            <w:r w:rsidRPr="00A36C99">
              <w:rPr>
                <w:rStyle w:val="Hyperlink"/>
                <w:noProof/>
              </w:rPr>
              <w:t>12.1 Key Employment Laws</w:t>
            </w:r>
            <w:r>
              <w:rPr>
                <w:noProof/>
              </w:rPr>
              <w:tab/>
            </w:r>
            <w:r>
              <w:rPr>
                <w:noProof/>
              </w:rPr>
              <w:fldChar w:fldCharType="begin"/>
            </w:r>
            <w:r>
              <w:rPr>
                <w:noProof/>
              </w:rPr>
              <w:instrText xml:space="preserve"> PAGEREF _Toc230446482 \h </w:instrText>
            </w:r>
            <w:r>
              <w:rPr>
                <w:noProof/>
              </w:rPr>
            </w:r>
            <w:r>
              <w:rPr>
                <w:noProof/>
              </w:rPr>
              <w:fldChar w:fldCharType="separate"/>
            </w:r>
            <w:r>
              <w:rPr>
                <w:noProof/>
              </w:rPr>
              <w:t>17</w:t>
            </w:r>
            <w:r>
              <w:rPr>
                <w:noProof/>
              </w:rPr>
              <w:fldChar w:fldCharType="end"/>
            </w:r>
          </w:hyperlink>
        </w:p>
        <w:p w:rsidR="00E5461E" w:rsidRDefault="00E5461E">
          <w:pPr>
            <w:pStyle w:val="TOC2"/>
            <w:tabs>
              <w:tab w:val="right" w:leader="dot" w:pos="9350"/>
            </w:tabs>
            <w:rPr>
              <w:noProof/>
            </w:rPr>
          </w:pPr>
          <w:hyperlink w:anchor="_Toc230446483" w:history="1">
            <w:r w:rsidRPr="00A36C99">
              <w:rPr>
                <w:rStyle w:val="Hyperlink"/>
                <w:noProof/>
              </w:rPr>
              <w:t>12.2 Immigration and Work Authorization</w:t>
            </w:r>
            <w:r>
              <w:rPr>
                <w:noProof/>
              </w:rPr>
              <w:tab/>
            </w:r>
            <w:r>
              <w:rPr>
                <w:noProof/>
              </w:rPr>
              <w:fldChar w:fldCharType="begin"/>
            </w:r>
            <w:r>
              <w:rPr>
                <w:noProof/>
              </w:rPr>
              <w:instrText xml:space="preserve"> PAGEREF _Toc230446483 \h </w:instrText>
            </w:r>
            <w:r>
              <w:rPr>
                <w:noProof/>
              </w:rPr>
            </w:r>
            <w:r>
              <w:rPr>
                <w:noProof/>
              </w:rPr>
              <w:fldChar w:fldCharType="separate"/>
            </w:r>
            <w:r>
              <w:rPr>
                <w:noProof/>
              </w:rPr>
              <w:t>17</w:t>
            </w:r>
            <w:r>
              <w:rPr>
                <w:noProof/>
              </w:rPr>
              <w:fldChar w:fldCharType="end"/>
            </w:r>
          </w:hyperlink>
        </w:p>
        <w:p w:rsidR="00E5461E" w:rsidRDefault="00E5461E">
          <w:pPr>
            <w:pStyle w:val="TOC2"/>
            <w:tabs>
              <w:tab w:val="right" w:leader="dot" w:pos="9350"/>
            </w:tabs>
            <w:rPr>
              <w:noProof/>
            </w:rPr>
          </w:pPr>
          <w:hyperlink w:anchor="_Toc230446484" w:history="1">
            <w:r w:rsidRPr="00A36C99">
              <w:rPr>
                <w:rStyle w:val="Hyperlink"/>
                <w:noProof/>
              </w:rPr>
              <w:t>12.3 Payroll and HR Compliance</w:t>
            </w:r>
            <w:r>
              <w:rPr>
                <w:noProof/>
              </w:rPr>
              <w:tab/>
            </w:r>
            <w:r>
              <w:rPr>
                <w:noProof/>
              </w:rPr>
              <w:fldChar w:fldCharType="begin"/>
            </w:r>
            <w:r>
              <w:rPr>
                <w:noProof/>
              </w:rPr>
              <w:instrText xml:space="preserve"> PAGEREF _Toc230446484 \h </w:instrText>
            </w:r>
            <w:r>
              <w:rPr>
                <w:noProof/>
              </w:rPr>
            </w:r>
            <w:r>
              <w:rPr>
                <w:noProof/>
              </w:rPr>
              <w:fldChar w:fldCharType="separate"/>
            </w:r>
            <w:r>
              <w:rPr>
                <w:noProof/>
              </w:rPr>
              <w:t>17</w:t>
            </w:r>
            <w:r>
              <w:rPr>
                <w:noProof/>
              </w:rPr>
              <w:fldChar w:fldCharType="end"/>
            </w:r>
          </w:hyperlink>
        </w:p>
        <w:p w:rsidR="00E5461E" w:rsidRDefault="00E5461E">
          <w:pPr>
            <w:pStyle w:val="TOC1"/>
            <w:tabs>
              <w:tab w:val="right" w:leader="dot" w:pos="9350"/>
            </w:tabs>
            <w:rPr>
              <w:noProof/>
            </w:rPr>
          </w:pPr>
          <w:hyperlink w:anchor="_Toc230446485" w:history="1">
            <w:r w:rsidRPr="00A36C99">
              <w:rPr>
                <w:rStyle w:val="Hyperlink"/>
                <w:noProof/>
              </w:rPr>
              <w:t>13. Intellectual Property, Data, and Technology</w:t>
            </w:r>
            <w:r>
              <w:rPr>
                <w:noProof/>
              </w:rPr>
              <w:tab/>
            </w:r>
            <w:r>
              <w:rPr>
                <w:noProof/>
              </w:rPr>
              <w:fldChar w:fldCharType="begin"/>
            </w:r>
            <w:r>
              <w:rPr>
                <w:noProof/>
              </w:rPr>
              <w:instrText xml:space="preserve"> PAGEREF _Toc230446485 \h </w:instrText>
            </w:r>
            <w:r>
              <w:rPr>
                <w:noProof/>
              </w:rPr>
            </w:r>
            <w:r>
              <w:rPr>
                <w:noProof/>
              </w:rPr>
              <w:fldChar w:fldCharType="separate"/>
            </w:r>
            <w:r>
              <w:rPr>
                <w:noProof/>
              </w:rPr>
              <w:t>18</w:t>
            </w:r>
            <w:r>
              <w:rPr>
                <w:noProof/>
              </w:rPr>
              <w:fldChar w:fldCharType="end"/>
            </w:r>
          </w:hyperlink>
        </w:p>
        <w:p w:rsidR="00E5461E" w:rsidRDefault="00E5461E">
          <w:pPr>
            <w:pStyle w:val="TOC2"/>
            <w:tabs>
              <w:tab w:val="right" w:leader="dot" w:pos="9350"/>
            </w:tabs>
            <w:rPr>
              <w:noProof/>
            </w:rPr>
          </w:pPr>
          <w:hyperlink w:anchor="_Toc230446486" w:history="1">
            <w:r w:rsidRPr="00A36C99">
              <w:rPr>
                <w:rStyle w:val="Hyperlink"/>
                <w:noProof/>
              </w:rPr>
              <w:t>13.1 IP Protection</w:t>
            </w:r>
            <w:r>
              <w:rPr>
                <w:noProof/>
              </w:rPr>
              <w:tab/>
            </w:r>
            <w:r>
              <w:rPr>
                <w:noProof/>
              </w:rPr>
              <w:fldChar w:fldCharType="begin"/>
            </w:r>
            <w:r>
              <w:rPr>
                <w:noProof/>
              </w:rPr>
              <w:instrText xml:space="preserve"> PAGEREF _Toc230446486 \h </w:instrText>
            </w:r>
            <w:r>
              <w:rPr>
                <w:noProof/>
              </w:rPr>
            </w:r>
            <w:r>
              <w:rPr>
                <w:noProof/>
              </w:rPr>
              <w:fldChar w:fldCharType="separate"/>
            </w:r>
            <w:r>
              <w:rPr>
                <w:noProof/>
              </w:rPr>
              <w:t>18</w:t>
            </w:r>
            <w:r>
              <w:rPr>
                <w:noProof/>
              </w:rPr>
              <w:fldChar w:fldCharType="end"/>
            </w:r>
          </w:hyperlink>
        </w:p>
        <w:p w:rsidR="00E5461E" w:rsidRDefault="00E5461E">
          <w:pPr>
            <w:pStyle w:val="TOC2"/>
            <w:tabs>
              <w:tab w:val="right" w:leader="dot" w:pos="9350"/>
            </w:tabs>
            <w:rPr>
              <w:noProof/>
            </w:rPr>
          </w:pPr>
          <w:hyperlink w:anchor="_Toc230446487" w:history="1">
            <w:r w:rsidRPr="00A36C99">
              <w:rPr>
                <w:rStyle w:val="Hyperlink"/>
                <w:noProof/>
              </w:rPr>
              <w:t>13.2 Data Protection and Privacy</w:t>
            </w:r>
            <w:r>
              <w:rPr>
                <w:noProof/>
              </w:rPr>
              <w:tab/>
            </w:r>
            <w:r>
              <w:rPr>
                <w:noProof/>
              </w:rPr>
              <w:fldChar w:fldCharType="begin"/>
            </w:r>
            <w:r>
              <w:rPr>
                <w:noProof/>
              </w:rPr>
              <w:instrText xml:space="preserve"> PAGEREF _Toc230446487 \h </w:instrText>
            </w:r>
            <w:r>
              <w:rPr>
                <w:noProof/>
              </w:rPr>
            </w:r>
            <w:r>
              <w:rPr>
                <w:noProof/>
              </w:rPr>
              <w:fldChar w:fldCharType="separate"/>
            </w:r>
            <w:r>
              <w:rPr>
                <w:noProof/>
              </w:rPr>
              <w:t>18</w:t>
            </w:r>
            <w:r>
              <w:rPr>
                <w:noProof/>
              </w:rPr>
              <w:fldChar w:fldCharType="end"/>
            </w:r>
          </w:hyperlink>
        </w:p>
        <w:p w:rsidR="00E5461E" w:rsidRDefault="00E5461E">
          <w:pPr>
            <w:pStyle w:val="TOC1"/>
            <w:tabs>
              <w:tab w:val="right" w:leader="dot" w:pos="9350"/>
            </w:tabs>
            <w:rPr>
              <w:noProof/>
            </w:rPr>
          </w:pPr>
          <w:hyperlink w:anchor="_Toc230446488" w:history="1">
            <w:r w:rsidRPr="00A36C99">
              <w:rPr>
                <w:rStyle w:val="Hyperlink"/>
                <w:noProof/>
              </w:rPr>
              <w:t>14. Commercial Contracts and Local Practices</w:t>
            </w:r>
            <w:r>
              <w:rPr>
                <w:noProof/>
              </w:rPr>
              <w:tab/>
            </w:r>
            <w:r>
              <w:rPr>
                <w:noProof/>
              </w:rPr>
              <w:fldChar w:fldCharType="begin"/>
            </w:r>
            <w:r>
              <w:rPr>
                <w:noProof/>
              </w:rPr>
              <w:instrText xml:space="preserve"> PAGEREF _Toc230446488 \h </w:instrText>
            </w:r>
            <w:r>
              <w:rPr>
                <w:noProof/>
              </w:rPr>
            </w:r>
            <w:r>
              <w:rPr>
                <w:noProof/>
              </w:rPr>
              <w:fldChar w:fldCharType="separate"/>
            </w:r>
            <w:r>
              <w:rPr>
                <w:noProof/>
              </w:rPr>
              <w:t>19</w:t>
            </w:r>
            <w:r>
              <w:rPr>
                <w:noProof/>
              </w:rPr>
              <w:fldChar w:fldCharType="end"/>
            </w:r>
          </w:hyperlink>
        </w:p>
        <w:p w:rsidR="00E5461E" w:rsidRDefault="00E5461E">
          <w:pPr>
            <w:pStyle w:val="TOC1"/>
            <w:tabs>
              <w:tab w:val="right" w:leader="dot" w:pos="9350"/>
            </w:tabs>
            <w:rPr>
              <w:noProof/>
            </w:rPr>
          </w:pPr>
          <w:hyperlink w:anchor="_Toc230446489" w:history="1">
            <w:r w:rsidRPr="00A36C99">
              <w:rPr>
                <w:rStyle w:val="Hyperlink"/>
                <w:noProof/>
              </w:rPr>
              <w:t>15. Operations, Location, and Economic Zones</w:t>
            </w:r>
            <w:r>
              <w:rPr>
                <w:noProof/>
              </w:rPr>
              <w:tab/>
            </w:r>
            <w:r>
              <w:rPr>
                <w:noProof/>
              </w:rPr>
              <w:fldChar w:fldCharType="begin"/>
            </w:r>
            <w:r>
              <w:rPr>
                <w:noProof/>
              </w:rPr>
              <w:instrText xml:space="preserve"> PAGEREF _Toc230446489 \h </w:instrText>
            </w:r>
            <w:r>
              <w:rPr>
                <w:noProof/>
              </w:rPr>
            </w:r>
            <w:r>
              <w:rPr>
                <w:noProof/>
              </w:rPr>
              <w:fldChar w:fldCharType="separate"/>
            </w:r>
            <w:r>
              <w:rPr>
                <w:noProof/>
              </w:rPr>
              <w:t>20</w:t>
            </w:r>
            <w:r>
              <w:rPr>
                <w:noProof/>
              </w:rPr>
              <w:fldChar w:fldCharType="end"/>
            </w:r>
          </w:hyperlink>
        </w:p>
        <w:p w:rsidR="00E5461E" w:rsidRDefault="00E5461E">
          <w:pPr>
            <w:pStyle w:val="TOC2"/>
            <w:tabs>
              <w:tab w:val="right" w:leader="dot" w:pos="9350"/>
            </w:tabs>
            <w:rPr>
              <w:noProof/>
            </w:rPr>
          </w:pPr>
          <w:hyperlink w:anchor="_Toc230446490" w:history="1">
            <w:r w:rsidRPr="00A36C99">
              <w:rPr>
                <w:rStyle w:val="Hyperlink"/>
                <w:noProof/>
              </w:rPr>
              <w:t>15.1 Key Business Locations</w:t>
            </w:r>
            <w:r>
              <w:rPr>
                <w:noProof/>
              </w:rPr>
              <w:tab/>
            </w:r>
            <w:r>
              <w:rPr>
                <w:noProof/>
              </w:rPr>
              <w:fldChar w:fldCharType="begin"/>
            </w:r>
            <w:r>
              <w:rPr>
                <w:noProof/>
              </w:rPr>
              <w:instrText xml:space="preserve"> PAGEREF _Toc230446490 \h </w:instrText>
            </w:r>
            <w:r>
              <w:rPr>
                <w:noProof/>
              </w:rPr>
            </w:r>
            <w:r>
              <w:rPr>
                <w:noProof/>
              </w:rPr>
              <w:fldChar w:fldCharType="separate"/>
            </w:r>
            <w:r>
              <w:rPr>
                <w:noProof/>
              </w:rPr>
              <w:t>20</w:t>
            </w:r>
            <w:r>
              <w:rPr>
                <w:noProof/>
              </w:rPr>
              <w:fldChar w:fldCharType="end"/>
            </w:r>
          </w:hyperlink>
        </w:p>
        <w:p w:rsidR="00E5461E" w:rsidRDefault="00E5461E">
          <w:pPr>
            <w:pStyle w:val="TOC2"/>
            <w:tabs>
              <w:tab w:val="right" w:leader="dot" w:pos="9350"/>
            </w:tabs>
            <w:rPr>
              <w:noProof/>
            </w:rPr>
          </w:pPr>
          <w:hyperlink w:anchor="_Toc230446491" w:history="1">
            <w:r w:rsidRPr="00A36C99">
              <w:rPr>
                <w:rStyle w:val="Hyperlink"/>
                <w:noProof/>
              </w:rPr>
              <w:t>15.2 Investment Zones and Freeports</w:t>
            </w:r>
            <w:r>
              <w:rPr>
                <w:noProof/>
              </w:rPr>
              <w:tab/>
            </w:r>
            <w:r>
              <w:rPr>
                <w:noProof/>
              </w:rPr>
              <w:fldChar w:fldCharType="begin"/>
            </w:r>
            <w:r>
              <w:rPr>
                <w:noProof/>
              </w:rPr>
              <w:instrText xml:space="preserve"> PAGEREF _Toc230446491 \h </w:instrText>
            </w:r>
            <w:r>
              <w:rPr>
                <w:noProof/>
              </w:rPr>
            </w:r>
            <w:r>
              <w:rPr>
                <w:noProof/>
              </w:rPr>
              <w:fldChar w:fldCharType="separate"/>
            </w:r>
            <w:r>
              <w:rPr>
                <w:noProof/>
              </w:rPr>
              <w:t>20</w:t>
            </w:r>
            <w:r>
              <w:rPr>
                <w:noProof/>
              </w:rPr>
              <w:fldChar w:fldCharType="end"/>
            </w:r>
          </w:hyperlink>
        </w:p>
        <w:p w:rsidR="00E5461E" w:rsidRDefault="00E5461E">
          <w:pPr>
            <w:pStyle w:val="TOC1"/>
            <w:tabs>
              <w:tab w:val="right" w:leader="dot" w:pos="9350"/>
            </w:tabs>
            <w:rPr>
              <w:noProof/>
            </w:rPr>
          </w:pPr>
          <w:hyperlink w:anchor="_Toc230446492" w:history="1">
            <w:r w:rsidRPr="00A36C99">
              <w:rPr>
                <w:rStyle w:val="Hyperlink"/>
                <w:noProof/>
              </w:rPr>
              <w:t>16. Compliance Calendar and Ongoing Obligations</w:t>
            </w:r>
            <w:r>
              <w:rPr>
                <w:noProof/>
              </w:rPr>
              <w:tab/>
            </w:r>
            <w:r>
              <w:rPr>
                <w:noProof/>
              </w:rPr>
              <w:fldChar w:fldCharType="begin"/>
            </w:r>
            <w:r>
              <w:rPr>
                <w:noProof/>
              </w:rPr>
              <w:instrText xml:space="preserve"> PAGEREF _Toc230446492 \h </w:instrText>
            </w:r>
            <w:r>
              <w:rPr>
                <w:noProof/>
              </w:rPr>
            </w:r>
            <w:r>
              <w:rPr>
                <w:noProof/>
              </w:rPr>
              <w:fldChar w:fldCharType="separate"/>
            </w:r>
            <w:r>
              <w:rPr>
                <w:noProof/>
              </w:rPr>
              <w:t>21</w:t>
            </w:r>
            <w:r>
              <w:rPr>
                <w:noProof/>
              </w:rPr>
              <w:fldChar w:fldCharType="end"/>
            </w:r>
          </w:hyperlink>
        </w:p>
        <w:p w:rsidR="00E5461E" w:rsidRDefault="00E5461E">
          <w:pPr>
            <w:pStyle w:val="TOC2"/>
            <w:tabs>
              <w:tab w:val="right" w:leader="dot" w:pos="9350"/>
            </w:tabs>
            <w:rPr>
              <w:noProof/>
            </w:rPr>
          </w:pPr>
          <w:hyperlink w:anchor="_Toc230446493" w:history="1">
            <w:r w:rsidRPr="00A36C99">
              <w:rPr>
                <w:rStyle w:val="Hyperlink"/>
                <w:noProof/>
              </w:rPr>
              <w:t>16.1 Periodic Compliance Obligations</w:t>
            </w:r>
            <w:r>
              <w:rPr>
                <w:noProof/>
              </w:rPr>
              <w:tab/>
            </w:r>
            <w:r>
              <w:rPr>
                <w:noProof/>
              </w:rPr>
              <w:fldChar w:fldCharType="begin"/>
            </w:r>
            <w:r>
              <w:rPr>
                <w:noProof/>
              </w:rPr>
              <w:instrText xml:space="preserve"> PAGEREF _Toc230446493 \h </w:instrText>
            </w:r>
            <w:r>
              <w:rPr>
                <w:noProof/>
              </w:rPr>
            </w:r>
            <w:r>
              <w:rPr>
                <w:noProof/>
              </w:rPr>
              <w:fldChar w:fldCharType="separate"/>
            </w:r>
            <w:r>
              <w:rPr>
                <w:noProof/>
              </w:rPr>
              <w:t>21</w:t>
            </w:r>
            <w:r>
              <w:rPr>
                <w:noProof/>
              </w:rPr>
              <w:fldChar w:fldCharType="end"/>
            </w:r>
          </w:hyperlink>
        </w:p>
        <w:p w:rsidR="00E5461E" w:rsidRDefault="00E5461E">
          <w:pPr>
            <w:pStyle w:val="TOC2"/>
            <w:tabs>
              <w:tab w:val="right" w:leader="dot" w:pos="9350"/>
            </w:tabs>
            <w:rPr>
              <w:noProof/>
            </w:rPr>
          </w:pPr>
          <w:hyperlink w:anchor="_Toc230446494" w:history="1">
            <w:r w:rsidRPr="00A36C99">
              <w:rPr>
                <w:rStyle w:val="Hyperlink"/>
                <w:noProof/>
              </w:rPr>
              <w:t>16.2 Annual Compliance Obligations</w:t>
            </w:r>
            <w:r>
              <w:rPr>
                <w:noProof/>
              </w:rPr>
              <w:tab/>
            </w:r>
            <w:r>
              <w:rPr>
                <w:noProof/>
              </w:rPr>
              <w:fldChar w:fldCharType="begin"/>
            </w:r>
            <w:r>
              <w:rPr>
                <w:noProof/>
              </w:rPr>
              <w:instrText xml:space="preserve"> PAGEREF _Toc230446494 \h </w:instrText>
            </w:r>
            <w:r>
              <w:rPr>
                <w:noProof/>
              </w:rPr>
            </w:r>
            <w:r>
              <w:rPr>
                <w:noProof/>
              </w:rPr>
              <w:fldChar w:fldCharType="separate"/>
            </w:r>
            <w:r>
              <w:rPr>
                <w:noProof/>
              </w:rPr>
              <w:t>21</w:t>
            </w:r>
            <w:r>
              <w:rPr>
                <w:noProof/>
              </w:rPr>
              <w:fldChar w:fldCharType="end"/>
            </w:r>
          </w:hyperlink>
        </w:p>
        <w:p w:rsidR="00E5461E" w:rsidRDefault="00E5461E">
          <w:pPr>
            <w:pStyle w:val="TOC2"/>
            <w:tabs>
              <w:tab w:val="right" w:leader="dot" w:pos="9350"/>
            </w:tabs>
            <w:rPr>
              <w:noProof/>
            </w:rPr>
          </w:pPr>
          <w:hyperlink w:anchor="_Toc230446495" w:history="1">
            <w:r w:rsidRPr="00A36C99">
              <w:rPr>
                <w:rStyle w:val="Hyperlink"/>
                <w:noProof/>
              </w:rPr>
              <w:t>16.3 Month-wise Australian Tax Year Calendar (April to March)</w:t>
            </w:r>
            <w:r>
              <w:rPr>
                <w:noProof/>
              </w:rPr>
              <w:tab/>
            </w:r>
            <w:r>
              <w:rPr>
                <w:noProof/>
              </w:rPr>
              <w:fldChar w:fldCharType="begin"/>
            </w:r>
            <w:r>
              <w:rPr>
                <w:noProof/>
              </w:rPr>
              <w:instrText xml:space="preserve"> PAGEREF _Toc230446495 \h </w:instrText>
            </w:r>
            <w:r>
              <w:rPr>
                <w:noProof/>
              </w:rPr>
            </w:r>
            <w:r>
              <w:rPr>
                <w:noProof/>
              </w:rPr>
              <w:fldChar w:fldCharType="separate"/>
            </w:r>
            <w:r>
              <w:rPr>
                <w:noProof/>
              </w:rPr>
              <w:t>22</w:t>
            </w:r>
            <w:r>
              <w:rPr>
                <w:noProof/>
              </w:rPr>
              <w:fldChar w:fldCharType="end"/>
            </w:r>
          </w:hyperlink>
        </w:p>
        <w:p w:rsidR="00E5461E" w:rsidRDefault="00E5461E">
          <w:pPr>
            <w:pStyle w:val="TOC3"/>
            <w:tabs>
              <w:tab w:val="right" w:leader="dot" w:pos="9350"/>
            </w:tabs>
            <w:rPr>
              <w:noProof/>
            </w:rPr>
          </w:pPr>
          <w:hyperlink w:anchor="_Toc230446496" w:history="1">
            <w:r w:rsidRPr="00A36C99">
              <w:rPr>
                <w:rStyle w:val="Hyperlink"/>
                <w:noProof/>
              </w:rPr>
              <w:t>April (Tax Year Start)</w:t>
            </w:r>
            <w:r>
              <w:rPr>
                <w:noProof/>
              </w:rPr>
              <w:tab/>
            </w:r>
            <w:r>
              <w:rPr>
                <w:noProof/>
              </w:rPr>
              <w:fldChar w:fldCharType="begin"/>
            </w:r>
            <w:r>
              <w:rPr>
                <w:noProof/>
              </w:rPr>
              <w:instrText xml:space="preserve"> PAGEREF _Toc230446496 \h </w:instrText>
            </w:r>
            <w:r>
              <w:rPr>
                <w:noProof/>
              </w:rPr>
            </w:r>
            <w:r>
              <w:rPr>
                <w:noProof/>
              </w:rPr>
              <w:fldChar w:fldCharType="separate"/>
            </w:r>
            <w:r>
              <w:rPr>
                <w:noProof/>
              </w:rPr>
              <w:t>22</w:t>
            </w:r>
            <w:r>
              <w:rPr>
                <w:noProof/>
              </w:rPr>
              <w:fldChar w:fldCharType="end"/>
            </w:r>
          </w:hyperlink>
        </w:p>
        <w:p w:rsidR="00E5461E" w:rsidRDefault="00E5461E">
          <w:pPr>
            <w:pStyle w:val="TOC3"/>
            <w:tabs>
              <w:tab w:val="right" w:leader="dot" w:pos="9350"/>
            </w:tabs>
            <w:rPr>
              <w:noProof/>
            </w:rPr>
          </w:pPr>
          <w:hyperlink w:anchor="_Toc230446497" w:history="1">
            <w:r w:rsidRPr="00A36C99">
              <w:rPr>
                <w:rStyle w:val="Hyperlink"/>
                <w:noProof/>
              </w:rPr>
              <w:t>May</w:t>
            </w:r>
            <w:r>
              <w:rPr>
                <w:noProof/>
              </w:rPr>
              <w:tab/>
            </w:r>
            <w:r>
              <w:rPr>
                <w:noProof/>
              </w:rPr>
              <w:fldChar w:fldCharType="begin"/>
            </w:r>
            <w:r>
              <w:rPr>
                <w:noProof/>
              </w:rPr>
              <w:instrText xml:space="preserve"> PAGEREF _Toc230446497 \h </w:instrText>
            </w:r>
            <w:r>
              <w:rPr>
                <w:noProof/>
              </w:rPr>
            </w:r>
            <w:r>
              <w:rPr>
                <w:noProof/>
              </w:rPr>
              <w:fldChar w:fldCharType="separate"/>
            </w:r>
            <w:r>
              <w:rPr>
                <w:noProof/>
              </w:rPr>
              <w:t>22</w:t>
            </w:r>
            <w:r>
              <w:rPr>
                <w:noProof/>
              </w:rPr>
              <w:fldChar w:fldCharType="end"/>
            </w:r>
          </w:hyperlink>
        </w:p>
        <w:p w:rsidR="00E5461E" w:rsidRDefault="00E5461E">
          <w:pPr>
            <w:pStyle w:val="TOC3"/>
            <w:tabs>
              <w:tab w:val="right" w:leader="dot" w:pos="9350"/>
            </w:tabs>
            <w:rPr>
              <w:noProof/>
            </w:rPr>
          </w:pPr>
          <w:hyperlink w:anchor="_Toc230446498" w:history="1">
            <w:r w:rsidRPr="00A36C99">
              <w:rPr>
                <w:rStyle w:val="Hyperlink"/>
                <w:noProof/>
              </w:rPr>
              <w:t>June</w:t>
            </w:r>
            <w:r>
              <w:rPr>
                <w:noProof/>
              </w:rPr>
              <w:tab/>
            </w:r>
            <w:r>
              <w:rPr>
                <w:noProof/>
              </w:rPr>
              <w:fldChar w:fldCharType="begin"/>
            </w:r>
            <w:r>
              <w:rPr>
                <w:noProof/>
              </w:rPr>
              <w:instrText xml:space="preserve"> PAGEREF _Toc230446498 \h </w:instrText>
            </w:r>
            <w:r>
              <w:rPr>
                <w:noProof/>
              </w:rPr>
            </w:r>
            <w:r>
              <w:rPr>
                <w:noProof/>
              </w:rPr>
              <w:fldChar w:fldCharType="separate"/>
            </w:r>
            <w:r>
              <w:rPr>
                <w:noProof/>
              </w:rPr>
              <w:t>23</w:t>
            </w:r>
            <w:r>
              <w:rPr>
                <w:noProof/>
              </w:rPr>
              <w:fldChar w:fldCharType="end"/>
            </w:r>
          </w:hyperlink>
        </w:p>
        <w:p w:rsidR="00E5461E" w:rsidRDefault="00E5461E">
          <w:pPr>
            <w:pStyle w:val="TOC3"/>
            <w:tabs>
              <w:tab w:val="right" w:leader="dot" w:pos="9350"/>
            </w:tabs>
            <w:rPr>
              <w:noProof/>
            </w:rPr>
          </w:pPr>
          <w:hyperlink w:anchor="_Toc230446499" w:history="1">
            <w:r w:rsidRPr="00A36C99">
              <w:rPr>
                <w:rStyle w:val="Hyperlink"/>
                <w:noProof/>
              </w:rPr>
              <w:t>July</w:t>
            </w:r>
            <w:r>
              <w:rPr>
                <w:noProof/>
              </w:rPr>
              <w:tab/>
            </w:r>
            <w:r>
              <w:rPr>
                <w:noProof/>
              </w:rPr>
              <w:fldChar w:fldCharType="begin"/>
            </w:r>
            <w:r>
              <w:rPr>
                <w:noProof/>
              </w:rPr>
              <w:instrText xml:space="preserve"> PAGEREF _Toc230446499 \h </w:instrText>
            </w:r>
            <w:r>
              <w:rPr>
                <w:noProof/>
              </w:rPr>
            </w:r>
            <w:r>
              <w:rPr>
                <w:noProof/>
              </w:rPr>
              <w:fldChar w:fldCharType="separate"/>
            </w:r>
            <w:r>
              <w:rPr>
                <w:noProof/>
              </w:rPr>
              <w:t>23</w:t>
            </w:r>
            <w:r>
              <w:rPr>
                <w:noProof/>
              </w:rPr>
              <w:fldChar w:fldCharType="end"/>
            </w:r>
          </w:hyperlink>
        </w:p>
        <w:p w:rsidR="00E5461E" w:rsidRDefault="00E5461E">
          <w:pPr>
            <w:pStyle w:val="TOC3"/>
            <w:tabs>
              <w:tab w:val="right" w:leader="dot" w:pos="9350"/>
            </w:tabs>
            <w:rPr>
              <w:noProof/>
            </w:rPr>
          </w:pPr>
          <w:hyperlink w:anchor="_Toc230446500" w:history="1">
            <w:r w:rsidRPr="00A36C99">
              <w:rPr>
                <w:rStyle w:val="Hyperlink"/>
                <w:noProof/>
              </w:rPr>
              <w:t>August</w:t>
            </w:r>
            <w:r>
              <w:rPr>
                <w:noProof/>
              </w:rPr>
              <w:tab/>
            </w:r>
            <w:r>
              <w:rPr>
                <w:noProof/>
              </w:rPr>
              <w:fldChar w:fldCharType="begin"/>
            </w:r>
            <w:r>
              <w:rPr>
                <w:noProof/>
              </w:rPr>
              <w:instrText xml:space="preserve"> PAGEREF _Toc230446500 \h </w:instrText>
            </w:r>
            <w:r>
              <w:rPr>
                <w:noProof/>
              </w:rPr>
            </w:r>
            <w:r>
              <w:rPr>
                <w:noProof/>
              </w:rPr>
              <w:fldChar w:fldCharType="separate"/>
            </w:r>
            <w:r>
              <w:rPr>
                <w:noProof/>
              </w:rPr>
              <w:t>23</w:t>
            </w:r>
            <w:r>
              <w:rPr>
                <w:noProof/>
              </w:rPr>
              <w:fldChar w:fldCharType="end"/>
            </w:r>
          </w:hyperlink>
        </w:p>
        <w:p w:rsidR="00E5461E" w:rsidRDefault="00E5461E">
          <w:pPr>
            <w:pStyle w:val="TOC3"/>
            <w:tabs>
              <w:tab w:val="right" w:leader="dot" w:pos="9350"/>
            </w:tabs>
            <w:rPr>
              <w:noProof/>
            </w:rPr>
          </w:pPr>
          <w:hyperlink w:anchor="_Toc230446501" w:history="1">
            <w:r w:rsidRPr="00A36C99">
              <w:rPr>
                <w:rStyle w:val="Hyperlink"/>
                <w:noProof/>
              </w:rPr>
              <w:t>September</w:t>
            </w:r>
            <w:r>
              <w:rPr>
                <w:noProof/>
              </w:rPr>
              <w:tab/>
            </w:r>
            <w:r>
              <w:rPr>
                <w:noProof/>
              </w:rPr>
              <w:fldChar w:fldCharType="begin"/>
            </w:r>
            <w:r>
              <w:rPr>
                <w:noProof/>
              </w:rPr>
              <w:instrText xml:space="preserve"> PAGEREF _Toc230446501 \h </w:instrText>
            </w:r>
            <w:r>
              <w:rPr>
                <w:noProof/>
              </w:rPr>
            </w:r>
            <w:r>
              <w:rPr>
                <w:noProof/>
              </w:rPr>
              <w:fldChar w:fldCharType="separate"/>
            </w:r>
            <w:r>
              <w:rPr>
                <w:noProof/>
              </w:rPr>
              <w:t>23</w:t>
            </w:r>
            <w:r>
              <w:rPr>
                <w:noProof/>
              </w:rPr>
              <w:fldChar w:fldCharType="end"/>
            </w:r>
          </w:hyperlink>
        </w:p>
        <w:p w:rsidR="00E5461E" w:rsidRDefault="00E5461E">
          <w:pPr>
            <w:pStyle w:val="TOC3"/>
            <w:tabs>
              <w:tab w:val="right" w:leader="dot" w:pos="9350"/>
            </w:tabs>
            <w:rPr>
              <w:noProof/>
            </w:rPr>
          </w:pPr>
          <w:hyperlink w:anchor="_Toc230446502" w:history="1">
            <w:r w:rsidRPr="00A36C99">
              <w:rPr>
                <w:rStyle w:val="Hyperlink"/>
                <w:noProof/>
              </w:rPr>
              <w:t>October</w:t>
            </w:r>
            <w:r>
              <w:rPr>
                <w:noProof/>
              </w:rPr>
              <w:tab/>
            </w:r>
            <w:r>
              <w:rPr>
                <w:noProof/>
              </w:rPr>
              <w:fldChar w:fldCharType="begin"/>
            </w:r>
            <w:r>
              <w:rPr>
                <w:noProof/>
              </w:rPr>
              <w:instrText xml:space="preserve"> PAGEREF _Toc230446502 \h </w:instrText>
            </w:r>
            <w:r>
              <w:rPr>
                <w:noProof/>
              </w:rPr>
            </w:r>
            <w:r>
              <w:rPr>
                <w:noProof/>
              </w:rPr>
              <w:fldChar w:fldCharType="separate"/>
            </w:r>
            <w:r>
              <w:rPr>
                <w:noProof/>
              </w:rPr>
              <w:t>23</w:t>
            </w:r>
            <w:r>
              <w:rPr>
                <w:noProof/>
              </w:rPr>
              <w:fldChar w:fldCharType="end"/>
            </w:r>
          </w:hyperlink>
        </w:p>
        <w:p w:rsidR="00E5461E" w:rsidRDefault="00E5461E">
          <w:pPr>
            <w:pStyle w:val="TOC3"/>
            <w:tabs>
              <w:tab w:val="right" w:leader="dot" w:pos="9350"/>
            </w:tabs>
            <w:rPr>
              <w:noProof/>
            </w:rPr>
          </w:pPr>
          <w:hyperlink w:anchor="_Toc230446503" w:history="1">
            <w:r w:rsidRPr="00A36C99">
              <w:rPr>
                <w:rStyle w:val="Hyperlink"/>
                <w:noProof/>
              </w:rPr>
              <w:t>November</w:t>
            </w:r>
            <w:r>
              <w:rPr>
                <w:noProof/>
              </w:rPr>
              <w:tab/>
            </w:r>
            <w:r>
              <w:rPr>
                <w:noProof/>
              </w:rPr>
              <w:fldChar w:fldCharType="begin"/>
            </w:r>
            <w:r>
              <w:rPr>
                <w:noProof/>
              </w:rPr>
              <w:instrText xml:space="preserve"> PAGEREF _Toc230446503 \h </w:instrText>
            </w:r>
            <w:r>
              <w:rPr>
                <w:noProof/>
              </w:rPr>
            </w:r>
            <w:r>
              <w:rPr>
                <w:noProof/>
              </w:rPr>
              <w:fldChar w:fldCharType="separate"/>
            </w:r>
            <w:r>
              <w:rPr>
                <w:noProof/>
              </w:rPr>
              <w:t>24</w:t>
            </w:r>
            <w:r>
              <w:rPr>
                <w:noProof/>
              </w:rPr>
              <w:fldChar w:fldCharType="end"/>
            </w:r>
          </w:hyperlink>
        </w:p>
        <w:p w:rsidR="00E5461E" w:rsidRDefault="00E5461E">
          <w:pPr>
            <w:pStyle w:val="TOC3"/>
            <w:tabs>
              <w:tab w:val="right" w:leader="dot" w:pos="9350"/>
            </w:tabs>
            <w:rPr>
              <w:noProof/>
            </w:rPr>
          </w:pPr>
          <w:hyperlink w:anchor="_Toc230446504" w:history="1">
            <w:r w:rsidRPr="00A36C99">
              <w:rPr>
                <w:rStyle w:val="Hyperlink"/>
                <w:noProof/>
              </w:rPr>
              <w:t>December</w:t>
            </w:r>
            <w:r>
              <w:rPr>
                <w:noProof/>
              </w:rPr>
              <w:tab/>
            </w:r>
            <w:r>
              <w:rPr>
                <w:noProof/>
              </w:rPr>
              <w:fldChar w:fldCharType="begin"/>
            </w:r>
            <w:r>
              <w:rPr>
                <w:noProof/>
              </w:rPr>
              <w:instrText xml:space="preserve"> PAGEREF _Toc230446504 \h </w:instrText>
            </w:r>
            <w:r>
              <w:rPr>
                <w:noProof/>
              </w:rPr>
            </w:r>
            <w:r>
              <w:rPr>
                <w:noProof/>
              </w:rPr>
              <w:fldChar w:fldCharType="separate"/>
            </w:r>
            <w:r>
              <w:rPr>
                <w:noProof/>
              </w:rPr>
              <w:t>24</w:t>
            </w:r>
            <w:r>
              <w:rPr>
                <w:noProof/>
              </w:rPr>
              <w:fldChar w:fldCharType="end"/>
            </w:r>
          </w:hyperlink>
        </w:p>
        <w:p w:rsidR="00E5461E" w:rsidRDefault="00E5461E">
          <w:pPr>
            <w:pStyle w:val="TOC3"/>
            <w:tabs>
              <w:tab w:val="right" w:leader="dot" w:pos="9350"/>
            </w:tabs>
            <w:rPr>
              <w:noProof/>
            </w:rPr>
          </w:pPr>
          <w:hyperlink w:anchor="_Toc230446505" w:history="1">
            <w:r w:rsidRPr="00A36C99">
              <w:rPr>
                <w:rStyle w:val="Hyperlink"/>
                <w:noProof/>
              </w:rPr>
              <w:t>January</w:t>
            </w:r>
            <w:r>
              <w:rPr>
                <w:noProof/>
              </w:rPr>
              <w:tab/>
            </w:r>
            <w:r>
              <w:rPr>
                <w:noProof/>
              </w:rPr>
              <w:fldChar w:fldCharType="begin"/>
            </w:r>
            <w:r>
              <w:rPr>
                <w:noProof/>
              </w:rPr>
              <w:instrText xml:space="preserve"> PAGEREF _Toc230446505 \h </w:instrText>
            </w:r>
            <w:r>
              <w:rPr>
                <w:noProof/>
              </w:rPr>
            </w:r>
            <w:r>
              <w:rPr>
                <w:noProof/>
              </w:rPr>
              <w:fldChar w:fldCharType="separate"/>
            </w:r>
            <w:r>
              <w:rPr>
                <w:noProof/>
              </w:rPr>
              <w:t>24</w:t>
            </w:r>
            <w:r>
              <w:rPr>
                <w:noProof/>
              </w:rPr>
              <w:fldChar w:fldCharType="end"/>
            </w:r>
          </w:hyperlink>
        </w:p>
        <w:p w:rsidR="00E5461E" w:rsidRDefault="00E5461E">
          <w:pPr>
            <w:pStyle w:val="TOC3"/>
            <w:tabs>
              <w:tab w:val="right" w:leader="dot" w:pos="9350"/>
            </w:tabs>
            <w:rPr>
              <w:noProof/>
            </w:rPr>
          </w:pPr>
          <w:hyperlink w:anchor="_Toc230446506" w:history="1">
            <w:r w:rsidRPr="00A36C99">
              <w:rPr>
                <w:rStyle w:val="Hyperlink"/>
                <w:noProof/>
              </w:rPr>
              <w:t>February</w:t>
            </w:r>
            <w:r>
              <w:rPr>
                <w:noProof/>
              </w:rPr>
              <w:tab/>
            </w:r>
            <w:r>
              <w:rPr>
                <w:noProof/>
              </w:rPr>
              <w:fldChar w:fldCharType="begin"/>
            </w:r>
            <w:r>
              <w:rPr>
                <w:noProof/>
              </w:rPr>
              <w:instrText xml:space="preserve"> PAGEREF _Toc230446506 \h </w:instrText>
            </w:r>
            <w:r>
              <w:rPr>
                <w:noProof/>
              </w:rPr>
            </w:r>
            <w:r>
              <w:rPr>
                <w:noProof/>
              </w:rPr>
              <w:fldChar w:fldCharType="separate"/>
            </w:r>
            <w:r>
              <w:rPr>
                <w:noProof/>
              </w:rPr>
              <w:t>24</w:t>
            </w:r>
            <w:r>
              <w:rPr>
                <w:noProof/>
              </w:rPr>
              <w:fldChar w:fldCharType="end"/>
            </w:r>
          </w:hyperlink>
        </w:p>
        <w:p w:rsidR="00E5461E" w:rsidRDefault="00E5461E">
          <w:pPr>
            <w:pStyle w:val="TOC3"/>
            <w:tabs>
              <w:tab w:val="right" w:leader="dot" w:pos="9350"/>
            </w:tabs>
            <w:rPr>
              <w:noProof/>
            </w:rPr>
          </w:pPr>
          <w:hyperlink w:anchor="_Toc230446507" w:history="1">
            <w:r w:rsidRPr="00A36C99">
              <w:rPr>
                <w:rStyle w:val="Hyperlink"/>
                <w:noProof/>
              </w:rPr>
              <w:t>March</w:t>
            </w:r>
            <w:r>
              <w:rPr>
                <w:noProof/>
              </w:rPr>
              <w:tab/>
            </w:r>
            <w:r>
              <w:rPr>
                <w:noProof/>
              </w:rPr>
              <w:fldChar w:fldCharType="begin"/>
            </w:r>
            <w:r>
              <w:rPr>
                <w:noProof/>
              </w:rPr>
              <w:instrText xml:space="preserve"> PAGEREF _Toc230446507 \h </w:instrText>
            </w:r>
            <w:r>
              <w:rPr>
                <w:noProof/>
              </w:rPr>
            </w:r>
            <w:r>
              <w:rPr>
                <w:noProof/>
              </w:rPr>
              <w:fldChar w:fldCharType="separate"/>
            </w:r>
            <w:r>
              <w:rPr>
                <w:noProof/>
              </w:rPr>
              <w:t>24</w:t>
            </w:r>
            <w:r>
              <w:rPr>
                <w:noProof/>
              </w:rPr>
              <w:fldChar w:fldCharType="end"/>
            </w:r>
          </w:hyperlink>
        </w:p>
        <w:p w:rsidR="00E5461E" w:rsidRDefault="00E5461E">
          <w:pPr>
            <w:pStyle w:val="TOC1"/>
            <w:tabs>
              <w:tab w:val="right" w:leader="dot" w:pos="9350"/>
            </w:tabs>
            <w:rPr>
              <w:noProof/>
            </w:rPr>
          </w:pPr>
          <w:hyperlink w:anchor="_Toc230446508" w:history="1">
            <w:r w:rsidRPr="00A36C99">
              <w:rPr>
                <w:rStyle w:val="Hyperlink"/>
                <w:noProof/>
              </w:rPr>
              <w:t>17. Risk, Disputes, and Exit Options</w:t>
            </w:r>
            <w:r>
              <w:rPr>
                <w:noProof/>
              </w:rPr>
              <w:tab/>
            </w:r>
            <w:r>
              <w:rPr>
                <w:noProof/>
              </w:rPr>
              <w:fldChar w:fldCharType="begin"/>
            </w:r>
            <w:r>
              <w:rPr>
                <w:noProof/>
              </w:rPr>
              <w:instrText xml:space="preserve"> PAGEREF _Toc230446508 \h </w:instrText>
            </w:r>
            <w:r>
              <w:rPr>
                <w:noProof/>
              </w:rPr>
            </w:r>
            <w:r>
              <w:rPr>
                <w:noProof/>
              </w:rPr>
              <w:fldChar w:fldCharType="separate"/>
            </w:r>
            <w:r>
              <w:rPr>
                <w:noProof/>
              </w:rPr>
              <w:t>26</w:t>
            </w:r>
            <w:r>
              <w:rPr>
                <w:noProof/>
              </w:rPr>
              <w:fldChar w:fldCharType="end"/>
            </w:r>
          </w:hyperlink>
        </w:p>
        <w:p w:rsidR="00E5461E" w:rsidRDefault="00E5461E">
          <w:pPr>
            <w:pStyle w:val="TOC2"/>
            <w:tabs>
              <w:tab w:val="right" w:leader="dot" w:pos="9350"/>
            </w:tabs>
            <w:rPr>
              <w:noProof/>
            </w:rPr>
          </w:pPr>
          <w:hyperlink w:anchor="_Toc230446509" w:history="1">
            <w:r w:rsidRPr="00A36C99">
              <w:rPr>
                <w:rStyle w:val="Hyperlink"/>
                <w:noProof/>
              </w:rPr>
              <w:t>17.1 Dispute Resolution</w:t>
            </w:r>
            <w:r>
              <w:rPr>
                <w:noProof/>
              </w:rPr>
              <w:tab/>
            </w:r>
            <w:r>
              <w:rPr>
                <w:noProof/>
              </w:rPr>
              <w:fldChar w:fldCharType="begin"/>
            </w:r>
            <w:r>
              <w:rPr>
                <w:noProof/>
              </w:rPr>
              <w:instrText xml:space="preserve"> PAGEREF _Toc230446509 \h </w:instrText>
            </w:r>
            <w:r>
              <w:rPr>
                <w:noProof/>
              </w:rPr>
            </w:r>
            <w:r>
              <w:rPr>
                <w:noProof/>
              </w:rPr>
              <w:fldChar w:fldCharType="separate"/>
            </w:r>
            <w:r>
              <w:rPr>
                <w:noProof/>
              </w:rPr>
              <w:t>26</w:t>
            </w:r>
            <w:r>
              <w:rPr>
                <w:noProof/>
              </w:rPr>
              <w:fldChar w:fldCharType="end"/>
            </w:r>
          </w:hyperlink>
        </w:p>
        <w:p w:rsidR="00E5461E" w:rsidRDefault="00E5461E">
          <w:pPr>
            <w:pStyle w:val="TOC2"/>
            <w:tabs>
              <w:tab w:val="right" w:leader="dot" w:pos="9350"/>
            </w:tabs>
            <w:rPr>
              <w:noProof/>
            </w:rPr>
          </w:pPr>
          <w:hyperlink w:anchor="_Toc230446510" w:history="1">
            <w:r w:rsidRPr="00A36C99">
              <w:rPr>
                <w:rStyle w:val="Hyperlink"/>
                <w:noProof/>
              </w:rPr>
              <w:t>17.2 Key Risk Areas</w:t>
            </w:r>
            <w:r>
              <w:rPr>
                <w:noProof/>
              </w:rPr>
              <w:tab/>
            </w:r>
            <w:r>
              <w:rPr>
                <w:noProof/>
              </w:rPr>
              <w:fldChar w:fldCharType="begin"/>
            </w:r>
            <w:r>
              <w:rPr>
                <w:noProof/>
              </w:rPr>
              <w:instrText xml:space="preserve"> PAGEREF _Toc230446510 \h </w:instrText>
            </w:r>
            <w:r>
              <w:rPr>
                <w:noProof/>
              </w:rPr>
            </w:r>
            <w:r>
              <w:rPr>
                <w:noProof/>
              </w:rPr>
              <w:fldChar w:fldCharType="separate"/>
            </w:r>
            <w:r>
              <w:rPr>
                <w:noProof/>
              </w:rPr>
              <w:t>26</w:t>
            </w:r>
            <w:r>
              <w:rPr>
                <w:noProof/>
              </w:rPr>
              <w:fldChar w:fldCharType="end"/>
            </w:r>
          </w:hyperlink>
        </w:p>
        <w:p w:rsidR="00E5461E" w:rsidRDefault="00E5461E">
          <w:pPr>
            <w:pStyle w:val="TOC2"/>
            <w:tabs>
              <w:tab w:val="right" w:leader="dot" w:pos="9350"/>
            </w:tabs>
            <w:rPr>
              <w:noProof/>
            </w:rPr>
          </w:pPr>
          <w:hyperlink w:anchor="_Toc230446511" w:history="1">
            <w:r w:rsidRPr="00A36C99">
              <w:rPr>
                <w:rStyle w:val="Hyperlink"/>
                <w:noProof/>
              </w:rPr>
              <w:t>17.3 Exit and Restructuring Options</w:t>
            </w:r>
            <w:r>
              <w:rPr>
                <w:noProof/>
              </w:rPr>
              <w:tab/>
            </w:r>
            <w:r>
              <w:rPr>
                <w:noProof/>
              </w:rPr>
              <w:fldChar w:fldCharType="begin"/>
            </w:r>
            <w:r>
              <w:rPr>
                <w:noProof/>
              </w:rPr>
              <w:instrText xml:space="preserve"> PAGEREF _Toc230446511 \h </w:instrText>
            </w:r>
            <w:r>
              <w:rPr>
                <w:noProof/>
              </w:rPr>
            </w:r>
            <w:r>
              <w:rPr>
                <w:noProof/>
              </w:rPr>
              <w:fldChar w:fldCharType="separate"/>
            </w:r>
            <w:r>
              <w:rPr>
                <w:noProof/>
              </w:rPr>
              <w:t>26</w:t>
            </w:r>
            <w:r>
              <w:rPr>
                <w:noProof/>
              </w:rPr>
              <w:fldChar w:fldCharType="end"/>
            </w:r>
          </w:hyperlink>
        </w:p>
        <w:p w:rsidR="00E5461E" w:rsidRDefault="00E5461E">
          <w:pPr>
            <w:pStyle w:val="TOC1"/>
            <w:tabs>
              <w:tab w:val="right" w:leader="dot" w:pos="9350"/>
            </w:tabs>
            <w:rPr>
              <w:noProof/>
            </w:rPr>
          </w:pPr>
          <w:hyperlink w:anchor="_Toc230446512" w:history="1">
            <w:r w:rsidRPr="00A36C99">
              <w:rPr>
                <w:rStyle w:val="Hyperlink"/>
                <w:noProof/>
              </w:rPr>
              <w:t>18. Practical Checklists and Tools</w:t>
            </w:r>
            <w:r>
              <w:rPr>
                <w:noProof/>
              </w:rPr>
              <w:tab/>
            </w:r>
            <w:r>
              <w:rPr>
                <w:noProof/>
              </w:rPr>
              <w:fldChar w:fldCharType="begin"/>
            </w:r>
            <w:r>
              <w:rPr>
                <w:noProof/>
              </w:rPr>
              <w:instrText xml:space="preserve"> PAGEREF _Toc230446512 \h </w:instrText>
            </w:r>
            <w:r>
              <w:rPr>
                <w:noProof/>
              </w:rPr>
            </w:r>
            <w:r>
              <w:rPr>
                <w:noProof/>
              </w:rPr>
              <w:fldChar w:fldCharType="separate"/>
            </w:r>
            <w:r>
              <w:rPr>
                <w:noProof/>
              </w:rPr>
              <w:t>27</w:t>
            </w:r>
            <w:r>
              <w:rPr>
                <w:noProof/>
              </w:rPr>
              <w:fldChar w:fldCharType="end"/>
            </w:r>
          </w:hyperlink>
        </w:p>
        <w:p w:rsidR="00E5461E" w:rsidRDefault="00E5461E">
          <w:pPr>
            <w:pStyle w:val="TOC2"/>
            <w:tabs>
              <w:tab w:val="right" w:leader="dot" w:pos="9350"/>
            </w:tabs>
            <w:rPr>
              <w:noProof/>
            </w:rPr>
          </w:pPr>
          <w:hyperlink w:anchor="_Toc230446513" w:history="1">
            <w:r w:rsidRPr="00A36C99">
              <w:rPr>
                <w:rStyle w:val="Hyperlink"/>
                <w:noProof/>
              </w:rPr>
              <w:t>18.1 Pre-Entry Checklist for Indian Entrepreneurs</w:t>
            </w:r>
            <w:r>
              <w:rPr>
                <w:noProof/>
              </w:rPr>
              <w:tab/>
            </w:r>
            <w:r>
              <w:rPr>
                <w:noProof/>
              </w:rPr>
              <w:fldChar w:fldCharType="begin"/>
            </w:r>
            <w:r>
              <w:rPr>
                <w:noProof/>
              </w:rPr>
              <w:instrText xml:space="preserve"> PAGEREF _Toc230446513 \h </w:instrText>
            </w:r>
            <w:r>
              <w:rPr>
                <w:noProof/>
              </w:rPr>
            </w:r>
            <w:r>
              <w:rPr>
                <w:noProof/>
              </w:rPr>
              <w:fldChar w:fldCharType="separate"/>
            </w:r>
            <w:r>
              <w:rPr>
                <w:noProof/>
              </w:rPr>
              <w:t>27</w:t>
            </w:r>
            <w:r>
              <w:rPr>
                <w:noProof/>
              </w:rPr>
              <w:fldChar w:fldCharType="end"/>
            </w:r>
          </w:hyperlink>
        </w:p>
        <w:p w:rsidR="00E5461E" w:rsidRDefault="00E5461E">
          <w:pPr>
            <w:pStyle w:val="TOC1"/>
            <w:tabs>
              <w:tab w:val="right" w:leader="dot" w:pos="9350"/>
            </w:tabs>
            <w:rPr>
              <w:noProof/>
            </w:rPr>
          </w:pPr>
          <w:hyperlink w:anchor="_Toc230446514" w:history="1">
            <w:r w:rsidRPr="00A36C99">
              <w:rPr>
                <w:rStyle w:val="Hyperlink"/>
                <w:noProof/>
              </w:rPr>
              <w:t>19. Compliance Penalty Matrix</w:t>
            </w:r>
            <w:r>
              <w:rPr>
                <w:noProof/>
              </w:rPr>
              <w:tab/>
            </w:r>
            <w:r>
              <w:rPr>
                <w:noProof/>
              </w:rPr>
              <w:fldChar w:fldCharType="begin"/>
            </w:r>
            <w:r>
              <w:rPr>
                <w:noProof/>
              </w:rPr>
              <w:instrText xml:space="preserve"> PAGEREF _Toc230446514 \h </w:instrText>
            </w:r>
            <w:r>
              <w:rPr>
                <w:noProof/>
              </w:rPr>
            </w:r>
            <w:r>
              <w:rPr>
                <w:noProof/>
              </w:rPr>
              <w:fldChar w:fldCharType="separate"/>
            </w:r>
            <w:r>
              <w:rPr>
                <w:noProof/>
              </w:rPr>
              <w:t>28</w:t>
            </w:r>
            <w:r>
              <w:rPr>
                <w:noProof/>
              </w:rPr>
              <w:fldChar w:fldCharType="end"/>
            </w:r>
          </w:hyperlink>
        </w:p>
        <w:p w:rsidR="00E5461E" w:rsidRDefault="00E5461E">
          <w:pPr>
            <w:pStyle w:val="TOC1"/>
            <w:tabs>
              <w:tab w:val="right" w:leader="dot" w:pos="9350"/>
            </w:tabs>
            <w:rPr>
              <w:noProof/>
            </w:rPr>
          </w:pPr>
          <w:hyperlink w:anchor="_Toc230446515" w:history="1">
            <w:r w:rsidRPr="00A36C99">
              <w:rPr>
                <w:rStyle w:val="Hyperlink"/>
                <w:noProof/>
              </w:rPr>
              <w:t>20. How Comply Globally Supports Entry Australia</w:t>
            </w:r>
            <w:r>
              <w:rPr>
                <w:noProof/>
              </w:rPr>
              <w:tab/>
            </w:r>
            <w:r>
              <w:rPr>
                <w:noProof/>
              </w:rPr>
              <w:fldChar w:fldCharType="begin"/>
            </w:r>
            <w:r>
              <w:rPr>
                <w:noProof/>
              </w:rPr>
              <w:instrText xml:space="preserve"> PAGEREF _Toc230446515 \h </w:instrText>
            </w:r>
            <w:r>
              <w:rPr>
                <w:noProof/>
              </w:rPr>
            </w:r>
            <w:r>
              <w:rPr>
                <w:noProof/>
              </w:rPr>
              <w:fldChar w:fldCharType="separate"/>
            </w:r>
            <w:r>
              <w:rPr>
                <w:noProof/>
              </w:rPr>
              <w:t>30</w:t>
            </w:r>
            <w:r>
              <w:rPr>
                <w:noProof/>
              </w:rPr>
              <w:fldChar w:fldCharType="end"/>
            </w:r>
          </w:hyperlink>
        </w:p>
        <w:p w:rsidR="00E5461E" w:rsidRDefault="00E5461E">
          <w:pPr>
            <w:pStyle w:val="TOC2"/>
            <w:tabs>
              <w:tab w:val="right" w:leader="dot" w:pos="9350"/>
            </w:tabs>
            <w:rPr>
              <w:noProof/>
            </w:rPr>
          </w:pPr>
          <w:hyperlink w:anchor="_Toc230446516" w:history="1">
            <w:r w:rsidRPr="00A36C99">
              <w:rPr>
                <w:rStyle w:val="Hyperlink"/>
                <w:noProof/>
              </w:rPr>
              <w:t>20.1 Our Services</w:t>
            </w:r>
            <w:r>
              <w:rPr>
                <w:noProof/>
              </w:rPr>
              <w:tab/>
            </w:r>
            <w:r>
              <w:rPr>
                <w:noProof/>
              </w:rPr>
              <w:fldChar w:fldCharType="begin"/>
            </w:r>
            <w:r>
              <w:rPr>
                <w:noProof/>
              </w:rPr>
              <w:instrText xml:space="preserve"> PAGEREF _Toc230446516 \h </w:instrText>
            </w:r>
            <w:r>
              <w:rPr>
                <w:noProof/>
              </w:rPr>
            </w:r>
            <w:r>
              <w:rPr>
                <w:noProof/>
              </w:rPr>
              <w:fldChar w:fldCharType="separate"/>
            </w:r>
            <w:r>
              <w:rPr>
                <w:noProof/>
              </w:rPr>
              <w:t>30</w:t>
            </w:r>
            <w:r>
              <w:rPr>
                <w:noProof/>
              </w:rPr>
              <w:fldChar w:fldCharType="end"/>
            </w:r>
          </w:hyperlink>
        </w:p>
        <w:p w:rsidR="00E5461E" w:rsidRDefault="00E5461E">
          <w:pPr>
            <w:pStyle w:val="TOC2"/>
            <w:tabs>
              <w:tab w:val="right" w:leader="dot" w:pos="9350"/>
            </w:tabs>
            <w:rPr>
              <w:noProof/>
            </w:rPr>
          </w:pPr>
          <w:hyperlink w:anchor="_Toc230446517" w:history="1">
            <w:r w:rsidRPr="00A36C99">
              <w:rPr>
                <w:rStyle w:val="Hyperlink"/>
                <w:noProof/>
              </w:rPr>
              <w:t>20.2 Engagement Models</w:t>
            </w:r>
            <w:r>
              <w:rPr>
                <w:noProof/>
              </w:rPr>
              <w:tab/>
            </w:r>
            <w:r>
              <w:rPr>
                <w:noProof/>
              </w:rPr>
              <w:fldChar w:fldCharType="begin"/>
            </w:r>
            <w:r>
              <w:rPr>
                <w:noProof/>
              </w:rPr>
              <w:instrText xml:space="preserve"> PAGEREF _Toc230446517 \h </w:instrText>
            </w:r>
            <w:r>
              <w:rPr>
                <w:noProof/>
              </w:rPr>
            </w:r>
            <w:r>
              <w:rPr>
                <w:noProof/>
              </w:rPr>
              <w:fldChar w:fldCharType="separate"/>
            </w:r>
            <w:r>
              <w:rPr>
                <w:noProof/>
              </w:rPr>
              <w:t>30</w:t>
            </w:r>
            <w:r>
              <w:rPr>
                <w:noProof/>
              </w:rPr>
              <w:fldChar w:fldCharType="end"/>
            </w:r>
          </w:hyperlink>
        </w:p>
        <w:p w:rsidR="00E5461E" w:rsidRDefault="00E5461E">
          <w:pPr>
            <w:pStyle w:val="TOC2"/>
            <w:tabs>
              <w:tab w:val="right" w:leader="dot" w:pos="9350"/>
            </w:tabs>
            <w:rPr>
              <w:noProof/>
            </w:rPr>
          </w:pPr>
          <w:hyperlink w:anchor="_Toc230446518" w:history="1">
            <w:r w:rsidRPr="00A36C99">
              <w:rPr>
                <w:rStyle w:val="Hyperlink"/>
                <w:noProof/>
              </w:rPr>
              <w:t>20.3 Contact Us</w:t>
            </w:r>
            <w:r>
              <w:rPr>
                <w:noProof/>
              </w:rPr>
              <w:tab/>
            </w:r>
            <w:r>
              <w:rPr>
                <w:noProof/>
              </w:rPr>
              <w:fldChar w:fldCharType="begin"/>
            </w:r>
            <w:r>
              <w:rPr>
                <w:noProof/>
              </w:rPr>
              <w:instrText xml:space="preserve"> PAGEREF _Toc230446518 \h </w:instrText>
            </w:r>
            <w:r>
              <w:rPr>
                <w:noProof/>
              </w:rPr>
            </w:r>
            <w:r>
              <w:rPr>
                <w:noProof/>
              </w:rPr>
              <w:fldChar w:fldCharType="separate"/>
            </w:r>
            <w:r>
              <w:rPr>
                <w:noProof/>
              </w:rPr>
              <w:t>30</w:t>
            </w:r>
            <w:r>
              <w:rPr>
                <w:noProof/>
              </w:rPr>
              <w:fldChar w:fldCharType="end"/>
            </w:r>
          </w:hyperlink>
        </w:p>
        <w:p w:rsidR="007F3CB1" w:rsidRDefault="002104A6">
          <w:r>
            <w:fldChar w:fldCharType="end"/>
          </w:r>
        </w:p>
      </w:sdtContent>
    </w:sdt>
    <w:p w:rsidR="007F3CB1" w:rsidRDefault="002104A6">
      <w:r>
        <w:br w:type="page"/>
      </w:r>
    </w:p>
    <w:p w:rsidR="007F3CB1" w:rsidRDefault="002104A6">
      <w:pPr>
        <w:pStyle w:val="Heading1"/>
      </w:pPr>
      <w:bookmarkStart w:id="1" w:name="_Toc230446440"/>
      <w:r>
        <w:lastRenderedPageBreak/>
        <w:t>1. Executive Overview</w:t>
      </w:r>
      <w:bookmarkEnd w:id="1"/>
    </w:p>
    <w:p w:rsidR="007F3CB1" w:rsidRDefault="002104A6">
      <w:pPr>
        <w:spacing w:after="120" w:line="276" w:lineRule="auto"/>
      </w:pPr>
      <w:r>
        <w:t>This guide is designed for Indian entrepreneurs, investors, and expansion-stage companies seeking to establish or expand business operations in Australia. It provides a comprehensive overview of the legal, re</w:t>
      </w:r>
      <w:r>
        <w:t>gulatory, tax, and operational framework governing foreign-owned businesses in Australia, with specific focus on cross-border considerations relevant to Indian businesses.</w:t>
      </w:r>
    </w:p>
    <w:p w:rsidR="007F3CB1" w:rsidRDefault="002104A6">
      <w:pPr>
        <w:pStyle w:val="Heading2"/>
      </w:pPr>
      <w:bookmarkStart w:id="2" w:name="_Toc230446441"/>
      <w:r>
        <w:t>1.1 Why Australia?</w:t>
      </w:r>
      <w:bookmarkEnd w:id="2"/>
    </w:p>
    <w:p w:rsidR="007F3CB1" w:rsidRDefault="002104A6">
      <w:pPr>
        <w:spacing w:after="120" w:line="276" w:lineRule="auto"/>
      </w:pPr>
      <w:r>
        <w:t>Australian presents a compelling proposition for Indian businesse</w:t>
      </w:r>
      <w:r>
        <w:t xml:space="preserve">s: the one of the world's largest and most stable economies, a robust legal framework based on common law, the major Asia-Pacific financial and commercial hub centered around Sydney and Melbourne, English as the business language, world-class universities </w:t>
      </w:r>
      <w:r>
        <w:t>and talent pools, and historically strong India-Australia business linkages. The India-Australia Free Trade Agreement signed in mid-2025 has further strengthened bilateral commercial ties. Australian serves as an ideal gateway to Asia-Pacific markets.</w:t>
      </w:r>
    </w:p>
    <w:p w:rsidR="007F3CB1" w:rsidRDefault="002104A6">
      <w:pPr>
        <w:pStyle w:val="Heading2"/>
      </w:pPr>
      <w:bookmarkStart w:id="3" w:name="_Toc230446442"/>
      <w:r>
        <w:t xml:space="preserve">1.2 </w:t>
      </w:r>
      <w:r>
        <w:t>Typical Entry Timelines and Cost Ranges</w:t>
      </w:r>
      <w:bookmarkEnd w:id="3"/>
    </w:p>
    <w:p w:rsidR="007F3CB1" w:rsidRDefault="002104A6">
      <w:pPr>
        <w:spacing w:after="120" w:line="276" w:lineRule="auto"/>
      </w:pPr>
      <w:r>
        <w:t>Setting up a Australian private limited company is remarkably fast - ASIC registration is typically completed within 24 hours of online application. Costs range from AUD 50 (direct online filing) to AUD 3,000-8,000 f</w:t>
      </w:r>
      <w:r>
        <w:t>or a full-service incorporation including registered office, banking introductions, and tax registrations. The full operational setup including bank account opening (often the lengthiest step), ATO registrations, and PAYG setup typically takes 4-8 weeks.</w:t>
      </w:r>
    </w:p>
    <w:p w:rsidR="007F3CB1" w:rsidRDefault="002104A6">
      <w:r>
        <w:br w:type="page"/>
      </w:r>
    </w:p>
    <w:p w:rsidR="007F3CB1" w:rsidRDefault="002104A6">
      <w:pPr>
        <w:pStyle w:val="Heading1"/>
      </w:pPr>
      <w:bookmarkStart w:id="4" w:name="_Toc230446443"/>
      <w:r>
        <w:lastRenderedPageBreak/>
        <w:t>2. Country Snapshot</w:t>
      </w:r>
      <w:bookmarkEnd w:id="4"/>
    </w:p>
    <w:p w:rsidR="007F3CB1" w:rsidRDefault="002104A6">
      <w:pPr>
        <w:pStyle w:val="Heading2"/>
      </w:pPr>
      <w:bookmarkStart w:id="5" w:name="_Toc230446444"/>
      <w:r>
        <w:t>2.1 Political and Economic Overview</w:t>
      </w:r>
      <w:bookmarkEnd w:id="5"/>
    </w:p>
    <w:p w:rsidR="007F3CB1" w:rsidRDefault="002104A6">
      <w:pPr>
        <w:spacing w:after="120" w:line="276" w:lineRule="auto"/>
      </w:pPr>
      <w:r>
        <w:t>Australia is a constitutional monarchy with a parliamentary system. It comprises six states and two mainland territories. The economy is the sixth-largest globally with a GDP of approximately USD 3.4</w:t>
      </w:r>
      <w:r>
        <w:t xml:space="preserve"> trillion (2025). The Australian Dollar (AUD) is the national currency. Key macro indicators include GDP growth of 1-2%, inflation around 2-3%, and a services-dominated economy (services account for approximately 80% of GDP, with financial services, techno</w:t>
      </w:r>
      <w:r>
        <w:t>logy, creative industries, and professional services being key drivers).</w:t>
      </w:r>
    </w:p>
    <w:p w:rsidR="007F3CB1" w:rsidRDefault="002104A6">
      <w:pPr>
        <w:pStyle w:val="Heading2"/>
      </w:pPr>
      <w:bookmarkStart w:id="6" w:name="_Toc230446445"/>
      <w:r>
        <w:t>2.2 Demographics and Key Economic Hubs</w:t>
      </w:r>
      <w:bookmarkEnd w:id="6"/>
    </w:p>
    <w:p w:rsidR="007F3CB1" w:rsidRDefault="002104A6">
      <w:pPr>
        <w:spacing w:after="120" w:line="276" w:lineRule="auto"/>
      </w:pPr>
      <w:r>
        <w:t xml:space="preserve">With approximately 27 million people, Australian has a highly educated workforce and significant Indian diaspora (1.8+ million people of Indian </w:t>
      </w:r>
      <w:r>
        <w:t>origin). Sydney is the primary business and financial hub, with Melbourne, Brisbane, Perth, Adelaide, Canberra, and Gold Coast as significant secondary centers. Australian has world-leading universities (University of Melbourne, Australian National Univers</w:t>
      </w:r>
      <w:r>
        <w:t>ity, University of Sydney, UNSW Sydney, and Monash University, etc.) and thriving tech ecosystems particularly around Sydney, Melbourne and Brisbane.</w:t>
      </w:r>
    </w:p>
    <w:p w:rsidR="007F3CB1" w:rsidRDefault="002104A6">
      <w:pPr>
        <w:pStyle w:val="Heading2"/>
      </w:pPr>
      <w:bookmarkStart w:id="7" w:name="_Toc230446446"/>
      <w:r>
        <w:t>2.3 Trade Agreements and Tax Treaties</w:t>
      </w:r>
      <w:bookmarkEnd w:id="7"/>
    </w:p>
    <w:p w:rsidR="007F3CB1" w:rsidRDefault="002104A6">
      <w:pPr>
        <w:spacing w:after="120" w:line="276" w:lineRule="auto"/>
      </w:pPr>
      <w:r>
        <w:t>Australian has an extensive network of an extensive network of Doubl</w:t>
      </w:r>
      <w:r>
        <w:t>e Tax Treaties (DTTs), including with India (since 1993, with subsequent protocols). The India-Australia Economic Cooperation and Trade Agreement (ECTA) entered into force in 2022 and is being progressively implemented. Australian is a member of the WTO, t</w:t>
      </w:r>
      <w:r>
        <w:t>he OECD, APEC, and G20. Additionally, Australian has trade agreements with ASEAN nations, the UK, the US, China, Japan, South Korea, and CPTPP member states.</w:t>
      </w:r>
    </w:p>
    <w:p w:rsidR="007F3CB1" w:rsidRDefault="002104A6">
      <w:r>
        <w:br w:type="page"/>
      </w:r>
    </w:p>
    <w:p w:rsidR="007F3CB1" w:rsidRDefault="002104A6">
      <w:pPr>
        <w:pStyle w:val="Heading1"/>
      </w:pPr>
      <w:bookmarkStart w:id="8" w:name="_Toc230446447"/>
      <w:r>
        <w:lastRenderedPageBreak/>
        <w:t>3. Investment Climate &amp; Business Environment</w:t>
      </w:r>
      <w:bookmarkEnd w:id="8"/>
    </w:p>
    <w:p w:rsidR="007F3CB1" w:rsidRDefault="002104A6">
      <w:pPr>
        <w:pStyle w:val="Heading2"/>
      </w:pPr>
      <w:bookmarkStart w:id="9" w:name="_Toc230446448"/>
      <w:r>
        <w:t>3.1 Openness to Foreign Investment</w:t>
      </w:r>
      <w:bookmarkEnd w:id="9"/>
    </w:p>
    <w:p w:rsidR="007F3CB1" w:rsidRDefault="002104A6">
      <w:pPr>
        <w:spacing w:after="120" w:line="276" w:lineRule="auto"/>
      </w:pPr>
      <w:r>
        <w:t>Australian has o</w:t>
      </w:r>
      <w:r>
        <w:t>ne of the world's most open foreign investment regimes. There are no general restrictions on foreign ownership of Australian companies - foreign nationals can own 100% of Australian companies in virtually all sectors. The Foreign Acquisitions and Takeovers</w:t>
      </w:r>
      <w:r>
        <w:t xml:space="preserve"> Act 1975 and FIRB regulations requires mandatory notification for acquisitions in sensitive sectors including defense, advanced materials, AI, energy, communications, computing hardware, critical suppliers to government, cryptographic authentication, data</w:t>
      </w:r>
      <w:r>
        <w:t xml:space="preserve"> infrastructure, military and dual-use technologies, quantum technologies, satellite and space technologies, suppliers to the emergency services, synthetic biology, and transport.</w:t>
      </w:r>
    </w:p>
    <w:p w:rsidR="007F3CB1" w:rsidRDefault="002104A6">
      <w:pPr>
        <w:pStyle w:val="Heading2"/>
      </w:pPr>
      <w:bookmarkStart w:id="10" w:name="_Toc230446449"/>
      <w:r>
        <w:t>3.2 Ease of Doing Business</w:t>
      </w:r>
      <w:bookmarkEnd w:id="10"/>
    </w:p>
    <w:p w:rsidR="007F3CB1" w:rsidRDefault="002104A6">
      <w:pPr>
        <w:spacing w:after="120" w:line="276" w:lineRule="auto"/>
      </w:pPr>
      <w:r>
        <w:t>Australian consistently ranks among the easiest p</w:t>
      </w:r>
      <w:r>
        <w:t>laces in the world to do business. ASIC operates a fully digital registration system completing incorporations in under 24 hours. ATO's digital services enable streamlined tax registration and filing through ATO digital tax lodgement systems - now mandator</w:t>
      </w:r>
      <w:r>
        <w:t>y for GST-registered businesses and being extended to Income Tax Self-Assessment from April 2026. There is no minimum share capital requirement (a company can be incorporated with just AUD 1 in share capital), certain Australian entities require at least o</w:t>
      </w:r>
      <w:r>
        <w:t>ne resident Australian director, and no need for local shareholders.</w:t>
      </w:r>
    </w:p>
    <w:p w:rsidR="007F3CB1" w:rsidRDefault="002104A6">
      <w:pPr>
        <w:pStyle w:val="Heading2"/>
      </w:pPr>
      <w:bookmarkStart w:id="11" w:name="_Toc230446450"/>
      <w:r>
        <w:t>3.3 Priority Sectors and Incentives</w:t>
      </w:r>
      <w:bookmarkEnd w:id="11"/>
    </w:p>
    <w:p w:rsidR="007F3CB1" w:rsidRDefault="002104A6">
      <w:pPr>
        <w:spacing w:after="120" w:line="276" w:lineRule="auto"/>
      </w:pPr>
      <w:r>
        <w:t>Australian government strategic priorities under the Industrial Strategy include: financial services, advanced manufacturing, life sciences and pharmac</w:t>
      </w:r>
      <w:r>
        <w:t>euticals, digital technologies and AI, clean energy, defense, creative industries, and professional and business services. Available incentives include: R&amp;D Tax Credits (up to 86% enhanced deduction for SMEs, RDEC at 20% for large companies), Patent Box re</w:t>
      </w:r>
      <w:r>
        <w:t>gime (10% effective rate on patent-derived profits), Annual Investment Allowance (100% deduction up to AUD 1 million on qualifying plant and machinery), Investment Zones with localized tax breaks, and Freeports offering customs and tax benefits.</w:t>
      </w:r>
    </w:p>
    <w:p w:rsidR="007F3CB1" w:rsidRDefault="002104A6">
      <w:r>
        <w:br w:type="page"/>
      </w:r>
    </w:p>
    <w:p w:rsidR="007F3CB1" w:rsidRDefault="002104A6">
      <w:pPr>
        <w:pStyle w:val="Heading1"/>
      </w:pPr>
      <w:bookmarkStart w:id="12" w:name="_Toc230446451"/>
      <w:r>
        <w:lastRenderedPageBreak/>
        <w:t>4. Marke</w:t>
      </w:r>
      <w:r>
        <w:t>t Entry Strategy</w:t>
      </w:r>
      <w:bookmarkEnd w:id="12"/>
    </w:p>
    <w:p w:rsidR="007F3CB1" w:rsidRDefault="002104A6">
      <w:pPr>
        <w:pStyle w:val="Heading2"/>
      </w:pPr>
      <w:bookmarkStart w:id="13" w:name="_Toc230446452"/>
      <w:r>
        <w:t>4.1 Go-to-Market Models</w:t>
      </w:r>
      <w:bookmarkEnd w:id="13"/>
    </w:p>
    <w:p w:rsidR="007F3CB1" w:rsidRDefault="002104A6">
      <w:pPr>
        <w:spacing w:after="120" w:line="276" w:lineRule="auto"/>
      </w:pPr>
      <w:r>
        <w:t>Indian entrants typically consider: (a) Direct Export to Australian customers; (b) Appointing a Australian distributor or agent; (c) Establishing a wholly-owned subsidiary as a Australian private limited company (Lt</w:t>
      </w:r>
      <w:r>
        <w:t>d) - the most common structure for Indian businesses; (d) Forming a joint venture with a Australian partner; (e) Opening a Australian Establishment (formerly known as a Branch) of the Indian parent company; (f) Limited Liability Partnership (LLP) - particu</w:t>
      </w:r>
      <w:r>
        <w:t>larly useful for professional services firms; and (g) Acquisition of an existing Australian business.</w:t>
      </w:r>
    </w:p>
    <w:p w:rsidR="007F3CB1" w:rsidRDefault="002104A6">
      <w:pPr>
        <w:pStyle w:val="Heading2"/>
      </w:pPr>
      <w:bookmarkStart w:id="14" w:name="_Toc230446453"/>
      <w:r>
        <w:t>4.2 Strategic Considerations</w:t>
      </w:r>
      <w:bookmarkEnd w:id="14"/>
    </w:p>
    <w:p w:rsidR="007F3CB1" w:rsidRDefault="002104A6">
      <w:pPr>
        <w:spacing w:after="120" w:line="276" w:lineRule="auto"/>
      </w:pPr>
      <w:r>
        <w:t>Key considerations for Indian businesses include: tax efficiency (a Australian subsidiary pays Australian Corporate Income Ta</w:t>
      </w:r>
      <w:r>
        <w:t xml:space="preserve">x independently, while a Australian Establishment exposes the Indian parent to Australian taxation on Australian PE profits), control and liability isolation (subsidiary provides separate legal personality), credibility with Australian customers and banks </w:t>
      </w:r>
      <w:r>
        <w:t>(a Australian Ltd often viewed more favorably than a branch), funding flexibility (Australian subsidiaries can raise local equity/debt independently), exit flexibility (subsidiary easier to sell or restructure), and Indian regulatory compliance (FEMA ODI r</w:t>
      </w:r>
      <w:r>
        <w:t>equirements apply to all overseas investments).</w:t>
      </w:r>
    </w:p>
    <w:p w:rsidR="007F3CB1" w:rsidRDefault="007F3CB1">
      <w:pPr>
        <w:spacing w:after="8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400"/>
        <w:gridCol w:w="2200"/>
        <w:gridCol w:w="2160"/>
      </w:tblGrid>
      <w:tr w:rsidR="007F3CB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Entry Model</w:t>
            </w:r>
          </w:p>
        </w:tc>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Control</w:t>
            </w:r>
          </w:p>
        </w:tc>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Speed</w:t>
            </w:r>
          </w:p>
        </w:tc>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Tax Efficiency</w:t>
            </w:r>
          </w:p>
        </w:tc>
        <w:tc>
          <w:tcPr>
            <w:tcW w:w="21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Regulatory Risk</w:t>
            </w:r>
          </w:p>
        </w:tc>
      </w:tr>
      <w:tr w:rsidR="007F3CB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Private Limited Co. (Ltd)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High</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1-2 weeks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High (independent CT)</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Low</w:t>
            </w:r>
          </w:p>
        </w:tc>
      </w:tr>
      <w:tr w:rsidR="007F3CB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Joint Venture</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Shared</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4-8 weeks</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High</w:t>
            </w:r>
          </w:p>
        </w:tc>
        <w:tc>
          <w:tcPr>
            <w:tcW w:w="21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Low-Medium</w:t>
            </w:r>
          </w:p>
        </w:tc>
      </w:tr>
      <w:tr w:rsidR="007F3CB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Australian Establishment (Branch)</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High</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2-4 weeks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Medium (exposes parent)</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Medium</w:t>
            </w:r>
          </w:p>
        </w:tc>
      </w:tr>
      <w:tr w:rsidR="007F3CB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LLP</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High</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1-2 weeks</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Tax-transparent</w:t>
            </w:r>
          </w:p>
        </w:tc>
        <w:tc>
          <w:tcPr>
            <w:tcW w:w="21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Low (regulated firms)</w:t>
            </w:r>
          </w:p>
        </w:tc>
      </w:tr>
      <w:tr w:rsidR="007F3CB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Acquisition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High</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3-9 months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Variable</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Medium-High (NSIA)</w:t>
            </w:r>
          </w:p>
        </w:tc>
      </w:tr>
    </w:tbl>
    <w:p w:rsidR="007F3CB1" w:rsidRDefault="002104A6">
      <w:r>
        <w:br w:type="page"/>
      </w:r>
    </w:p>
    <w:p w:rsidR="007F3CB1" w:rsidRDefault="002104A6">
      <w:pPr>
        <w:pStyle w:val="Heading1"/>
      </w:pPr>
      <w:bookmarkStart w:id="15" w:name="_Toc230446454"/>
      <w:r>
        <w:lastRenderedPageBreak/>
        <w:t>5. Legal and Regulatory Framework</w:t>
      </w:r>
      <w:bookmarkEnd w:id="15"/>
    </w:p>
    <w:p w:rsidR="007F3CB1" w:rsidRDefault="002104A6">
      <w:pPr>
        <w:pStyle w:val="Heading2"/>
      </w:pPr>
      <w:bookmarkStart w:id="16" w:name="_Toc230446455"/>
      <w:r>
        <w:t>5.1 Overview of the Legal System</w:t>
      </w:r>
      <w:bookmarkEnd w:id="16"/>
    </w:p>
    <w:p w:rsidR="007F3CB1" w:rsidRDefault="002104A6">
      <w:pPr>
        <w:spacing w:after="120" w:line="276" w:lineRule="auto"/>
      </w:pPr>
      <w:r>
        <w:t xml:space="preserve">Australian operates </w:t>
      </w:r>
      <w:r>
        <w:t>under a common law legal system (England and Wales; Scotland follows a mixed civil/common law system; Northern Ireland follows common law). Key business laws include the Corporations Act 2001, the Corporate Income Tax Act 2010, the Income Tax Act 2007, the</w:t>
      </w:r>
      <w:r>
        <w:t xml:space="preserve"> Value Added Tax Act 1994, the Employment Rights Act 1996, the Equality Act 2010, the Privacy Act 1988 and Data Protection Act 2018, the Bribery Act 2010, the National Security and Investment Act 2021, and the Economic Crime and Corporate Transparency Act </w:t>
      </w:r>
      <w:r>
        <w:t>2023.</w:t>
      </w:r>
    </w:p>
    <w:p w:rsidR="007F3CB1" w:rsidRDefault="002104A6">
      <w:pPr>
        <w:pStyle w:val="Heading2"/>
      </w:pPr>
      <w:bookmarkStart w:id="17" w:name="_Toc230446456"/>
      <w:r>
        <w:t>5.2 Key Regulatory Bodies</w:t>
      </w:r>
      <w:bookmarkEnd w:id="17"/>
    </w:p>
    <w:p w:rsidR="007F3CB1" w:rsidRDefault="002104A6">
      <w:pPr>
        <w:spacing w:after="120" w:line="276" w:lineRule="auto"/>
      </w:pPr>
      <w:r>
        <w:t>ASIC - corporate registry and filings. His Majesty's Revenue and Customs (ATO) - tax administration. Reserve Bank of Australia and Prudential Regulation Authority (PRA) - financial stability and prudential regulation. Financ</w:t>
      </w:r>
      <w:r>
        <w:t>ial Conduct Authority (ASIC and APRA) - conduct regulation for financial services. Information Commissioner's Office (OAIC) - data protection. Competition and Markets Authority (CMA) - competition regulation. Investment Security Unit (Cabinet Office) - NSI</w:t>
      </w:r>
      <w:r>
        <w:t>A notifications. Insolvency Service - corporate insolvency oversight. The Pensions Regulator (TPR) - workplace pension oversight.</w:t>
      </w:r>
    </w:p>
    <w:p w:rsidR="007F3CB1" w:rsidRDefault="002104A6">
      <w:pPr>
        <w:pStyle w:val="Heading2"/>
      </w:pPr>
      <w:bookmarkStart w:id="18" w:name="_Toc230446457"/>
      <w:r>
        <w:t>5.3 Competition, Consumer Protection, and Data Privacy</w:t>
      </w:r>
      <w:bookmarkEnd w:id="18"/>
    </w:p>
    <w:p w:rsidR="007F3CB1" w:rsidRDefault="002104A6">
      <w:pPr>
        <w:spacing w:after="120" w:line="276" w:lineRule="auto"/>
      </w:pPr>
      <w:r>
        <w:t>The Enterprise Act 2002 and Competition Act 1998 govern competition and</w:t>
      </w:r>
      <w:r>
        <w:t xml:space="preserve"> merger control, administered by the CMA. The Consumer Rights Act 2015 establishes consumer protection standards. The Privacy Act 1988 (a UK-specific version of the EU GDPR retained post-Brexit) and the Data Protection Act 2018 govern personal data process</w:t>
      </w:r>
      <w:r>
        <w:t xml:space="preserve">ing, with the OAIC as the supervisory authority. Mandatory requirements include lawful processing bases, data subject rights (access, rectification, erasure, portability), breach notification within 72 hours, and Data Protection Impact Assessments (DPIAs) </w:t>
      </w:r>
      <w:r>
        <w:t>for high-risk processing.</w:t>
      </w:r>
    </w:p>
    <w:p w:rsidR="007F3CB1" w:rsidRDefault="002104A6">
      <w:r>
        <w:br w:type="page"/>
      </w:r>
    </w:p>
    <w:p w:rsidR="007F3CB1" w:rsidRDefault="002104A6">
      <w:pPr>
        <w:pStyle w:val="Heading1"/>
      </w:pPr>
      <w:bookmarkStart w:id="19" w:name="_Toc230446458"/>
      <w:r>
        <w:lastRenderedPageBreak/>
        <w:t>6. Business Structures for Foreign Investors</w:t>
      </w:r>
      <w:bookmarkEnd w:id="19"/>
    </w:p>
    <w:p w:rsidR="007F3CB1" w:rsidRDefault="002104A6">
      <w:pPr>
        <w:pStyle w:val="Heading2"/>
      </w:pPr>
      <w:bookmarkStart w:id="20" w:name="_Toc230446459"/>
      <w:r>
        <w:t>6.1 Available Business Vehicles</w:t>
      </w:r>
      <w:bookmarkEnd w:id="20"/>
    </w:p>
    <w:p w:rsidR="007F3CB1" w:rsidRDefault="002104A6">
      <w:pPr>
        <w:spacing w:after="120" w:line="276" w:lineRule="auto"/>
      </w:pPr>
      <w:r>
        <w:t>Foreign investors may choose from: Private Company Limited by Shares (Ltd) - most common, with no minimum capital; Public Limited Company (PLC) - requi</w:t>
      </w:r>
      <w:r>
        <w:t>red for stock market listing, minimum AUD 50,000 share capital with at least 25% paid-up; Australian Establishment (formerly Overseas Branch) of an overseas company; Limited Liability Partnership (LLP) - hybrid of partnership and limited company; Limited P</w:t>
      </w:r>
      <w:r>
        <w:t>artnership; Company Limited by Guarantee (typically for non-profits); Sole Trader (for individuals); and Community Interest Company (CIC) for social enterprises.</w:t>
      </w:r>
    </w:p>
    <w:p w:rsidR="007F3CB1" w:rsidRDefault="002104A6">
      <w:pPr>
        <w:pStyle w:val="Heading2"/>
      </w:pPr>
      <w:bookmarkStart w:id="21" w:name="_Toc230446460"/>
      <w:r>
        <w:t>6.2 Comparative Table of Structures</w:t>
      </w:r>
      <w:bookmarkEnd w:id="21"/>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1920"/>
        <w:gridCol w:w="1920"/>
        <w:gridCol w:w="1920"/>
      </w:tblGrid>
      <w:tr w:rsidR="007F3CB1">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Feature</w:t>
            </w:r>
          </w:p>
        </w:tc>
        <w:tc>
          <w:tcPr>
            <w:tcW w:w="19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Ltd (Subsidiary)</w:t>
            </w:r>
          </w:p>
        </w:tc>
        <w:tc>
          <w:tcPr>
            <w:tcW w:w="192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Australian Establishment</w:t>
            </w:r>
          </w:p>
        </w:tc>
        <w:tc>
          <w:tcPr>
            <w:tcW w:w="192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LLP</w:t>
            </w:r>
          </w:p>
        </w:tc>
        <w:tc>
          <w:tcPr>
            <w:tcW w:w="192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PLC</w:t>
            </w:r>
          </w:p>
        </w:tc>
      </w:tr>
      <w:tr w:rsidR="007F3CB1">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Legal Personality</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Separate entity</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Extension of parent</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Separate entity</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Separate entity</w:t>
            </w:r>
          </w:p>
        </w:tc>
      </w:tr>
      <w:tr w:rsidR="007F3CB1">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Liability</w:t>
            </w:r>
          </w:p>
        </w:tc>
        <w:tc>
          <w:tcPr>
            <w:tcW w:w="19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Limited to capital</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Parent liable</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Limited to contribution</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Limited to capital</w:t>
            </w:r>
          </w:p>
        </w:tc>
      </w:tr>
      <w:tr w:rsidR="007F3CB1">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Min. Capital</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No minimum (AUD 1)</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N/A</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No minimum</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AUD 50,000 (25% paid)</w:t>
            </w:r>
          </w:p>
        </w:tc>
      </w:tr>
      <w:tr w:rsidR="007F3CB1">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 xml:space="preserve">Tax </w:t>
            </w:r>
            <w:r>
              <w:t>Treatment</w:t>
            </w:r>
          </w:p>
        </w:tc>
        <w:tc>
          <w:tcPr>
            <w:tcW w:w="19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Australian CT 19-25%</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Australian CT on Australian profits</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Tax-transparent</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Australian CT 19-25%</w:t>
            </w:r>
          </w:p>
        </w:tc>
      </w:tr>
      <w:tr w:rsidR="007F3CB1">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Number of Members</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1+ shareholder</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N/A</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2+ partners</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1+ shareholder</w:t>
            </w:r>
          </w:p>
        </w:tc>
      </w:tr>
      <w:tr w:rsidR="007F3CB1">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Public Filings</w:t>
            </w:r>
          </w:p>
        </w:tc>
        <w:tc>
          <w:tcPr>
            <w:tcW w:w="19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Accounts + CS</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Accounts + parent's</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Accounts + CS</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Detailed accounts</w:t>
            </w:r>
          </w:p>
        </w:tc>
      </w:tr>
      <w:tr w:rsidR="007F3CB1">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Suitable For</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Most businesses</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Cost-light entry</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Professional services</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Capital raising</w:t>
            </w:r>
          </w:p>
        </w:tc>
      </w:tr>
    </w:tbl>
    <w:p w:rsidR="007F3CB1" w:rsidRDefault="002104A6">
      <w:pPr>
        <w:spacing w:after="120" w:line="276" w:lineRule="auto"/>
      </w:pPr>
      <w:r>
        <w:t xml:space="preserve">Note: Most Indian businesses opt for a Private Limited Company (Ltd) for its limited liability, separate legal personality, ease of incorporation, and credibility with </w:t>
      </w:r>
      <w:r>
        <w:t>Australian counterparts.</w:t>
      </w:r>
    </w:p>
    <w:p w:rsidR="007F3CB1" w:rsidRDefault="002104A6">
      <w:r>
        <w:br w:type="page"/>
      </w:r>
    </w:p>
    <w:p w:rsidR="007F3CB1" w:rsidRDefault="002104A6">
      <w:pPr>
        <w:pStyle w:val="Heading1"/>
      </w:pPr>
      <w:bookmarkStart w:id="22" w:name="_Toc230446461"/>
      <w:r>
        <w:lastRenderedPageBreak/>
        <w:t>7. Foreign Investment Rules and Exchange Control</w:t>
      </w:r>
      <w:bookmarkEnd w:id="22"/>
    </w:p>
    <w:p w:rsidR="007F3CB1" w:rsidRDefault="002104A6">
      <w:pPr>
        <w:pStyle w:val="Heading2"/>
      </w:pPr>
      <w:bookmarkStart w:id="23" w:name="_Toc230446462"/>
      <w:r>
        <w:t>7.1 FDI Regime Overview</w:t>
      </w:r>
      <w:bookmarkEnd w:id="23"/>
    </w:p>
    <w:p w:rsidR="007F3CB1" w:rsidRDefault="002104A6">
      <w:pPr>
        <w:spacing w:after="120" w:line="276" w:lineRule="auto"/>
      </w:pPr>
      <w:r>
        <w:t>Australian does not maintain a general foreign investment screening regime. There are no sector caps on foreign equity ownership in most industries. However</w:t>
      </w:r>
      <w:r>
        <w:t>, the Foreign Acquisitions and Takeovers Act 1975 and FIRB regulations, in force since January 2022, requires mandatory pre-completion notification for acquisitions of qualifying entities in sensitive sectors. The Investment Security Unit reviews notificat</w:t>
      </w:r>
      <w:r>
        <w:t>ions within 30 working days (extendable). Voluntary notifications can be made for transactions outside the mandatory regime that may raise national security concerns.</w:t>
      </w:r>
    </w:p>
    <w:p w:rsidR="007F3CB1" w:rsidRDefault="002104A6">
      <w:pPr>
        <w:pStyle w:val="Heading2"/>
      </w:pPr>
      <w:bookmarkStart w:id="24" w:name="_Toc230446463"/>
      <w:r>
        <w:t>7.2 Key Conditions for Foreign Shareholders</w:t>
      </w:r>
      <w:bookmarkEnd w:id="24"/>
    </w:p>
    <w:p w:rsidR="007F3CB1" w:rsidRDefault="002104A6">
      <w:pPr>
        <w:spacing w:after="120" w:line="276" w:lineRule="auto"/>
      </w:pPr>
      <w:r>
        <w:t xml:space="preserve">Foreign nationals and companies can own 100% </w:t>
      </w:r>
      <w:r>
        <w:t xml:space="preserve">of Australian companies in nearly all sectors. There is certain Australian entities require at least one resident Australian director or shareholders, although companies must have at least one natural person director aged 16+. There are no restrictions on </w:t>
      </w:r>
      <w:r>
        <w:t>foreign ownership of Australian real estate (though Stamp Duty Land Tax surcharges apply). Note that all directors must verify their identity through the GOV.Australian One Login system under the Economic Crime and Corporate Transparency Act 2023, which be</w:t>
      </w:r>
      <w:r>
        <w:t>came mandatory for new directors from November 2025.</w:t>
      </w:r>
    </w:p>
    <w:p w:rsidR="007F3CB1" w:rsidRDefault="002104A6">
      <w:pPr>
        <w:pStyle w:val="Heading2"/>
      </w:pPr>
      <w:bookmarkStart w:id="25" w:name="_Toc230446464"/>
      <w:r>
        <w:t>7.3 Foreign Exchange Regulations</w:t>
      </w:r>
      <w:bookmarkEnd w:id="25"/>
    </w:p>
    <w:p w:rsidR="007F3CB1" w:rsidRDefault="002104A6">
      <w:pPr>
        <w:spacing w:after="120" w:line="276" w:lineRule="auto"/>
      </w:pPr>
      <w:r>
        <w:t>Australian has no exchange controls. The Pound Sterling is freely convertible. Capital can flow freely in and out of Australian without restriction. Profits, dividends, a</w:t>
      </w:r>
      <w:r>
        <w:t xml:space="preserve">nd capital can be repatriated to India without Australian regulatory approval, subject to applicable tax and Indian FEMA compliance. Australian banks operate to standard KYC/AML requirements and may scrutinize large or unusual cross-border flows under the </w:t>
      </w:r>
      <w:r>
        <w:t>Money Laundering Regulations 2017 (as amended).</w:t>
      </w:r>
    </w:p>
    <w:p w:rsidR="007F3CB1" w:rsidRDefault="002104A6">
      <w:r>
        <w:br w:type="page"/>
      </w:r>
    </w:p>
    <w:p w:rsidR="007F3CB1" w:rsidRDefault="002104A6">
      <w:pPr>
        <w:pStyle w:val="Heading1"/>
      </w:pPr>
      <w:bookmarkStart w:id="26" w:name="_Toc230446465"/>
      <w:r>
        <w:lastRenderedPageBreak/>
        <w:t>8. Step-by-Step Incorporation &amp; Registration Process</w:t>
      </w:r>
      <w:bookmarkEnd w:id="26"/>
    </w:p>
    <w:p w:rsidR="007F3CB1" w:rsidRDefault="002104A6">
      <w:pPr>
        <w:pStyle w:val="Heading2"/>
      </w:pPr>
      <w:bookmarkStart w:id="27" w:name="_Toc230446466"/>
      <w:r>
        <w:t>8.1 Pre-Incorporation Planning</w:t>
      </w:r>
      <w:bookmarkEnd w:id="27"/>
    </w:p>
    <w:p w:rsidR="007F3CB1" w:rsidRDefault="002104A6">
      <w:pPr>
        <w:spacing w:after="120" w:line="276" w:lineRule="auto"/>
      </w:pPr>
      <w:r>
        <w:t>Before incorporation, plan the following: (a) Verify name availability through ASIC WebCheck and check IPO trademark regis</w:t>
      </w:r>
      <w:r>
        <w:t>ter for conflicts; (b) Decide entity type (Ltd is most common); (c) Identify directors (minimum one natural person aged 16+, no Australian residency requirement); (d) Identify shareholders and Persons with Significant Control (PSCs - those owning 25%+ shar</w:t>
      </w:r>
      <w:r>
        <w:t>es/voting rights); (e) Determine Australian registered office address (a virtual office is acceptable; PO Boxes no longer permitted under ECCTA 2023); (f) Prepare Memorandum and Articles of Association (model articles available from GOV.UK); (g) Complete i</w:t>
      </w:r>
      <w:r>
        <w:t>dentity verification for all directors via GOV.Australian One Login (mandatory from November 2025).</w:t>
      </w:r>
    </w:p>
    <w:p w:rsidR="007F3CB1" w:rsidRDefault="002104A6">
      <w:pPr>
        <w:pStyle w:val="Heading2"/>
      </w:pPr>
      <w:bookmarkStart w:id="28" w:name="_Toc230446467"/>
      <w:r>
        <w:t>8.2 Step-by-Step Incorporation Workflow</w:t>
      </w:r>
      <w:bookmarkEnd w:id="28"/>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3"/>
        <w:gridCol w:w="4329"/>
        <w:gridCol w:w="1794"/>
        <w:gridCol w:w="2584"/>
      </w:tblGrid>
      <w:tr w:rsidR="007F3CB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Step</w:t>
            </w:r>
          </w:p>
        </w:tc>
        <w:tc>
          <w:tcPr>
            <w:tcW w:w="43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Activity</w:t>
            </w:r>
          </w:p>
        </w:tc>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Timeline</w:t>
            </w:r>
          </w:p>
        </w:tc>
        <w:tc>
          <w:tcPr>
            <w:tcW w:w="2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Authority</w:t>
            </w:r>
          </w:p>
        </w:tc>
      </w:tr>
      <w:tr w:rsidR="007F3CB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Identity verification via GOV.Australian One Login (all directors)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1-3 days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GOV.UK</w:t>
            </w:r>
          </w:p>
        </w:tc>
      </w:tr>
      <w:tr w:rsidR="007F3CB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ASIC name search and SIC code selection</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Same day</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ASIC</w:t>
            </w:r>
          </w:p>
        </w:tc>
      </w:tr>
      <w:tr w:rsidR="007F3CB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Prepare Memorandum and Articles of Association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1-3 days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Self/Agent</w:t>
            </w:r>
          </w:p>
        </w:tc>
      </w:tr>
      <w:tr w:rsidR="007F3CB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4</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File IN01 incorporation form online with AUD 50 fee</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Same day</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ASIC</w:t>
            </w:r>
          </w:p>
        </w:tc>
      </w:tr>
      <w:tr w:rsidR="007F3CB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5</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Receive Certificate of Incorporation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 xml:space="preserve">Within 24 </w:t>
            </w:r>
            <w:r>
              <w:t>hours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ASIC</w:t>
            </w:r>
          </w:p>
        </w:tc>
      </w:tr>
      <w:tr w:rsidR="007F3CB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6</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Receive Company UTR from ATO (auto-issued)</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1-2 weeks (post)</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7</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Open Australian business bank account (often the longest step)</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2-8 weeks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Australian Bank</w:t>
            </w:r>
          </w:p>
        </w:tc>
      </w:tr>
      <w:tr w:rsidR="007F3CB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8</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Register for Corporate Income Tax with ATO (within 3 months of trading)</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 xml:space="preserve">Within 3 </w:t>
            </w:r>
            <w:r>
              <w:t>months</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Register for GST (mandatory if turnover &gt; AUD 90,000)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Within 30 days of threshold</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10</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Register as employer for PAYG (if hiring staff)</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Before first payday</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11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Set up workplace pension scheme (if employing staff)</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Within 6 weeks of first</w:t>
            </w:r>
            <w:r>
              <w:t xml:space="preserve"> hire</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TPR</w:t>
            </w:r>
          </w:p>
        </w:tc>
      </w:tr>
      <w:tr w:rsidR="007F3CB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12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NSIA notification (if in sensitive sector)</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Pre-completion</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ISU</w:t>
            </w:r>
          </w:p>
        </w:tc>
      </w:tr>
    </w:tbl>
    <w:p w:rsidR="007F3CB1" w:rsidRDefault="002104A6">
      <w:r>
        <w:br w:type="page"/>
      </w:r>
    </w:p>
    <w:p w:rsidR="007F3CB1" w:rsidRDefault="002104A6">
      <w:pPr>
        <w:pStyle w:val="Heading1"/>
      </w:pPr>
      <w:bookmarkStart w:id="29" w:name="_Toc230446468"/>
      <w:r>
        <w:lastRenderedPageBreak/>
        <w:t>9. Licenses, Approvals, and Sector-Specific Requirements</w:t>
      </w:r>
      <w:bookmarkEnd w:id="29"/>
    </w:p>
    <w:p w:rsidR="007F3CB1" w:rsidRDefault="002104A6">
      <w:pPr>
        <w:pStyle w:val="Heading2"/>
      </w:pPr>
      <w:bookmarkStart w:id="30" w:name="_Toc230446469"/>
      <w:r>
        <w:t>9.1 Common Cross-Sector Requirements</w:t>
      </w:r>
      <w:bookmarkEnd w:id="30"/>
    </w:p>
    <w:p w:rsidR="007F3CB1" w:rsidRDefault="002104A6">
      <w:pPr>
        <w:spacing w:after="120" w:line="276" w:lineRule="auto"/>
      </w:pPr>
      <w:r>
        <w:t xml:space="preserve">Most Australian businesses do not require a general business license to operate. </w:t>
      </w:r>
      <w:r>
        <w:t>Standard requirements for all companies include: ASIC registration, ATO tax registrations (Corporate Income Tax, GST if applicable, PAYG if employing), workplace pension scheme registration, Information Commissioner's Office (OAIC) registration if processi</w:t>
      </w:r>
      <w:r>
        <w:t>ng personal data and turnover exceeds AUD 632,000, and employers' liability insurance (compulsory if hiring employees, minimum AUD 5 million cover).</w:t>
      </w:r>
    </w:p>
    <w:p w:rsidR="007F3CB1" w:rsidRDefault="002104A6">
      <w:pPr>
        <w:pStyle w:val="Heading2"/>
      </w:pPr>
      <w:bookmarkStart w:id="31" w:name="_Toc230446470"/>
      <w:r>
        <w:t>9.2 Sector-Specific Approvals</w:t>
      </w:r>
      <w:bookmarkEnd w:id="31"/>
    </w:p>
    <w:p w:rsidR="007F3CB1" w:rsidRDefault="002104A6">
      <w:pPr>
        <w:spacing w:after="120" w:line="276" w:lineRule="auto"/>
      </w:pPr>
      <w:r>
        <w:t>Financial services: ASIC and APRA authorization (and PRA for banks/insurers).</w:t>
      </w:r>
      <w:r>
        <w:t xml:space="preserve"> Healthcare/pharma: MHRA authorization for medicines/medical devices, CQC registration for healthcare providers in England. Legal services: SRA (solicitors), BSB (barristers). Education: Ofsted registration. Telecoms: Ofcom registration. Gambling: Gambling</w:t>
      </w:r>
      <w:r>
        <w:t xml:space="preserve"> Commission. Food and beverage: FSA registration. Energy: Ofgem authorization. Aviation: CAA. Defense and dual-use exports: Export Control Joint Unit. Crypto/digital assets: ASIC and APRA registration as a cryptoasset business. Construction: CIS registrati</w:t>
      </w:r>
      <w:r>
        <w:t>on for contractors and subcontractors.</w:t>
      </w:r>
    </w:p>
    <w:p w:rsidR="007F3CB1" w:rsidRDefault="002104A6">
      <w:r>
        <w:br w:type="page"/>
      </w:r>
    </w:p>
    <w:p w:rsidR="007F3CB1" w:rsidRDefault="002104A6">
      <w:pPr>
        <w:pStyle w:val="Heading1"/>
      </w:pPr>
      <w:bookmarkStart w:id="32" w:name="_Toc230446471"/>
      <w:r>
        <w:lastRenderedPageBreak/>
        <w:t>10. Taxation and Incentives</w:t>
      </w:r>
      <w:bookmarkEnd w:id="32"/>
    </w:p>
    <w:p w:rsidR="007F3CB1" w:rsidRDefault="002104A6">
      <w:pPr>
        <w:pStyle w:val="Heading2"/>
      </w:pPr>
      <w:bookmarkStart w:id="33" w:name="_Toc230446472"/>
      <w:r>
        <w:t>10.1 Overview of the Tax System</w:t>
      </w:r>
      <w:bookmarkEnd w:id="33"/>
    </w:p>
    <w:p w:rsidR="007F3CB1" w:rsidRDefault="002104A6">
      <w:pPr>
        <w:spacing w:after="120" w:line="276" w:lineRule="auto"/>
      </w:pPr>
      <w:r>
        <w:t>Australian tax system is administered by HM Revenue and Customs (ATO). The main taxes affecting businesses are Corporate Income Tax, Value Added Tax (GST),</w:t>
      </w:r>
      <w:r>
        <w:t xml:space="preserve"> Pay As You Earn (PAYG) Income Tax and Superannuation (12%) Contributions on payroll, Business Rates (local property tax), Stamp Duty Land Tax on property purchases, Stamp Duty on share transfers, and various sector-specific levies. Australian operates a s</w:t>
      </w:r>
      <w:r>
        <w:t>elf-assessment system with ATO digital tax lodgement systems extending digital reporting requirements progressively.</w:t>
      </w:r>
    </w:p>
    <w:p w:rsidR="007F3CB1" w:rsidRDefault="002104A6">
      <w:pPr>
        <w:pStyle w:val="Heading2"/>
      </w:pPr>
      <w:bookmarkStart w:id="34" w:name="_Toc230446473"/>
      <w:r>
        <w:t>10.2 Corporate Income Tax</w:t>
      </w:r>
      <w:bookmarkEnd w:id="34"/>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960"/>
      </w:tblGrid>
      <w:tr w:rsidR="007F3CB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Profit Band (FY 2025-26)</w:t>
            </w:r>
          </w:p>
        </w:tc>
        <w:tc>
          <w:tcPr>
            <w:tcW w:w="2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Tax Rate</w:t>
            </w:r>
          </w:p>
        </w:tc>
        <w:tc>
          <w:tcPr>
            <w:tcW w:w="39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Notes</w:t>
            </w:r>
          </w:p>
        </w:tc>
      </w:tr>
      <w:tr w:rsidR="007F3CB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Up to AUD 50,000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25% Base Rate Entity (BRE) Rate)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 xml:space="preserve">Available to </w:t>
            </w:r>
            <w:r>
              <w:t>Australian-resident companies; not available to close investment holding companies</w:t>
            </w:r>
          </w:p>
        </w:tc>
      </w:tr>
      <w:tr w:rsidR="007F3CB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AUD 50,001 - AUD 250,000</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BRE Test band</w:t>
            </w:r>
          </w:p>
        </w:tc>
        <w:tc>
          <w:tcPr>
            <w:tcW w:w="39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Effective rate tapers from 19% to 25%; effective marginal rate ~26.5% in this band</w:t>
            </w:r>
          </w:p>
        </w:tc>
      </w:tr>
      <w:tr w:rsidR="007F3CB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Above AUD 250,000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30% Standard Rate)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 xml:space="preserve">Standard </w:t>
            </w:r>
            <w:r>
              <w:t>rate for larger companies</w:t>
            </w:r>
          </w:p>
        </w:tc>
      </w:tr>
      <w:tr w:rsidR="007F3CB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Non-Australian companies (no PE)</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25%</w:t>
            </w:r>
          </w:p>
        </w:tc>
        <w:tc>
          <w:tcPr>
            <w:tcW w:w="39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Not eligible for small profits rate or marginal relief</w:t>
            </w:r>
          </w:p>
        </w:tc>
      </w:tr>
      <w:tr w:rsidR="007F3CB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Patent Box income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10% effective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For profits attributable to patented inventions</w:t>
            </w:r>
          </w:p>
        </w:tc>
      </w:tr>
    </w:tbl>
    <w:p w:rsidR="007F3CB1" w:rsidRDefault="002104A6">
      <w:pPr>
        <w:spacing w:after="120" w:line="276" w:lineRule="auto"/>
      </w:pPr>
      <w:r>
        <w:t xml:space="preserve">Important: The AUD 50,000 and AUD 250,000 thresholds </w:t>
      </w:r>
      <w:r>
        <w:t>are divided by the number of associated companies plus one. If your Indian parent has multiple subsidiaries (Australian or worldwide) under common control, this materially affects the rate that applies. Rates remain unchanged at 19%/25% for FY 2026-27.</w:t>
      </w:r>
    </w:p>
    <w:p w:rsidR="007F3CB1" w:rsidRDefault="002104A6">
      <w:pPr>
        <w:pStyle w:val="Heading2"/>
      </w:pPr>
      <w:bookmarkStart w:id="35" w:name="_Toc230446474"/>
      <w:r>
        <w:t>10.</w:t>
      </w:r>
      <w:r>
        <w:t>3 Value Added Tax (GST)</w:t>
      </w:r>
      <w:bookmarkEnd w:id="35"/>
    </w:p>
    <w:p w:rsidR="007F3CB1" w:rsidRDefault="002104A6">
      <w:pPr>
        <w:spacing w:after="120" w:line="276" w:lineRule="auto"/>
      </w:pPr>
      <w:r>
        <w:t>Standard GST rate is 20%, reduced rate of 5% (for certain items like domestic energy, children's car seats), and zero rate (basic food, books, children's clothing). GST registration is mandatory if taxable turnover in any rolling 12</w:t>
      </w:r>
      <w:r>
        <w:t>-month period exceeds AUD 90,000, or if you expect to exceed it in the next 30 days. Voluntary registration is permitted below the threshold. Registered businesses charge output GST on sales and reclaim input GST on purchases. Quarterly GST returns must be</w:t>
      </w:r>
      <w:r>
        <w:t xml:space="preserve"> filed under ATO digital tax lodgement systems, with payment due 1 month and 7 days after the period end.</w:t>
      </w:r>
    </w:p>
    <w:p w:rsidR="007F3CB1" w:rsidRDefault="002104A6">
      <w:pPr>
        <w:pStyle w:val="Heading2"/>
      </w:pPr>
      <w:bookmarkStart w:id="36" w:name="_Toc230446475"/>
      <w:r>
        <w:t>10.4 Withholding Tax Rates</w:t>
      </w:r>
      <w:bookmarkEnd w:id="36"/>
    </w:p>
    <w:p w:rsidR="007F3CB1" w:rsidRDefault="007F3CB1">
      <w:pPr>
        <w:spacing w:after="8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7F3CB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Payment Type</w:t>
            </w:r>
          </w:p>
        </w:tc>
        <w:tc>
          <w:tcPr>
            <w:tcW w:w="2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Australian Domestic Rate</w:t>
            </w:r>
          </w:p>
        </w:tc>
        <w:tc>
          <w:tcPr>
            <w:tcW w:w="37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Rate to Indian Resident (DTAA)</w:t>
            </w:r>
          </w:p>
        </w:tc>
      </w:tr>
      <w:tr w:rsidR="007F3CB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lastRenderedPageBreak/>
              <w:t>Dividends from Australian Ltd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 xml:space="preserve">0% (no Australian WHT </w:t>
            </w:r>
            <w:r>
              <w:t>on dividends)</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0% in UK; taxable in India at slab/CT rate</w:t>
            </w:r>
          </w:p>
        </w:tc>
      </w:tr>
      <w:tr w:rsidR="007F3CB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Interest</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20% (with exceptions)</w:t>
            </w:r>
          </w:p>
        </w:tc>
        <w:tc>
          <w:tcPr>
            <w:tcW w:w="3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10-15% under DTAA (10% for bank/FI loans)</w:t>
            </w:r>
          </w:p>
        </w:tc>
      </w:tr>
      <w:tr w:rsidR="007F3CB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Royalties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20%</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10-15% under DTAA (depending on type)</w:t>
            </w:r>
          </w:p>
        </w:tc>
      </w:tr>
      <w:tr w:rsidR="007F3CB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Fees for Technical Services</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No general WHT</w:t>
            </w:r>
          </w:p>
        </w:tc>
        <w:tc>
          <w:tcPr>
            <w:tcW w:w="3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 xml:space="preserve">10-15% under DTAA in some </w:t>
            </w:r>
            <w:r>
              <w:t>cases</w:t>
            </w:r>
          </w:p>
        </w:tc>
      </w:tr>
      <w:tr w:rsidR="007F3CB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Rent on Australian property (NRL)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20% under NRL Scheme</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Subject to NRL exemption certificate</w:t>
            </w:r>
          </w:p>
        </w:tc>
      </w:tr>
    </w:tbl>
    <w:p w:rsidR="007F3CB1" w:rsidRDefault="002104A6">
      <w:pPr>
        <w:pStyle w:val="Heading2"/>
      </w:pPr>
      <w:bookmarkStart w:id="37" w:name="_Toc230446476"/>
      <w:r>
        <w:t>10.5 Tax Incentives and Reliefs</w:t>
      </w:r>
      <w:bookmarkEnd w:id="37"/>
    </w:p>
    <w:p w:rsidR="007F3CB1" w:rsidRDefault="002104A6">
      <w:pPr>
        <w:spacing w:after="120" w:line="276" w:lineRule="auto"/>
      </w:pPr>
      <w:r>
        <w:t xml:space="preserve">Key incentives include: R&amp;D Tax Relief - Under the merged scheme (effective for accounting periods beginning on or after 1 </w:t>
      </w:r>
      <w:r>
        <w:t>April 2024), companies can claim a 20% above-the-line credit on qualifying R&amp;D expenditure (RDEC); enhanced R&amp;D-intensive support for loss-making SMEs spending 30%+ of expenditure on R&amp;D. Patent Box - 10% effective Corporate Income Tax rate on profits from</w:t>
      </w:r>
      <w:r>
        <w:t xml:space="preserve"> patented inventions and certain other IP. Annual Investment Allowance (AIA) - 100% deduction on qualifying plant and machinery up to AUD 1 million per year. Full Expensing - 100% first-year allowance on main rate plant and machinery (permanent for compani</w:t>
      </w:r>
      <w:r>
        <w:t>es). Capital Allowances - various rates on qualifying capital expenditure. Investment Zones - 12 designated zones offering Stamp Duty Land Tax relief, enhanced capital allowances, and Business Rates relief. Freeports - 8 designated zones offering customs b</w:t>
      </w:r>
      <w:r>
        <w:t>enefits, Stamp Duty relief, and enhanced capital allowances. Creative Industries Tax Reliefs - for film, TV, video games, theatre, orchestra, and museums.</w:t>
      </w:r>
    </w:p>
    <w:p w:rsidR="007F3CB1" w:rsidRDefault="002104A6">
      <w:r>
        <w:br w:type="page"/>
      </w:r>
    </w:p>
    <w:p w:rsidR="007F3CB1" w:rsidRDefault="002104A6">
      <w:pPr>
        <w:pStyle w:val="Heading1"/>
      </w:pPr>
      <w:bookmarkStart w:id="38" w:name="_Toc230446477"/>
      <w:r>
        <w:lastRenderedPageBreak/>
        <w:t>11. Banking, Finance, and Repatriation</w:t>
      </w:r>
      <w:bookmarkEnd w:id="38"/>
    </w:p>
    <w:p w:rsidR="007F3CB1" w:rsidRDefault="002104A6">
      <w:pPr>
        <w:pStyle w:val="Heading2"/>
      </w:pPr>
      <w:bookmarkStart w:id="39" w:name="_Toc230446478"/>
      <w:r>
        <w:t>11.1 Opening Corporate Bank Accounts</w:t>
      </w:r>
      <w:bookmarkEnd w:id="39"/>
    </w:p>
    <w:p w:rsidR="007F3CB1" w:rsidRDefault="002104A6">
      <w:pPr>
        <w:spacing w:after="120" w:line="276" w:lineRule="auto"/>
      </w:pPr>
      <w:r>
        <w:t xml:space="preserve">Opening a Australian </w:t>
      </w:r>
      <w:r>
        <w:t>business bank account can be challenging for foreign-owned entities, often taking 2-8 weeks. Required documents typically include: Certificate of Incorporation, Memorandum and Articles of Association, proof of identity for all directors and PSCs (typically</w:t>
      </w:r>
      <w:r>
        <w:t xml:space="preserve"> passport plus utility bill), proof of Australian registered office address, business plan and projected turnover, source of funds documentation, and details of expected transactions. Major Australian high-street banks include Barclays, HSBC, Lloyds, NatWe</w:t>
      </w:r>
      <w:r>
        <w:t>st, and Santander. Digital alternatives popular with startups include Wise Business, Tide, Starling Bank, Monzo Business, Revolut Business, and ANNA Money - these can be set up much faster (often days).</w:t>
      </w:r>
    </w:p>
    <w:p w:rsidR="007F3CB1" w:rsidRDefault="002104A6">
      <w:pPr>
        <w:pStyle w:val="Heading2"/>
      </w:pPr>
      <w:bookmarkStart w:id="40" w:name="_Toc230446479"/>
      <w:r>
        <w:t>11.2 Funding Options</w:t>
      </w:r>
      <w:bookmarkEnd w:id="40"/>
    </w:p>
    <w:p w:rsidR="007F3CB1" w:rsidRDefault="002104A6">
      <w:pPr>
        <w:spacing w:after="120" w:line="276" w:lineRule="auto"/>
      </w:pPr>
      <w:r>
        <w:t>Australian companies have divers</w:t>
      </w:r>
      <w:r>
        <w:t>e funding options: equity from Indian parent (through ODI), shareholder loans (subject to Australian transfer pricing and thin capitalization rules), Australian bank lending (typically requires trading history), venture capital (Australian is Europe's larg</w:t>
      </w:r>
      <w:r>
        <w:t>est VC market), angel investors, government-backed schemes (Start Up Loans, British Business Bank programs), the SEIS (Seed Enterprise Investment Scheme) and EIS (Enterprise Investment Scheme) which provide tax incentives to Australian individual investors</w:t>
      </w:r>
      <w:r>
        <w:t>, and crowdfunding platforms (Crowdcube, Seedrs).</w:t>
      </w:r>
    </w:p>
    <w:p w:rsidR="007F3CB1" w:rsidRDefault="002104A6">
      <w:pPr>
        <w:pStyle w:val="Heading2"/>
      </w:pPr>
      <w:bookmarkStart w:id="41" w:name="_Toc230446480"/>
      <w:r>
        <w:t>11.3 Repatriation Rules</w:t>
      </w:r>
      <w:bookmarkEnd w:id="41"/>
    </w:p>
    <w:p w:rsidR="007F3CB1" w:rsidRDefault="002104A6">
      <w:pPr>
        <w:spacing w:after="120" w:line="276" w:lineRule="auto"/>
      </w:pPr>
      <w:r>
        <w:t>Australian has no exchange controls. Profits and capital can be freely repatriated to India through dividends, intercompany loans, royalties, management fees, or capital reduction/sh</w:t>
      </w:r>
      <w:r>
        <w:t>are buyback. Importantly, Australian does NOT impose withholding tax on dividends paid by Australian companies (a major advantage compared to many other jurisdictions). However, the Indian parent must comply with Indian FEMA reporting requirements for inwa</w:t>
      </w:r>
      <w:r>
        <w:t>rd remittances and treat the income appropriately under Indian tax law. Interest, royalties, and other payments may attract Australian withholding tax (typically 20% reducible to 10-15% under the India-Australia DTAA).</w:t>
      </w:r>
    </w:p>
    <w:p w:rsidR="007F3CB1" w:rsidRDefault="002104A6">
      <w:r>
        <w:br w:type="page"/>
      </w:r>
    </w:p>
    <w:p w:rsidR="007F3CB1" w:rsidRDefault="002104A6">
      <w:pPr>
        <w:pStyle w:val="Heading1"/>
      </w:pPr>
      <w:bookmarkStart w:id="42" w:name="_Toc230446481"/>
      <w:r>
        <w:lastRenderedPageBreak/>
        <w:t>12. Employment, Immigration, and Pa</w:t>
      </w:r>
      <w:r>
        <w:t>yroll</w:t>
      </w:r>
      <w:bookmarkEnd w:id="42"/>
    </w:p>
    <w:p w:rsidR="007F3CB1" w:rsidRDefault="002104A6">
      <w:pPr>
        <w:pStyle w:val="Heading2"/>
      </w:pPr>
      <w:bookmarkStart w:id="43" w:name="_Toc230446482"/>
      <w:r>
        <w:t>12.1 Key Employment Laws</w:t>
      </w:r>
      <w:bookmarkEnd w:id="43"/>
    </w:p>
    <w:p w:rsidR="007F3CB1" w:rsidRDefault="002104A6">
      <w:pPr>
        <w:spacing w:after="120" w:line="276" w:lineRule="auto"/>
      </w:pPr>
      <w:r>
        <w:t>Australian employment law is governed primarily by the Employment Rights Act 1996, the Equality Act 2010, the Working Time Regulations 1998, and the National Minimum Wage Act 1998. Key provisions: maximum 48-hour week (employ</w:t>
      </w:r>
      <w:r>
        <w:t>ees may opt out individually); minimum 28 days paid annual leave (can include 8 bank holidays); statutory sick pay; statutory maternity, paternity, adoption and shared parental leave; minimum notice periods (1 week per year of service, max 12 weeks); statu</w:t>
      </w:r>
      <w:r>
        <w:t>tory redundancy pay (after 2 years service); and protection from discrimination on protected characteristics (age, disability, gender reassignment, marriage, pregnancy/maternity, race, religion, sex, sexual orientation). The National Minimum Wage (for thos</w:t>
      </w:r>
      <w:r>
        <w:t>e aged 21+) is AUD 12.21/hour from April 2025.</w:t>
      </w:r>
    </w:p>
    <w:p w:rsidR="007F3CB1" w:rsidRDefault="002104A6">
      <w:pPr>
        <w:pStyle w:val="Heading2"/>
      </w:pPr>
      <w:bookmarkStart w:id="44" w:name="_Toc230446483"/>
      <w:r>
        <w:t>12.2 Immigration and Work Authorization</w:t>
      </w:r>
      <w:bookmarkEnd w:id="44"/>
    </w:p>
    <w:p w:rsidR="007F3CB1" w:rsidRDefault="002104A6">
      <w:pPr>
        <w:spacing w:after="120" w:line="276" w:lineRule="auto"/>
      </w:pPr>
      <w:r>
        <w:t>Common visa routes for Indian nationals: (1) Skilled Worker Visa - requires sponsorship by a Australian employer holding a Sponsor Licence; minimum salary thresholds app</w:t>
      </w:r>
      <w:r>
        <w:t xml:space="preserve">ly; up to 5 years (renewable). (2) Senior or Specialist Worker Visa (Global Business Mobility) - for intra-company transfers from overseas group companies to a Australian linked entity; minimum salary AUD 48,500 or going rate. (3) Innovator Founder Visa - </w:t>
      </w:r>
      <w:r>
        <w:t>for entrepreneurs with an innovative business idea endorsed by an approved body. (4) Global Talent Visa - for leaders or potential leaders in academia, research, arts and culture, or digital technology. (5) Expansion Worker Visa - for senior employees of o</w:t>
      </w:r>
      <w:r>
        <w:t>verseas businesses establishing Australian presence. (6) High Potential Individual Visa - for graduates of top global universities. The UK-India Young Professionals Scheme allows young Indian nationals (18-30) to live and work in Australian for up to 2 yea</w:t>
      </w:r>
      <w:r>
        <w:t>rs.</w:t>
      </w:r>
    </w:p>
    <w:p w:rsidR="007F3CB1" w:rsidRDefault="002104A6">
      <w:pPr>
        <w:pStyle w:val="Heading2"/>
      </w:pPr>
      <w:bookmarkStart w:id="45" w:name="_Toc230446484"/>
      <w:r>
        <w:t>12.3 Payroll and HR Compliance</w:t>
      </w:r>
      <w:bookmarkEnd w:id="45"/>
    </w:p>
    <w:p w:rsidR="007F3CB1" w:rsidRDefault="002104A6">
      <w:pPr>
        <w:spacing w:after="120" w:line="276" w:lineRule="auto"/>
      </w:pPr>
      <w:r>
        <w:t xml:space="preserve">Employers must operate PAYG through ATO's Real Time Information (RTI) system, reporting employee pay and deductions on or before each payday. Key 2025-26 thresholds: employee personal allowance AUD 12,570; employer </w:t>
      </w:r>
      <w:r>
        <w:t>Superannuation (12%) Contributions at 15% on earnings above AUD 5,000/year (Secondary Threshold); employee NI at 8% above AUD 12,570; Employment Allowance up to AUD 10,500 reduces employer NI for eligible employers. Auto-enrolment workplace pension is mand</w:t>
      </w:r>
      <w:r>
        <w:t>atory for eligible workers - minimum 8% total contribution (3% employer, 5% employee). Annual Fringe Benefits Tax (FBT) for benefits in kind (Class 1A NI at 15%). Annual Employer Payment Summary and reconciliation.</w:t>
      </w:r>
    </w:p>
    <w:p w:rsidR="007F3CB1" w:rsidRDefault="002104A6">
      <w:r>
        <w:br w:type="page"/>
      </w:r>
    </w:p>
    <w:p w:rsidR="007F3CB1" w:rsidRDefault="002104A6">
      <w:pPr>
        <w:pStyle w:val="Heading1"/>
      </w:pPr>
      <w:bookmarkStart w:id="46" w:name="_Toc230446485"/>
      <w:r>
        <w:lastRenderedPageBreak/>
        <w:t>13. Intellectual Property, Data, and Te</w:t>
      </w:r>
      <w:r>
        <w:t>chnology</w:t>
      </w:r>
      <w:bookmarkEnd w:id="46"/>
    </w:p>
    <w:p w:rsidR="007F3CB1" w:rsidRDefault="002104A6">
      <w:pPr>
        <w:pStyle w:val="Heading2"/>
      </w:pPr>
      <w:bookmarkStart w:id="47" w:name="_Toc230446486"/>
      <w:r>
        <w:t>13.1 IP Protection</w:t>
      </w:r>
      <w:bookmarkEnd w:id="47"/>
    </w:p>
    <w:p w:rsidR="007F3CB1" w:rsidRDefault="002104A6">
      <w:pPr>
        <w:spacing w:after="120" w:line="276" w:lineRule="auto"/>
      </w:pPr>
      <w:r>
        <w:t xml:space="preserve">Australian Intellectual Property Office (IPO) administers IP rights. Trademark registration takes 4-6 months (10 years protection, renewable). Patent registration can take 4-5 years (20 years protection from filing). Registered </w:t>
      </w:r>
      <w:r>
        <w:t>Designs (5 years initially, renewable up to 25 years). Unregistered Design Right (10 years from first marketing). Copyright is automatic on creation. Australian is signatory to all major international IP treaties (Paris Convention, Berne Convention, PCT, M</w:t>
      </w:r>
      <w:r>
        <w:t>adrid Protocol, etc.). Additionally, EU trademarks and designs no longer cover Australian - separate Australian rights are required. Australian Patent Box offers a 10% effective Corporate Income Tax rate on profits from qualifying patents.</w:t>
      </w:r>
    </w:p>
    <w:p w:rsidR="007F3CB1" w:rsidRDefault="002104A6">
      <w:pPr>
        <w:pStyle w:val="Heading2"/>
      </w:pPr>
      <w:bookmarkStart w:id="48" w:name="_Toc230446487"/>
      <w:r>
        <w:t>13.2 Data Protec</w:t>
      </w:r>
      <w:r>
        <w:t>tion and Privacy</w:t>
      </w:r>
      <w:bookmarkEnd w:id="48"/>
    </w:p>
    <w:p w:rsidR="007F3CB1" w:rsidRDefault="002104A6">
      <w:pPr>
        <w:spacing w:after="120" w:line="276" w:lineRule="auto"/>
      </w:pPr>
      <w:r>
        <w:t>The Privacy Act 1988 (a UK-specific regime substantively mirroring the EU GDPR) and Data Protection Act 2018 govern personal data processing. Key requirements include: identifying a lawful basis for processing; transparent privacy notices;</w:t>
      </w:r>
      <w:r>
        <w:t xml:space="preserve"> data subject rights (access, rectification, erasure, portability, objection); data breach notification to OAIC within 72 hours; Data Protection Impact Assessments for high-risk processing; appointment of a Data Protection Officer where required; OAIC regi</w:t>
      </w:r>
      <w:r>
        <w:t>stration with annual fee (typically AUD 40-2,900 based on size and turnover); and adequacy/safeguards for international data transfers. Australian has retained EU adequacy status. Maximum fines: greater of AUD 17.5 million or 4% of global annual turnover.</w:t>
      </w:r>
    </w:p>
    <w:p w:rsidR="007F3CB1" w:rsidRDefault="002104A6">
      <w:r>
        <w:br w:type="page"/>
      </w:r>
    </w:p>
    <w:p w:rsidR="007F3CB1" w:rsidRDefault="002104A6">
      <w:pPr>
        <w:pStyle w:val="Heading1"/>
      </w:pPr>
      <w:bookmarkStart w:id="49" w:name="_Toc230446488"/>
      <w:r>
        <w:lastRenderedPageBreak/>
        <w:t>14. Commercial Contracts and Local Practices</w:t>
      </w:r>
      <w:bookmarkEnd w:id="49"/>
    </w:p>
    <w:p w:rsidR="007F3CB1" w:rsidRDefault="002104A6">
      <w:pPr>
        <w:spacing w:after="120" w:line="276" w:lineRule="auto"/>
      </w:pPr>
      <w:r>
        <w:t xml:space="preserve">English contract law is governed primarily by case law and is widely used for international commercial contracts due to its flexibility and predictability. Key principles: offer and acceptance, consideration, </w:t>
      </w:r>
      <w:r>
        <w:t>intention to create legal relations. The Sale of Goods Act 1979, Supply of Goods and Services Act 1982, and Consumer Rights Act 2015 imply terms into contracts. Standard practice includes: written contracts (though oral contracts are generally enforceable)</w:t>
      </w:r>
      <w:r>
        <w:t>, choice of Australian law and jurisdiction (Sydney is a leading global dispute resolution center), arbitration under Australian Centre for International Commercial Arbitration (ACICA), ICC, or ad hoc rules, and increasing use of mediation. Australian is s</w:t>
      </w:r>
      <w:r>
        <w:t>ignatory to the New York Convention on enforcement of foreign arbitral awards. Business culture values directness, punctuality, and written documentation.</w:t>
      </w:r>
    </w:p>
    <w:p w:rsidR="007F3CB1" w:rsidRDefault="002104A6">
      <w:r>
        <w:br w:type="page"/>
      </w:r>
    </w:p>
    <w:p w:rsidR="007F3CB1" w:rsidRDefault="002104A6">
      <w:pPr>
        <w:pStyle w:val="Heading1"/>
      </w:pPr>
      <w:bookmarkStart w:id="50" w:name="_Toc230446489"/>
      <w:r>
        <w:lastRenderedPageBreak/>
        <w:t>15. Operations, Location, and Economic Zones</w:t>
      </w:r>
      <w:bookmarkEnd w:id="50"/>
    </w:p>
    <w:p w:rsidR="007F3CB1" w:rsidRDefault="002104A6">
      <w:pPr>
        <w:pStyle w:val="Heading2"/>
      </w:pPr>
      <w:bookmarkStart w:id="51" w:name="_Toc230446490"/>
      <w:r>
        <w:t>15.1 Key Business Locations</w:t>
      </w:r>
      <w:bookmarkEnd w:id="51"/>
    </w:p>
    <w:p w:rsidR="007F3CB1" w:rsidRDefault="002104A6">
      <w:pPr>
        <w:spacing w:after="120" w:line="276" w:lineRule="auto"/>
      </w:pPr>
      <w:r>
        <w:t>Sydney remains the dominan</w:t>
      </w:r>
      <w:r>
        <w:t>t business hub - particularly the City of Sydney (financial services), Canary Wharf (banking, professional services), Tech City/Shoreditch (technology), and Mayfair (asset management). Outside Sydney, key centers include: Manchester (technology, media, fin</w:t>
      </w:r>
      <w:r>
        <w:t>ance, MediaCity UK); Birmingham (manufacturing, professional services, HSBC Australian headquarters); Edinburgh (financial services, technology); Glasgow (engineering, life sciences); Cambridge (technology, biotech, AI); Oxford (research, biotech); Bristol</w:t>
      </w:r>
      <w:r>
        <w:t xml:space="preserve"> (aerospace, technology); Leeds (financial services, healthcare); and Belfast (cybersecurity, fintech).</w:t>
      </w:r>
    </w:p>
    <w:p w:rsidR="007F3CB1" w:rsidRDefault="002104A6">
      <w:pPr>
        <w:pStyle w:val="Heading2"/>
      </w:pPr>
      <w:bookmarkStart w:id="52" w:name="_Toc230446491"/>
      <w:r>
        <w:t>15.2 Investment Zones and Freeports</w:t>
      </w:r>
      <w:bookmarkEnd w:id="52"/>
    </w:p>
    <w:p w:rsidR="007F3CB1" w:rsidRDefault="002104A6">
      <w:pPr>
        <w:spacing w:after="120" w:line="276" w:lineRule="auto"/>
      </w:pPr>
      <w:r>
        <w:t>12 Investment Zones across six states and two mainland territories offer Stamp Duty Land Tax relief, enhanced capita</w:t>
      </w:r>
      <w:r>
        <w:t xml:space="preserve">l allowances, structures and buildings allowances, employer NI relief, and Business Rates relief over 10 years. 8 designated Freeports offer customs benefits (suspended duty, simplified procedures), Stamp Duty Land Tax relief, enhanced capital allowances, </w:t>
      </w:r>
      <w:r>
        <w:t>and employer NI relief. Notable Freeports include Thames Freeport, Liverpool City Region Freeport, Solent Freeport, Plymouth and South Devon Freeport, Teesside Freeport, Humber Freeport, East Midlands Freeport, and Freeport East. Additional regional incent</w:t>
      </w:r>
      <w:r>
        <w:t>ives are offered through devolved Scottish, Welsh, and Northern Irish authorities.</w:t>
      </w:r>
    </w:p>
    <w:p w:rsidR="007F3CB1" w:rsidRDefault="002104A6">
      <w:r>
        <w:br w:type="page"/>
      </w:r>
    </w:p>
    <w:p w:rsidR="007F3CB1" w:rsidRDefault="002104A6">
      <w:pPr>
        <w:pStyle w:val="Heading1"/>
      </w:pPr>
      <w:bookmarkStart w:id="53" w:name="_Toc230446492"/>
      <w:r>
        <w:lastRenderedPageBreak/>
        <w:t>16. Compliance Calendar and Ongoing Obligations</w:t>
      </w:r>
      <w:bookmarkEnd w:id="53"/>
    </w:p>
    <w:p w:rsidR="007F3CB1" w:rsidRDefault="002104A6">
      <w:pPr>
        <w:spacing w:after="120" w:line="276" w:lineRule="auto"/>
      </w:pPr>
      <w:r>
        <w:t>Australian compliance obligations are spread across ASIC (corporate filings), ATO (tax filings), and other regulators. Belo</w:t>
      </w:r>
      <w:r>
        <w:t>w is a comprehensive calendar of ongoing obligations. Note that many Australian deadlines depend on a company's specific incorporation/accounting date rather than a universal date.</w:t>
      </w:r>
    </w:p>
    <w:p w:rsidR="007F3CB1" w:rsidRDefault="002104A6">
      <w:pPr>
        <w:pStyle w:val="Heading2"/>
      </w:pPr>
      <w:bookmarkStart w:id="54" w:name="_Toc230446493"/>
      <w:r>
        <w:t>16.1 Periodic Compliance Obligations</w:t>
      </w:r>
      <w:bookmarkEnd w:id="54"/>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2200"/>
        <w:gridCol w:w="1760"/>
      </w:tblGrid>
      <w:tr w:rsidR="007F3CB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Filing / Obligation</w:t>
            </w:r>
          </w:p>
        </w:tc>
        <w:tc>
          <w:tcPr>
            <w:tcW w:w="2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Frequency / Refere</w:t>
            </w:r>
            <w:r>
              <w:t>nce</w:t>
            </w:r>
          </w:p>
        </w:tc>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Due Date</w:t>
            </w:r>
          </w:p>
        </w:tc>
        <w:tc>
          <w:tcPr>
            <w:tcW w:w="17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Authority</w:t>
            </w:r>
          </w:p>
        </w:tc>
      </w:tr>
      <w:tr w:rsidR="007F3CB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PAYG Real Time Information (FPS)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Each pay run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On or before payday</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Employer NI and PAYG payment</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Monthly</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22nd of following month (electronic)</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CIS Returns (Construction Industry)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Monthly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19th of following month</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 xml:space="preserve">GST </w:t>
            </w:r>
            <w:r>
              <w:t>Return (MTD)</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Quarterly</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1 month + 7 days after quarter-end</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GST Payment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Quarterly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1 month + 7 days after quarter-end</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Pension auto-enrolment contributions</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Monthly</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22nd of following month</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Pension provider</w:t>
            </w:r>
          </w:p>
        </w:tc>
      </w:tr>
      <w:tr w:rsidR="007F3CB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 xml:space="preserve">Corporate Income Tax instalment payments </w:t>
            </w:r>
            <w:r>
              <w:t>(large companies)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Quarterly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Months 7, 10, 13, 16 of accounting period</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ATO</w:t>
            </w:r>
          </w:p>
        </w:tc>
      </w:tr>
    </w:tbl>
    <w:p w:rsidR="007F3CB1" w:rsidRDefault="002104A6">
      <w:pPr>
        <w:pStyle w:val="Heading2"/>
      </w:pPr>
      <w:bookmarkStart w:id="55" w:name="_Toc230446494"/>
      <w:r>
        <w:t>16.2 Annual Compliance Obligations</w:t>
      </w:r>
      <w:bookmarkEnd w:id="55"/>
    </w:p>
    <w:p w:rsidR="007F3CB1" w:rsidRDefault="007F3CB1">
      <w:pPr>
        <w:spacing w:after="8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2200"/>
        <w:gridCol w:w="1760"/>
      </w:tblGrid>
      <w:tr w:rsidR="007F3CB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Filing / Obligation</w:t>
            </w:r>
          </w:p>
        </w:tc>
        <w:tc>
          <w:tcPr>
            <w:tcW w:w="2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Form / Reference</w:t>
            </w:r>
          </w:p>
        </w:tc>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Due Date</w:t>
            </w:r>
          </w:p>
        </w:tc>
        <w:tc>
          <w:tcPr>
            <w:tcW w:w="17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Authority</w:t>
            </w:r>
          </w:p>
        </w:tc>
      </w:tr>
      <w:tr w:rsidR="007F3CB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Annual Review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CS01 (AUD 34/50)</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Annually within 14 days of 'made up to' date</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ASIC</w:t>
            </w:r>
          </w:p>
        </w:tc>
      </w:tr>
      <w:tr w:rsidR="007F3CB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Annual</w:t>
            </w:r>
            <w:r>
              <w:t xml:space="preserve"> Accounts (1st year)</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Statutory accounts</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21 months after incorporation</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ASIC</w:t>
            </w:r>
          </w:p>
        </w:tc>
      </w:tr>
      <w:tr w:rsidR="007F3CB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Annual Accounts (subsequent)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Statutory accounts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9 months after accounting reference date</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ASIC</w:t>
            </w:r>
          </w:p>
        </w:tc>
      </w:tr>
      <w:tr w:rsidR="007F3CB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Corporate Income Tax Return</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CT600</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12 months after end of accounting period</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Corporate Income Tax Payment (small)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Online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9 months + 1 day after period end</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lastRenderedPageBreak/>
              <w:t>Fringe Benefits Tax (FBT) Returns (employee benefits)</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Fringe Benefits Tax (FBT) + Fringe Benefits Tax (FBT)(b)</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6 July following tax year-end</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P60 issuance to employees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P60</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31 May following tax year-end</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Employer to employees</w:t>
            </w:r>
          </w:p>
        </w:tc>
      </w:tr>
      <w:tr w:rsidR="007F3CB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Class 1A NI on benefits</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Payment</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22 July following tax year-end (electronic)</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Employer Annual Return reconciliation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EPS / FPS Year-End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On or before final FPS of year</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 xml:space="preserve">Self-Assessment </w:t>
            </w:r>
            <w:r>
              <w:t>(directors)</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SA100</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31 January following tax year-end</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OAIC Data Protection Fee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Online renewal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Annually on registration anniversary</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OAIC</w:t>
            </w:r>
          </w:p>
        </w:tc>
      </w:tr>
      <w:tr w:rsidR="007F3CB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Pensions Re-Declaration of Compliance</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Online</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Every 3 years</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TPR</w:t>
            </w:r>
          </w:p>
        </w:tc>
      </w:tr>
      <w:tr w:rsidR="007F3CB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Annual Tax on Enveloped Dwellings (ATED)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ATED return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30 April annually (if applicable)</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ATO</w:t>
            </w:r>
          </w:p>
        </w:tc>
      </w:tr>
    </w:tbl>
    <w:p w:rsidR="007F3CB1" w:rsidRDefault="002104A6">
      <w:pPr>
        <w:pStyle w:val="Heading2"/>
      </w:pPr>
      <w:bookmarkStart w:id="56" w:name="_Toc230446495"/>
      <w:r>
        <w:t>16.3 Month-wise Australian Tax Year Calendar (April to March)</w:t>
      </w:r>
      <w:bookmarkEnd w:id="56"/>
    </w:p>
    <w:p w:rsidR="007F3CB1" w:rsidRDefault="002104A6">
      <w:pPr>
        <w:spacing w:after="120" w:line="276" w:lineRule="auto"/>
      </w:pPr>
      <w:r>
        <w:t xml:space="preserve">Australian tax year for individuals runs 6 April to 5 April. Australian financial year for Corporate Income Tax runs 1 April to 31 March. Most filing </w:t>
      </w:r>
      <w:r>
        <w:t>deadlines depend on the company's specific accounting period and incorporation date. Below are key recurring dates within Australian tax year.</w:t>
      </w:r>
    </w:p>
    <w:p w:rsidR="007F3CB1" w:rsidRDefault="002104A6">
      <w:pPr>
        <w:pStyle w:val="Heading3"/>
      </w:pPr>
      <w:bookmarkStart w:id="57" w:name="_Toc230446496"/>
      <w:r>
        <w:t>April (Tax Year Start)</w:t>
      </w:r>
      <w:bookmarkEnd w:id="57"/>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Authority</w:t>
            </w:r>
          </w:p>
        </w:tc>
      </w:tr>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1 Apr</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 xml:space="preserve">Start of new Australian financial year for </w:t>
            </w:r>
            <w:r>
              <w:t>Corporate Income Tax</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5 Apr</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End of Australian personal tax year</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6 Apr</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Start of new Australian personal tax year - new tax codes, rates, allowances apply</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19 Apr</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Final FPS submission for previous tax year (if not done)</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30 Apr</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 xml:space="preserve">ATED return </w:t>
            </w:r>
            <w:r>
              <w:t>and payment due (if applicable)</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ATO</w:t>
            </w:r>
          </w:p>
        </w:tc>
      </w:tr>
    </w:tbl>
    <w:p w:rsidR="007F3CB1" w:rsidRDefault="007F3CB1">
      <w:pPr>
        <w:spacing w:after="80"/>
      </w:pPr>
    </w:p>
    <w:p w:rsidR="007F3CB1" w:rsidRDefault="002104A6">
      <w:pPr>
        <w:pStyle w:val="Heading3"/>
      </w:pPr>
      <w:bookmarkStart w:id="58" w:name="_Toc230446497"/>
      <w:r>
        <w:t>May</w:t>
      </w:r>
      <w:bookmarkEnd w:id="58"/>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Authority</w:t>
            </w:r>
          </w:p>
        </w:tc>
      </w:tr>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lastRenderedPageBreak/>
              <w:t>3 May</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P46 (Car) submission for benefits started in Q4 (Jan-Mar)</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22 May</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Monthly PAYG/NI payment for April (electronic)</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31 May</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 xml:space="preserve">P60 must be issued to all employees on </w:t>
            </w:r>
            <w:r>
              <w:t>payroll at 5 April</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Employer</w:t>
            </w:r>
          </w:p>
        </w:tc>
      </w:tr>
    </w:tbl>
    <w:p w:rsidR="007F3CB1" w:rsidRDefault="007F3CB1">
      <w:pPr>
        <w:spacing w:after="80"/>
      </w:pPr>
    </w:p>
    <w:p w:rsidR="007F3CB1" w:rsidRDefault="002104A6">
      <w:pPr>
        <w:pStyle w:val="Heading3"/>
      </w:pPr>
      <w:bookmarkStart w:id="59" w:name="_Toc230446498"/>
      <w:r>
        <w:t>June</w:t>
      </w:r>
      <w:bookmarkEnd w:id="59"/>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Authority</w:t>
            </w:r>
          </w:p>
        </w:tc>
      </w:tr>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22 Jun</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Monthly PAYG/NI payment for May (electronic)</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30 Jun</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Quarterly GST return and payment for quarter ended 31 May</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ATO</w:t>
            </w:r>
          </w:p>
        </w:tc>
      </w:tr>
    </w:tbl>
    <w:p w:rsidR="007F3CB1" w:rsidRDefault="007F3CB1">
      <w:pPr>
        <w:spacing w:after="80"/>
      </w:pPr>
    </w:p>
    <w:p w:rsidR="007F3CB1" w:rsidRDefault="002104A6">
      <w:pPr>
        <w:pStyle w:val="Heading3"/>
      </w:pPr>
      <w:bookmarkStart w:id="60" w:name="_Toc230446499"/>
      <w:r>
        <w:t>July</w:t>
      </w:r>
      <w:bookmarkEnd w:id="60"/>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Authority</w:t>
            </w:r>
          </w:p>
        </w:tc>
      </w:tr>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6 Jul</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 xml:space="preserve">Fringe </w:t>
            </w:r>
            <w:r>
              <w:t>Benefits Tax (FBT) and Fringe Benefits Tax (FBT)(b) submission deadline for previous tax year</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19 Jul</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Class 1A NI payment if paying by post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22 Jul</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Class 1A NI payment if paying electronically</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31 Jul</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 xml:space="preserve">Second Self-Assessment payment on account </w:t>
            </w:r>
            <w:r>
              <w:t>due (individuals)</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ATO</w:t>
            </w:r>
          </w:p>
        </w:tc>
      </w:tr>
    </w:tbl>
    <w:p w:rsidR="007F3CB1" w:rsidRDefault="007F3CB1">
      <w:pPr>
        <w:spacing w:after="80"/>
      </w:pPr>
    </w:p>
    <w:p w:rsidR="007F3CB1" w:rsidRDefault="002104A6">
      <w:pPr>
        <w:pStyle w:val="Heading3"/>
      </w:pPr>
      <w:bookmarkStart w:id="61" w:name="_Toc230446500"/>
      <w:r>
        <w:t>August</w:t>
      </w:r>
      <w:bookmarkEnd w:id="61"/>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Authority</w:t>
            </w:r>
          </w:p>
        </w:tc>
      </w:tr>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22 Aug</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Monthly PAYG/NI payment for July (electronic)</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ATO</w:t>
            </w:r>
          </w:p>
        </w:tc>
      </w:tr>
    </w:tbl>
    <w:p w:rsidR="007F3CB1" w:rsidRDefault="007F3CB1">
      <w:pPr>
        <w:spacing w:after="80"/>
      </w:pPr>
    </w:p>
    <w:p w:rsidR="007F3CB1" w:rsidRDefault="002104A6">
      <w:pPr>
        <w:pStyle w:val="Heading3"/>
      </w:pPr>
      <w:bookmarkStart w:id="62" w:name="_Toc230446501"/>
      <w:r>
        <w:t>September</w:t>
      </w:r>
      <w:bookmarkEnd w:id="62"/>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Authority</w:t>
            </w:r>
          </w:p>
        </w:tc>
      </w:tr>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22 Sep</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Monthly PAYG/NI payment for August (electronic)</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30 Sep</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 xml:space="preserve">Quarterly GST </w:t>
            </w:r>
            <w:r>
              <w:t>return and payment for quarter ended 31 August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ATO</w:t>
            </w:r>
          </w:p>
        </w:tc>
      </w:tr>
    </w:tbl>
    <w:p w:rsidR="007F3CB1" w:rsidRDefault="007F3CB1">
      <w:pPr>
        <w:spacing w:after="80"/>
      </w:pPr>
    </w:p>
    <w:p w:rsidR="007F3CB1" w:rsidRDefault="002104A6">
      <w:pPr>
        <w:pStyle w:val="Heading3"/>
      </w:pPr>
      <w:bookmarkStart w:id="63" w:name="_Toc230446502"/>
      <w:r>
        <w:t>October</w:t>
      </w:r>
      <w:bookmarkEnd w:id="63"/>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Authority</w:t>
            </w:r>
          </w:p>
        </w:tc>
      </w:tr>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5 Oct</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Self-Assessment registration deadline for new chargeable income (individuals)</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lastRenderedPageBreak/>
              <w:t>22 Oct</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Monthly PAYG/NI payment for September (electronic)</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31 Oct</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Paper Self-Assessment tax return deadline (individuals)</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ATO</w:t>
            </w:r>
          </w:p>
        </w:tc>
      </w:tr>
    </w:tbl>
    <w:p w:rsidR="007F3CB1" w:rsidRDefault="007F3CB1">
      <w:pPr>
        <w:spacing w:after="80"/>
      </w:pPr>
    </w:p>
    <w:p w:rsidR="007F3CB1" w:rsidRDefault="002104A6">
      <w:pPr>
        <w:pStyle w:val="Heading3"/>
      </w:pPr>
      <w:bookmarkStart w:id="64" w:name="_Toc230446503"/>
      <w:r>
        <w:t>November</w:t>
      </w:r>
      <w:bookmarkEnd w:id="64"/>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Authority</w:t>
            </w:r>
          </w:p>
        </w:tc>
      </w:tr>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22 Nov</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Monthly PAYG/NI payment for October (electronic)</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ATO</w:t>
            </w:r>
          </w:p>
        </w:tc>
      </w:tr>
    </w:tbl>
    <w:p w:rsidR="007F3CB1" w:rsidRDefault="007F3CB1">
      <w:pPr>
        <w:spacing w:after="80"/>
      </w:pPr>
    </w:p>
    <w:p w:rsidR="007F3CB1" w:rsidRDefault="002104A6">
      <w:pPr>
        <w:pStyle w:val="Heading3"/>
      </w:pPr>
      <w:bookmarkStart w:id="65" w:name="_Toc230446504"/>
      <w:r>
        <w:t>December</w:t>
      </w:r>
      <w:bookmarkEnd w:id="65"/>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Authority</w:t>
            </w:r>
          </w:p>
        </w:tc>
      </w:tr>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22 Dec</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 xml:space="preserve">Monthly PAYG/NI payment for </w:t>
            </w:r>
            <w:r>
              <w:t>November (electronic)</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30 Dec</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Online Self-Assessment deadline if collecting tax via PAYG code</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31 Dec</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Quarterly GST return and payment for quarter ended 30 November</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ATO</w:t>
            </w:r>
          </w:p>
        </w:tc>
      </w:tr>
    </w:tbl>
    <w:p w:rsidR="007F3CB1" w:rsidRDefault="007F3CB1">
      <w:pPr>
        <w:spacing w:after="80"/>
      </w:pPr>
    </w:p>
    <w:p w:rsidR="007F3CB1" w:rsidRDefault="002104A6">
      <w:pPr>
        <w:pStyle w:val="Heading3"/>
      </w:pPr>
      <w:bookmarkStart w:id="66" w:name="_Toc230446505"/>
      <w:r>
        <w:t>January</w:t>
      </w:r>
      <w:bookmarkEnd w:id="66"/>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Authority</w:t>
            </w:r>
          </w:p>
        </w:tc>
      </w:tr>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1 Jan</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 xml:space="preserve">Corporate Income Tax </w:t>
            </w:r>
            <w:r>
              <w:t>payment due for accounting periods ending 31 March (small companies)</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22 Jan</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Monthly PAYG/NI payment for December (electronic)</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31 Jan</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Online Self-Assessment tax return and balancing payment due</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31 Jan</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 xml:space="preserve">First Self-Assessment payment on account </w:t>
            </w:r>
            <w:r>
              <w:t>due (individuals)</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ATO</w:t>
            </w:r>
          </w:p>
        </w:tc>
      </w:tr>
    </w:tbl>
    <w:p w:rsidR="007F3CB1" w:rsidRDefault="007F3CB1">
      <w:pPr>
        <w:spacing w:after="80"/>
      </w:pPr>
    </w:p>
    <w:p w:rsidR="007F3CB1" w:rsidRDefault="002104A6">
      <w:pPr>
        <w:pStyle w:val="Heading3"/>
      </w:pPr>
      <w:bookmarkStart w:id="67" w:name="_Toc230446506"/>
      <w:r>
        <w:t>February</w:t>
      </w:r>
      <w:bookmarkEnd w:id="67"/>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Authority</w:t>
            </w:r>
          </w:p>
        </w:tc>
      </w:tr>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22 Feb</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Monthly PAYG/NI payment for January (electronic)</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ATO</w:t>
            </w:r>
          </w:p>
        </w:tc>
      </w:tr>
    </w:tbl>
    <w:p w:rsidR="007F3CB1" w:rsidRDefault="007F3CB1">
      <w:pPr>
        <w:spacing w:after="80"/>
      </w:pPr>
    </w:p>
    <w:p w:rsidR="007F3CB1" w:rsidRDefault="002104A6">
      <w:pPr>
        <w:pStyle w:val="Heading3"/>
      </w:pPr>
      <w:bookmarkStart w:id="68" w:name="_Toc230446507"/>
      <w:r>
        <w:t>March</w:t>
      </w:r>
      <w:bookmarkEnd w:id="68"/>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Authority</w:t>
            </w:r>
          </w:p>
        </w:tc>
      </w:tr>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22 Mar</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Monthly PAYG/NI payment for February (electronic)</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31 Mar</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 xml:space="preserve">End of </w:t>
            </w:r>
            <w:r>
              <w:t xml:space="preserve">Australian financial year for Corporate Income </w:t>
            </w:r>
            <w:r>
              <w:lastRenderedPageBreak/>
              <w:t>Tax</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lastRenderedPageBreak/>
              <w:t>ATO</w:t>
            </w:r>
          </w:p>
        </w:tc>
      </w:tr>
      <w:tr w:rsidR="007F3CB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lastRenderedPageBreak/>
              <w:t>31 Mar</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Quarterly GST return and payment for quarter ended 28/29 February</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ATO</w:t>
            </w:r>
          </w:p>
        </w:tc>
      </w:tr>
    </w:tbl>
    <w:p w:rsidR="007F3CB1" w:rsidRDefault="007F3CB1">
      <w:pPr>
        <w:spacing w:after="80"/>
      </w:pPr>
    </w:p>
    <w:p w:rsidR="007F3CB1" w:rsidRDefault="002104A6">
      <w:pPr>
        <w:spacing w:after="120" w:line="276" w:lineRule="auto"/>
      </w:pPr>
      <w:r>
        <w:t xml:space="preserve">Company-specific deadlines: Annual Review is due annually on the anniversary of incorporation (or last filing). Annual </w:t>
      </w:r>
      <w:r>
        <w:t>Accounts are due 9 months after the accounting reference date (21 months after first incorporation for the first set). Corporate Income Tax is due 9 months and 1 day after the accounting period end (small companies); large companies pay in quarterly instal</w:t>
      </w:r>
      <w:r>
        <w:t>ments. CT600 return is due 12 months after the period end. These should be tracked separately for each company.</w:t>
      </w:r>
    </w:p>
    <w:p w:rsidR="007F3CB1" w:rsidRDefault="002104A6">
      <w:r>
        <w:br w:type="page"/>
      </w:r>
    </w:p>
    <w:p w:rsidR="007F3CB1" w:rsidRDefault="002104A6">
      <w:pPr>
        <w:pStyle w:val="Heading1"/>
      </w:pPr>
      <w:bookmarkStart w:id="69" w:name="_Toc230446508"/>
      <w:r>
        <w:lastRenderedPageBreak/>
        <w:t>17. Risk, Disputes, and Exit Options</w:t>
      </w:r>
      <w:bookmarkEnd w:id="69"/>
    </w:p>
    <w:p w:rsidR="007F3CB1" w:rsidRDefault="002104A6">
      <w:pPr>
        <w:pStyle w:val="Heading2"/>
      </w:pPr>
      <w:bookmarkStart w:id="70" w:name="_Toc230446509"/>
      <w:r>
        <w:t>17.1 Dispute Resolution</w:t>
      </w:r>
      <w:bookmarkEnd w:id="70"/>
    </w:p>
    <w:p w:rsidR="007F3CB1" w:rsidRDefault="002104A6">
      <w:pPr>
        <w:spacing w:after="120" w:line="276" w:lineRule="auto"/>
      </w:pPr>
      <w:r>
        <w:t>Australian has a sophisticated court system: Magistrates' Courts and County Court</w:t>
      </w:r>
      <w:r>
        <w:t>s (lower civil/criminal), High Court of Justice (significant civil claims), Court of Appeal, and Australian Supreme Court. Specialized courts include the Business and Property Courts (commercial, technology, intellectual property). Sydney is a leading glob</w:t>
      </w:r>
      <w:r>
        <w:t xml:space="preserve">al hub for international arbitration, with the Sydney Court of International Arbitration (Australian Centre for International Commercial Arbitration (ACICA)) being a major institution. Australian is signatory to the New York Convention. Australian law and </w:t>
      </w:r>
      <w:r>
        <w:t>Sydney arbitration are extremely common choice in international commercial contracts. Mediation is increasingly favored and often required prior to litigation.</w:t>
      </w:r>
    </w:p>
    <w:p w:rsidR="007F3CB1" w:rsidRDefault="002104A6">
      <w:pPr>
        <w:pStyle w:val="Heading2"/>
      </w:pPr>
      <w:bookmarkStart w:id="71" w:name="_Toc230446510"/>
      <w:r>
        <w:t>17.2 Key Risk Areas</w:t>
      </w:r>
      <w:bookmarkEnd w:id="71"/>
    </w:p>
    <w:p w:rsidR="007F3CB1" w:rsidRDefault="002104A6">
      <w:pPr>
        <w:spacing w:after="120" w:line="276" w:lineRule="auto"/>
      </w:pPr>
      <w:r>
        <w:t>Indian businesses should be aware of: NSIA notification requirements for sen</w:t>
      </w:r>
      <w:r>
        <w:t>sitive sectors; Australian Corporate Criminal Offence under Criminal Finances Act 2017 (failure to prevent facilitation of tax evasion); Australian Bribery Act 2010 (extraterritorial application); modern slavery reporting requirements; Sanctions compliance</w:t>
      </w:r>
      <w:r>
        <w:t xml:space="preserve"> (Australian maintains independent sanctions regime post-Brexit); rapidly evolving ASIC transparency requirements under ECCTA 2023 (identity verification, register accuracy); Pillar Two Multinational Top-up Tax for large groups (revenue &gt;EUR 750m); and Aus</w:t>
      </w:r>
      <w:r>
        <w:t>tralian Plastic Packaging Tax for relevant manufacturers/importers.</w:t>
      </w:r>
    </w:p>
    <w:p w:rsidR="007F3CB1" w:rsidRDefault="002104A6">
      <w:pPr>
        <w:pStyle w:val="Heading2"/>
      </w:pPr>
      <w:bookmarkStart w:id="72" w:name="_Toc230446511"/>
      <w:r>
        <w:t>17.3 Exit and Restructuring Options</w:t>
      </w:r>
      <w:bookmarkEnd w:id="72"/>
    </w:p>
    <w:p w:rsidR="007F3CB1" w:rsidRDefault="002104A6">
      <w:pPr>
        <w:spacing w:after="120" w:line="276" w:lineRule="auto"/>
      </w:pPr>
      <w:r>
        <w:t>Exit options include: Share sale (capital gains taxable in shareholders' hands; Business Asset Disposal Relief offers 14% rate up to AUD 1 million lifet</w:t>
      </w:r>
      <w:r>
        <w:t>ime limit, rising to 18% from April 2026); Asset sale; Members' Voluntary Liquidation (MVL) - for solvent companies winding up, often tax-efficient; Strike-off (DS01) - simple administrative dissolution for inactive companies (AUD 33 fee, 2-3 months); Admi</w:t>
      </w:r>
      <w:r>
        <w:t xml:space="preserve">nistration or Creditors' Voluntary Liquidation (insolvency procedures); Cross-border merger; and IPO (Main Market or AIM listing on Sydney Stock Exchange). Capital reduction can return surplus capital to shareholders. De-registration as employer with ATO, </w:t>
      </w:r>
      <w:r>
        <w:t>GST deregistration, and ASIC DS01 strike-off application are required for closure.</w:t>
      </w:r>
    </w:p>
    <w:p w:rsidR="007F3CB1" w:rsidRDefault="002104A6">
      <w:r>
        <w:br w:type="page"/>
      </w:r>
    </w:p>
    <w:p w:rsidR="007F3CB1" w:rsidRDefault="002104A6">
      <w:pPr>
        <w:pStyle w:val="Heading1"/>
      </w:pPr>
      <w:bookmarkStart w:id="73" w:name="_Toc230446512"/>
      <w:r>
        <w:lastRenderedPageBreak/>
        <w:t>18. Practical Checklists and Tools</w:t>
      </w:r>
      <w:bookmarkEnd w:id="73"/>
    </w:p>
    <w:p w:rsidR="007F3CB1" w:rsidRDefault="002104A6">
      <w:pPr>
        <w:pStyle w:val="Heading2"/>
      </w:pPr>
      <w:bookmarkStart w:id="74" w:name="_Toc230446513"/>
      <w:r>
        <w:t>18.1 Pre-Entry Checklist for Indian Entrepreneurs</w:t>
      </w:r>
      <w:bookmarkEnd w:id="74"/>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360"/>
        <w:gridCol w:w="1800"/>
        <w:gridCol w:w="2600"/>
      </w:tblGrid>
      <w:tr w:rsidR="007F3CB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No.</w:t>
            </w:r>
          </w:p>
        </w:tc>
        <w:tc>
          <w:tcPr>
            <w:tcW w:w="43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Item</w:t>
            </w:r>
          </w:p>
        </w:tc>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Category</w:t>
            </w:r>
          </w:p>
        </w:tc>
        <w:tc>
          <w:tcPr>
            <w:tcW w:w="2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Status</w:t>
            </w:r>
          </w:p>
        </w:tc>
      </w:tr>
      <w:tr w:rsidR="007F3CB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 xml:space="preserve">Identify target sector and check NSIA sensitive sector </w:t>
            </w:r>
            <w:r>
              <w:t>list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Strategic</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7F3CB1"/>
        </w:tc>
      </w:tr>
      <w:tr w:rsidR="007F3CB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Determine entity structure (Ltd / Australian Establishment / LLP)</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Legal</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7F3CB1"/>
        </w:tc>
      </w:tr>
      <w:tr w:rsidR="007F3CB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Verify FEMA ODI eligibility (400% net worth limit)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Indian Compliance</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7F3CB1"/>
        </w:tc>
      </w:tr>
      <w:tr w:rsidR="007F3CB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4</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Plan funding mode (equity / loan / share swap)</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Financial</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7F3CB1"/>
        </w:tc>
      </w:tr>
      <w:tr w:rsidR="007F3CB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5</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 xml:space="preserve">Engage Australian legal </w:t>
            </w:r>
            <w:r>
              <w:t>counsel and accountant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Legal</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7F3CB1"/>
        </w:tc>
      </w:tr>
      <w:tr w:rsidR="007F3CB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6</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Complete identity verification for directors via GOV.Australian One Login</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Operational</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7F3CB1"/>
        </w:tc>
      </w:tr>
      <w:tr w:rsidR="007F3CB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7</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Secure Australian registered office address (not PO Box)</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Operational</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7F3CB1"/>
        </w:tc>
      </w:tr>
      <w:tr w:rsidR="007F3CB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8</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Verify name availability with ASIC and IPO trademarks</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Legal</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7F3CB1"/>
        </w:tc>
      </w:tr>
      <w:tr w:rsidR="007F3CB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Plan Australian bank account opening (allow 2-8 weeks)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Financial</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7F3CB1"/>
        </w:tc>
      </w:tr>
      <w:tr w:rsidR="007F3CB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10</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Obtain India Tax Residency Certificate (TRC) and Form 10F for treaty benefits</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Tax</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7F3CB1"/>
        </w:tc>
      </w:tr>
      <w:tr w:rsidR="007F3CB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11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Plan immigration/visa needs for Indian staff (Sponsor Licence, Senior Specialist, etc.)</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HR</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7F3CB1"/>
        </w:tc>
      </w:tr>
      <w:tr w:rsidR="007F3CB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12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Assess Privacy Act 1988 / OAIC registration requirements</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Legal</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7F3CB1"/>
        </w:tc>
      </w:tr>
      <w:tr w:rsidR="007F3CB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13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File Form FC with AD bank in India before first remittance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FEMA</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7F3CB1"/>
        </w:tc>
      </w:tr>
      <w:tr w:rsidR="007F3CB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14</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Plan transfer pricing documentation for intercompany flows</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Tax</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7F3CB1"/>
        </w:tc>
      </w:tr>
    </w:tbl>
    <w:p w:rsidR="007F3CB1" w:rsidRDefault="002104A6">
      <w:r>
        <w:br w:type="page"/>
      </w:r>
    </w:p>
    <w:p w:rsidR="007F3CB1" w:rsidRDefault="002104A6">
      <w:pPr>
        <w:pStyle w:val="Heading1"/>
      </w:pPr>
      <w:bookmarkStart w:id="75" w:name="_Toc230446514"/>
      <w:r>
        <w:lastRenderedPageBreak/>
        <w:t>19. Compliance Penalty Matrix</w:t>
      </w:r>
      <w:bookmarkEnd w:id="75"/>
    </w:p>
    <w:p w:rsidR="007F3CB1" w:rsidRDefault="002104A6">
      <w:pPr>
        <w:spacing w:after="120" w:line="276" w:lineRule="auto"/>
      </w:pPr>
      <w:r>
        <w:t xml:space="preserve">Non-compliance with </w:t>
      </w:r>
      <w:r>
        <w:t>Australian regulatory and tax obligations may result in the following penalties: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3000"/>
        <w:gridCol w:w="2360"/>
      </w:tblGrid>
      <w:tr w:rsidR="007F3CB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Compliance Area</w:t>
            </w:r>
          </w:p>
        </w:tc>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Violation</w:t>
            </w:r>
          </w:p>
        </w:tc>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Penalty</w:t>
            </w:r>
          </w:p>
        </w:tc>
        <w:tc>
          <w:tcPr>
            <w:tcW w:w="23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7F3CB1" w:rsidRDefault="002104A6">
            <w:r>
              <w:t>Authority</w:t>
            </w:r>
          </w:p>
        </w:tc>
      </w:tr>
      <w:tr w:rsidR="007F3CB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Annual Accounts (Ltd)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Late filing 1-3 months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AUD 150 (private), AUD 750 (PLC)</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ASIC</w:t>
            </w:r>
          </w:p>
        </w:tc>
      </w:tr>
      <w:tr w:rsidR="007F3CB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Annual Accounts (Ltd)</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Late filing 3-6 months</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AUD 375 (private), AUD 1,500 (PLC)</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ASIC</w:t>
            </w:r>
          </w:p>
        </w:tc>
      </w:tr>
      <w:tr w:rsidR="007F3CB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Annual Accounts (Ltd)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Late filing 6-12 months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AUD 750 (private), AUD 3,000 (PLC)</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ASIC</w:t>
            </w:r>
          </w:p>
        </w:tc>
      </w:tr>
      <w:tr w:rsidR="007F3CB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Annual Accounts (Ltd)</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Late filing &gt;12 months</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AUD 1,500 (private), AUD 7,500 (PLC) - doubles for repeat</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ASIC</w:t>
            </w:r>
          </w:p>
        </w:tc>
      </w:tr>
      <w:tr w:rsidR="007F3CB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Annual Review</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 xml:space="preserve">Late </w:t>
            </w:r>
            <w:r>
              <w:t>filing</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No automatic fine but criminal offence; strike-off risk; director fines up to AUD 5,000</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ASIC</w:t>
            </w:r>
          </w:p>
        </w:tc>
      </w:tr>
      <w:tr w:rsidR="007F3CB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Corporate Income Tax Return</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1 day late</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AUD 100 fixed</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Corporate Income Tax Return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3 months late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Additional AUD 100</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Corporate Income Tax Return</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 xml:space="preserve">6 </w:t>
            </w:r>
            <w:r>
              <w:t>months late</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10% of unpaid tax</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Corporate Income Tax Return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12 months late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Additional 10% of unpaid tax</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Corporate Income Tax payment</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Late payment</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Interest at ATO rate (currently ~7.75%)</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GST Return (MTD)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Late submission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Points-based system; AUD</w:t>
            </w:r>
            <w:r>
              <w:t xml:space="preserve"> 200 once threshold reached</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GST payment</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Late payment</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2% surcharge after 15 days, 4% after 30 days, plus daily interest</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PAYG Late Filing (FPS)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Per delayed FPS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AUD 100-400 depending on company size</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ATO</w:t>
            </w:r>
          </w:p>
        </w:tc>
      </w:tr>
      <w:tr w:rsidR="007F3CB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NSIA non-</w:t>
            </w:r>
            <w:r>
              <w:lastRenderedPageBreak/>
              <w:t>notification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lastRenderedPageBreak/>
              <w:t xml:space="preserve">Failure to notify in </w:t>
            </w:r>
            <w:r>
              <w:lastRenderedPageBreak/>
              <w:t>mandatory sector</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lastRenderedPageBreak/>
              <w:t xml:space="preserve">Up to 5% of global turnover </w:t>
            </w:r>
            <w:r>
              <w:lastRenderedPageBreak/>
              <w:t>or AUD 10 million; void transaction</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lastRenderedPageBreak/>
              <w:t>ISU</w:t>
            </w:r>
          </w:p>
        </w:tc>
      </w:tr>
      <w:tr w:rsidR="007F3CB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lastRenderedPageBreak/>
              <w:t>Privacy Act 1988</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Serious breach</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Greater of AUD 17.5 million or 4% of global turnover</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OAIC</w:t>
            </w:r>
          </w:p>
        </w:tc>
      </w:tr>
      <w:tr w:rsidR="007F3CB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Auto-enrolment</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Non-compliance</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 xml:space="preserve">Fixed/escalating penalties from AUD 400; daily </w:t>
            </w:r>
            <w:r>
              <w:t>fines</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TPR</w:t>
            </w:r>
          </w:p>
        </w:tc>
      </w:tr>
      <w:tr w:rsidR="007F3CB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Bribery Act / CCO</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Failure to prevent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Unlimited fines, criminal sanctions for officers</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7F3CB1" w:rsidRDefault="002104A6">
            <w:r>
              <w:t>SFO/ATO</w:t>
            </w:r>
          </w:p>
        </w:tc>
      </w:tr>
      <w:tr w:rsidR="007F3CB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Director ID Verification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Non-compliance (post Nov 2025)</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Inability to file; potential criminal offence</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7F3CB1" w:rsidRDefault="002104A6">
            <w:r>
              <w:t>ASIC</w:t>
            </w:r>
          </w:p>
        </w:tc>
      </w:tr>
    </w:tbl>
    <w:p w:rsidR="007F3CB1" w:rsidRDefault="002104A6">
      <w:r>
        <w:br w:type="page"/>
      </w:r>
    </w:p>
    <w:p w:rsidR="007F3CB1" w:rsidRDefault="002104A6">
      <w:pPr>
        <w:pStyle w:val="Heading1"/>
      </w:pPr>
      <w:bookmarkStart w:id="76" w:name="_Toc230446515"/>
      <w:r>
        <w:lastRenderedPageBreak/>
        <w:t xml:space="preserve">20. How Comply Globally Supports Entry </w:t>
      </w:r>
      <w:r>
        <w:t>Australia</w:t>
      </w:r>
      <w:bookmarkEnd w:id="76"/>
    </w:p>
    <w:p w:rsidR="007F3CB1" w:rsidRDefault="002104A6">
      <w:pPr>
        <w:spacing w:after="120" w:line="276" w:lineRule="auto"/>
      </w:pPr>
      <w:r>
        <w:t xml:space="preserve">Comply Globally, a Connect Ventures Initiative, provides end-to-end advisory and execution support for Indian businesses entering Australian market. Our integrated India-Australia service model covers both ends of the cross-border journey - from </w:t>
      </w:r>
      <w:r>
        <w:t>FEMA compliance and Indian tax planning to Australian incorporation, tax registration, and ongoing compliance.</w:t>
      </w:r>
    </w:p>
    <w:p w:rsidR="007F3CB1" w:rsidRDefault="002104A6">
      <w:pPr>
        <w:pStyle w:val="Heading2"/>
      </w:pPr>
      <w:bookmarkStart w:id="77" w:name="_Toc230446516"/>
      <w:r>
        <w:t>20.1 Our Services</w:t>
      </w:r>
      <w:bookmarkEnd w:id="77"/>
    </w:p>
    <w:p w:rsidR="007F3CB1" w:rsidRDefault="002104A6">
      <w:pPr>
        <w:spacing w:after="120" w:line="276" w:lineRule="auto"/>
      </w:pPr>
      <w:r>
        <w:t>Pre-Entry Advisory: Entry route assessment, FEMA ODI structuring, India-Australia DTAA planning, tax-efficient structuring.</w:t>
      </w:r>
    </w:p>
    <w:p w:rsidR="007F3CB1" w:rsidRDefault="002104A6">
      <w:pPr>
        <w:spacing w:after="120" w:line="276" w:lineRule="auto"/>
      </w:pPr>
      <w:r>
        <w:t>FEM</w:t>
      </w:r>
      <w:r>
        <w:t>A &amp; RBI Compliance: Form FC filing through AD bank, Annual Performance Report (APR), Foreign Liabilities and Assets (FLA) Return, ongoing FEMA reporting.</w:t>
      </w:r>
    </w:p>
    <w:p w:rsidR="007F3CB1" w:rsidRDefault="002104A6">
      <w:pPr>
        <w:spacing w:after="120" w:line="276" w:lineRule="auto"/>
      </w:pPr>
      <w:r>
        <w:t>Australian Company Incorporation: ASIC registration, identity verification support, registered office,</w:t>
      </w:r>
      <w:r>
        <w:t xml:space="preserve"> MOA and articles, share structure design.</w:t>
      </w:r>
    </w:p>
    <w:p w:rsidR="007F3CB1" w:rsidRDefault="002104A6">
      <w:pPr>
        <w:spacing w:after="120" w:line="276" w:lineRule="auto"/>
      </w:pPr>
      <w:r>
        <w:t>Australian Tax Registration &amp; Advisory: Corporate Income Tax, GST, PAYG registration; corporation tax planning; R&amp;D tax credits; transfer pricing documentation.</w:t>
      </w:r>
    </w:p>
    <w:p w:rsidR="007F3CB1" w:rsidRDefault="002104A6">
      <w:pPr>
        <w:spacing w:after="120" w:line="276" w:lineRule="auto"/>
      </w:pPr>
      <w:r>
        <w:t>Australian Banking Support: Bank account opening int</w:t>
      </w:r>
      <w:r>
        <w:t>roductions with high-street and digital banks; documentation preparation.</w:t>
      </w:r>
    </w:p>
    <w:p w:rsidR="007F3CB1" w:rsidRDefault="002104A6">
      <w:pPr>
        <w:spacing w:after="120" w:line="276" w:lineRule="auto"/>
      </w:pPr>
      <w:r>
        <w:t>Immigration Support: Sponsor Licence applications, Skilled Worker visas, Senior or Specialist Worker (intra-company) transfers, Innovator Founder visas.</w:t>
      </w:r>
    </w:p>
    <w:p w:rsidR="007F3CB1" w:rsidRDefault="002104A6">
      <w:pPr>
        <w:spacing w:after="120" w:line="276" w:lineRule="auto"/>
      </w:pPr>
      <w:r>
        <w:t>Ongoing Australian Compliance</w:t>
      </w:r>
      <w:r>
        <w:t>: Annual Reviews, Annual Accounts, Corporate Income Tax returns, GST returns, PAYG/RTI, Statutory Books maintenance.</w:t>
      </w:r>
    </w:p>
    <w:p w:rsidR="007F3CB1" w:rsidRDefault="002104A6">
      <w:pPr>
        <w:spacing w:after="120" w:line="276" w:lineRule="auto"/>
      </w:pPr>
      <w:r>
        <w:t>Indian Parent Compliance: Consolidated Financial Statements, Companies Act reporting, Form AOC-1, Foreign Tax Credit (FTC) claims under Sec</w:t>
      </w:r>
      <w:r>
        <w:t>tion 90/Rule 128.</w:t>
      </w:r>
    </w:p>
    <w:p w:rsidR="007F3CB1" w:rsidRDefault="002104A6">
      <w:pPr>
        <w:pStyle w:val="Heading2"/>
      </w:pPr>
      <w:bookmarkStart w:id="78" w:name="_Toc230446517"/>
      <w:r>
        <w:t>20.2 Engagement Models</w:t>
      </w:r>
      <w:bookmarkEnd w:id="78"/>
    </w:p>
    <w:p w:rsidR="007F3CB1" w:rsidRDefault="002104A6">
      <w:pPr>
        <w:spacing w:after="120" w:line="276" w:lineRule="auto"/>
      </w:pPr>
      <w:r>
        <w:t xml:space="preserve">Flexible engagement options: Fixed-Fee Incorporation Packages (covering setup + first year compliance); Monthly Retainers for ongoing Australian compliance and advisory; Project-Based Engagements for specific </w:t>
      </w:r>
      <w:r>
        <w:t>transactions (acquisition, restructuring, regulatory applications); and Comprehensive Entry Packages combining FEMA filing, Australian incorporation, banking, tax registration, immigration, and first-year compliance.</w:t>
      </w:r>
    </w:p>
    <w:p w:rsidR="007F3CB1" w:rsidRDefault="002104A6">
      <w:pPr>
        <w:pStyle w:val="Heading2"/>
      </w:pPr>
      <w:bookmarkStart w:id="79" w:name="_Toc230446518"/>
      <w:r>
        <w:t>20.3 Contact Us</w:t>
      </w:r>
      <w:bookmarkEnd w:id="79"/>
    </w:p>
    <w:p w:rsidR="007F3CB1" w:rsidRDefault="007F3CB1">
      <w:pPr>
        <w:spacing w:after="80"/>
      </w:pPr>
    </w:p>
    <w:p w:rsidR="007F3CB1" w:rsidRDefault="002104A6">
      <w:pPr>
        <w:spacing w:after="120" w:line="276" w:lineRule="auto"/>
      </w:pPr>
      <w:r>
        <w:t>Comply Globally - A Co</w:t>
      </w:r>
      <w:r>
        <w:t>nnect Ventures Initiative</w:t>
      </w:r>
    </w:p>
    <w:p w:rsidR="007F3CB1" w:rsidRDefault="002104A6">
      <w:pPr>
        <w:spacing w:after="120" w:line="276" w:lineRule="auto"/>
      </w:pPr>
      <w:r>
        <w:t>Email: anil.gupta@TheConnectVentures.com</w:t>
      </w:r>
    </w:p>
    <w:p w:rsidR="007F3CB1" w:rsidRDefault="002104A6">
      <w:pPr>
        <w:spacing w:after="120" w:line="276" w:lineRule="auto"/>
      </w:pPr>
      <w:r>
        <w:t>Phone: +91 99999 81613 | +1 302 214 1717</w:t>
      </w:r>
    </w:p>
    <w:p w:rsidR="007F3CB1" w:rsidRDefault="007F3CB1">
      <w:pPr>
        <w:spacing w:after="80"/>
      </w:pPr>
    </w:p>
    <w:p w:rsidR="007F3CB1" w:rsidRDefault="002104A6">
      <w:pPr>
        <w:spacing w:after="120" w:line="276" w:lineRule="auto"/>
      </w:pPr>
      <w:r>
        <w:lastRenderedPageBreak/>
        <w:t>We look forward to supporting your successful entry into Australia market.</w:t>
      </w:r>
    </w:p>
    <w:sectPr w:rsidR="007F3CB1">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04A6" w:rsidRDefault="002104A6">
      <w:r>
        <w:separator/>
      </w:r>
    </w:p>
  </w:endnote>
  <w:endnote w:type="continuationSeparator" w:id="0">
    <w:p w:rsidR="002104A6" w:rsidRDefault="002104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CB1" w:rsidRDefault="002104A6">
    <w:pPr>
      <w:pBdr>
        <w:top w:val="single" w:sz="6" w:space="4" w:color="003366"/>
      </w:pBdr>
      <w:tabs>
        <w:tab w:val="right" w:pos="9360"/>
      </w:tabs>
    </w:pPr>
    <w:r>
      <w:rPr>
        <w:color w:val="666666"/>
        <w:sz w:val="14"/>
        <w:szCs w:val="14"/>
      </w:rPr>
      <w:t>Comply Globally - A Connect Ventures Initiative  |  anil.gupta@TheConnectVentures.com</w:t>
    </w:r>
    <w:r>
      <w:rPr>
        <w:sz w:val="14"/>
        <w:szCs w:val="14"/>
      </w:rPr>
      <w:tab/>
    </w:r>
    <w:r>
      <w:rPr>
        <w:color w:val="666666"/>
        <w:sz w:val="14"/>
        <w:szCs w:val="14"/>
      </w:rPr>
      <w:t xml:space="preserve">Page </w:t>
    </w:r>
    <w:r>
      <w:rPr>
        <w:color w:val="666666"/>
        <w:sz w:val="14"/>
        <w:szCs w:val="14"/>
      </w:rPr>
      <w:fldChar w:fldCharType="begin"/>
    </w:r>
    <w:r>
      <w:rPr>
        <w:color w:val="666666"/>
        <w:sz w:val="14"/>
        <w:szCs w:val="14"/>
      </w:rPr>
      <w:instrText>PAGE</w:instrText>
    </w:r>
    <w:r w:rsidR="00E5461E">
      <w:rPr>
        <w:color w:val="666666"/>
        <w:sz w:val="14"/>
        <w:szCs w:val="14"/>
      </w:rPr>
      <w:fldChar w:fldCharType="separate"/>
    </w:r>
    <w:r w:rsidR="00E5461E">
      <w:rPr>
        <w:noProof/>
        <w:color w:val="666666"/>
        <w:sz w:val="14"/>
        <w:szCs w:val="14"/>
      </w:rPr>
      <w:t>22</w:t>
    </w:r>
    <w:r>
      <w:rPr>
        <w:color w:val="666666"/>
        <w:sz w:val="14"/>
        <w:szCs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04A6" w:rsidRDefault="002104A6">
      <w:r>
        <w:separator/>
      </w:r>
    </w:p>
  </w:footnote>
  <w:footnote w:type="continuationSeparator" w:id="0">
    <w:p w:rsidR="002104A6" w:rsidRDefault="002104A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CB1" w:rsidRDefault="002104A6">
    <w:pPr>
      <w:pBdr>
        <w:bottom w:val="single" w:sz="6" w:space="4" w:color="003366"/>
      </w:pBdr>
    </w:pPr>
    <w:r>
      <w:rPr>
        <w:b/>
        <w:bCs/>
        <w:color w:val="003366"/>
        <w:sz w:val="16"/>
        <w:szCs w:val="16"/>
      </w:rPr>
      <w:t>CO</w:t>
    </w:r>
    <w:r>
      <w:rPr>
        <w:b/>
        <w:bCs/>
        <w:color w:val="003366"/>
        <w:sz w:val="16"/>
        <w:szCs w:val="16"/>
      </w:rPr>
      <w:t>MPLY GLOBALLY</w:t>
    </w:r>
    <w:r>
      <w:rPr>
        <w:color w:val="666666"/>
        <w:sz w:val="16"/>
        <w:szCs w:val="16"/>
      </w:rPr>
      <w:t xml:space="preserve">  |  Entry Australia Guide  |  2026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A340038"/>
    <w:multiLevelType w:val="hybridMultilevel"/>
    <w:tmpl w:val="1F5C58B4"/>
    <w:lvl w:ilvl="0" w:tplc="4934A75A">
      <w:start w:val="1"/>
      <w:numFmt w:val="bullet"/>
      <w:lvlText w:val="●"/>
      <w:lvlJc w:val="left"/>
      <w:pPr>
        <w:ind w:left="720" w:hanging="360"/>
      </w:pPr>
    </w:lvl>
    <w:lvl w:ilvl="1" w:tplc="BBB0BEA0">
      <w:start w:val="1"/>
      <w:numFmt w:val="bullet"/>
      <w:lvlText w:val="○"/>
      <w:lvlJc w:val="left"/>
      <w:pPr>
        <w:ind w:left="1440" w:hanging="360"/>
      </w:pPr>
    </w:lvl>
    <w:lvl w:ilvl="2" w:tplc="90CC792C">
      <w:start w:val="1"/>
      <w:numFmt w:val="bullet"/>
      <w:lvlText w:val="■"/>
      <w:lvlJc w:val="left"/>
      <w:pPr>
        <w:ind w:left="2160" w:hanging="360"/>
      </w:pPr>
    </w:lvl>
    <w:lvl w:ilvl="3" w:tplc="F09294C0">
      <w:start w:val="1"/>
      <w:numFmt w:val="bullet"/>
      <w:lvlText w:val="●"/>
      <w:lvlJc w:val="left"/>
      <w:pPr>
        <w:ind w:left="2880" w:hanging="360"/>
      </w:pPr>
    </w:lvl>
    <w:lvl w:ilvl="4" w:tplc="32B6CBF2">
      <w:start w:val="1"/>
      <w:numFmt w:val="bullet"/>
      <w:lvlText w:val="○"/>
      <w:lvlJc w:val="left"/>
      <w:pPr>
        <w:ind w:left="3600" w:hanging="360"/>
      </w:pPr>
    </w:lvl>
    <w:lvl w:ilvl="5" w:tplc="939C66C0">
      <w:start w:val="1"/>
      <w:numFmt w:val="bullet"/>
      <w:lvlText w:val="■"/>
      <w:lvlJc w:val="left"/>
      <w:pPr>
        <w:ind w:left="4320" w:hanging="360"/>
      </w:pPr>
    </w:lvl>
    <w:lvl w:ilvl="6" w:tplc="7226C090">
      <w:start w:val="1"/>
      <w:numFmt w:val="bullet"/>
      <w:lvlText w:val="●"/>
      <w:lvlJc w:val="left"/>
      <w:pPr>
        <w:ind w:left="5040" w:hanging="360"/>
      </w:pPr>
    </w:lvl>
    <w:lvl w:ilvl="7" w:tplc="0416430C">
      <w:start w:val="1"/>
      <w:numFmt w:val="bullet"/>
      <w:lvlText w:val="●"/>
      <w:lvlJc w:val="left"/>
      <w:pPr>
        <w:ind w:left="5760" w:hanging="360"/>
      </w:pPr>
    </w:lvl>
    <w:lvl w:ilvl="8" w:tplc="7E560DB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7F3CB1"/>
    <w:rsid w:val="002104A6"/>
    <w:rsid w:val="007F3CB1"/>
    <w:rsid w:val="00E546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003366"/>
      <w:sz w:val="36"/>
      <w:szCs w:val="36"/>
    </w:rPr>
  </w:style>
  <w:style w:type="paragraph" w:styleId="Heading2">
    <w:name w:val="heading 2"/>
    <w:qFormat/>
    <w:pPr>
      <w:spacing w:before="240" w:after="160"/>
      <w:outlineLvl w:val="1"/>
    </w:pPr>
    <w:rPr>
      <w:b/>
      <w:bCs/>
      <w:color w:val="0066CC"/>
      <w:sz w:val="28"/>
      <w:szCs w:val="28"/>
    </w:rPr>
  </w:style>
  <w:style w:type="paragraph" w:styleId="Heading3">
    <w:name w:val="heading 3"/>
    <w:qFormat/>
    <w:pPr>
      <w:spacing w:before="200" w:after="120"/>
      <w:outlineLvl w:val="2"/>
    </w:pPr>
    <w:rPr>
      <w:b/>
      <w:bCs/>
      <w:color w:val="1A1A2E"/>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5461E"/>
    <w:pPr>
      <w:spacing w:after="100"/>
    </w:pPr>
  </w:style>
  <w:style w:type="paragraph" w:styleId="TOC2">
    <w:name w:val="toc 2"/>
    <w:basedOn w:val="Normal"/>
    <w:next w:val="Normal"/>
    <w:autoRedefine/>
    <w:uiPriority w:val="39"/>
    <w:unhideWhenUsed/>
    <w:rsid w:val="00E5461E"/>
    <w:pPr>
      <w:spacing w:after="100"/>
      <w:ind w:left="220"/>
    </w:pPr>
  </w:style>
  <w:style w:type="paragraph" w:styleId="TOC3">
    <w:name w:val="toc 3"/>
    <w:basedOn w:val="Normal"/>
    <w:next w:val="Normal"/>
    <w:autoRedefine/>
    <w:uiPriority w:val="39"/>
    <w:unhideWhenUsed/>
    <w:rsid w:val="00E5461E"/>
    <w:pPr>
      <w:spacing w:after="100"/>
      <w:ind w:left="440"/>
    </w:pPr>
  </w:style>
  <w:style w:type="paragraph" w:styleId="BalloonText">
    <w:name w:val="Balloon Text"/>
    <w:basedOn w:val="Normal"/>
    <w:link w:val="BalloonTextChar"/>
    <w:uiPriority w:val="99"/>
    <w:semiHidden/>
    <w:unhideWhenUsed/>
    <w:rsid w:val="00E5461E"/>
    <w:rPr>
      <w:rFonts w:ascii="Tahoma" w:hAnsi="Tahoma" w:cs="Tahoma"/>
      <w:sz w:val="16"/>
      <w:szCs w:val="16"/>
    </w:rPr>
  </w:style>
  <w:style w:type="character" w:customStyle="1" w:styleId="BalloonTextChar">
    <w:name w:val="Balloon Text Char"/>
    <w:basedOn w:val="DefaultParagraphFont"/>
    <w:link w:val="BalloonText"/>
    <w:uiPriority w:val="99"/>
    <w:semiHidden/>
    <w:rsid w:val="00E5461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003366"/>
      <w:sz w:val="36"/>
      <w:szCs w:val="36"/>
    </w:rPr>
  </w:style>
  <w:style w:type="paragraph" w:styleId="Heading2">
    <w:name w:val="heading 2"/>
    <w:qFormat/>
    <w:pPr>
      <w:spacing w:before="240" w:after="160"/>
      <w:outlineLvl w:val="1"/>
    </w:pPr>
    <w:rPr>
      <w:b/>
      <w:bCs/>
      <w:color w:val="0066CC"/>
      <w:sz w:val="28"/>
      <w:szCs w:val="28"/>
    </w:rPr>
  </w:style>
  <w:style w:type="paragraph" w:styleId="Heading3">
    <w:name w:val="heading 3"/>
    <w:qFormat/>
    <w:pPr>
      <w:spacing w:before="200" w:after="120"/>
      <w:outlineLvl w:val="2"/>
    </w:pPr>
    <w:rPr>
      <w:b/>
      <w:bCs/>
      <w:color w:val="1A1A2E"/>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5461E"/>
    <w:pPr>
      <w:spacing w:after="100"/>
    </w:pPr>
  </w:style>
  <w:style w:type="paragraph" w:styleId="TOC2">
    <w:name w:val="toc 2"/>
    <w:basedOn w:val="Normal"/>
    <w:next w:val="Normal"/>
    <w:autoRedefine/>
    <w:uiPriority w:val="39"/>
    <w:unhideWhenUsed/>
    <w:rsid w:val="00E5461E"/>
    <w:pPr>
      <w:spacing w:after="100"/>
      <w:ind w:left="220"/>
    </w:pPr>
  </w:style>
  <w:style w:type="paragraph" w:styleId="TOC3">
    <w:name w:val="toc 3"/>
    <w:basedOn w:val="Normal"/>
    <w:next w:val="Normal"/>
    <w:autoRedefine/>
    <w:uiPriority w:val="39"/>
    <w:unhideWhenUsed/>
    <w:rsid w:val="00E5461E"/>
    <w:pPr>
      <w:spacing w:after="100"/>
      <w:ind w:left="440"/>
    </w:pPr>
  </w:style>
  <w:style w:type="paragraph" w:styleId="BalloonText">
    <w:name w:val="Balloon Text"/>
    <w:basedOn w:val="Normal"/>
    <w:link w:val="BalloonTextChar"/>
    <w:uiPriority w:val="99"/>
    <w:semiHidden/>
    <w:unhideWhenUsed/>
    <w:rsid w:val="00E5461E"/>
    <w:rPr>
      <w:rFonts w:ascii="Tahoma" w:hAnsi="Tahoma" w:cs="Tahoma"/>
      <w:sz w:val="16"/>
      <w:szCs w:val="16"/>
    </w:rPr>
  </w:style>
  <w:style w:type="character" w:customStyle="1" w:styleId="BalloonTextChar">
    <w:name w:val="Balloon Text Char"/>
    <w:basedOn w:val="DefaultParagraphFont"/>
    <w:link w:val="BalloonText"/>
    <w:uiPriority w:val="99"/>
    <w:semiHidden/>
    <w:rsid w:val="00E5461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31</Pages>
  <Words>7342</Words>
  <Characters>41851</Characters>
  <Application>Microsoft Office Word</Application>
  <DocSecurity>0</DocSecurity>
  <Lines>348</Lines>
  <Paragraphs>98</Paragraphs>
  <ScaleCrop>false</ScaleCrop>
  <Company/>
  <LinksUpToDate>false</LinksUpToDate>
  <CharactersWithSpaces>49095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2</cp:revision>
  <dcterms:created xsi:type="dcterms:W3CDTF">2026-04-17T19:46:00Z</dcterms:created>
  <dcterms:modified xsi:type="dcterms:W3CDTF">2026-05-23T11:04:00Z</dcterms:modified>
</cp:coreProperties>
</file>