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BAA" w:rsidRPr="002928F8" w:rsidRDefault="002928F8">
      <w:pPr>
        <w:jc w:val="center"/>
        <w:rPr>
          <w:sz w:val="22"/>
        </w:rPr>
      </w:pPr>
      <w:r w:rsidRPr="002928F8">
        <w:rPr>
          <w:b/>
          <w:sz w:val="22"/>
        </w:rPr>
        <w:t>COMPLY GLOBALLY</w:t>
      </w:r>
    </w:p>
    <w:p w:rsidR="00471BAA" w:rsidRPr="002928F8" w:rsidRDefault="002928F8">
      <w:pPr>
        <w:jc w:val="center"/>
        <w:rPr>
          <w:sz w:val="22"/>
        </w:rPr>
      </w:pPr>
      <w:r w:rsidRPr="002928F8">
        <w:rPr>
          <w:b/>
          <w:sz w:val="22"/>
        </w:rPr>
        <w:t>A Connect Ventures Initiative</w:t>
      </w:r>
    </w:p>
    <w:p w:rsidR="00471BAA" w:rsidRPr="002928F8" w:rsidRDefault="00471BAA">
      <w:pPr>
        <w:rPr>
          <w:sz w:val="22"/>
        </w:rPr>
      </w:pPr>
    </w:p>
    <w:p w:rsidR="00471BAA" w:rsidRPr="002928F8" w:rsidRDefault="002928F8">
      <w:pPr>
        <w:jc w:val="center"/>
        <w:rPr>
          <w:sz w:val="22"/>
        </w:rPr>
      </w:pPr>
      <w:r w:rsidRPr="002928F8">
        <w:rPr>
          <w:b/>
          <w:sz w:val="22"/>
        </w:rPr>
        <w:t>ENTRY CANADA</w:t>
      </w:r>
    </w:p>
    <w:p w:rsidR="00471BAA" w:rsidRPr="002928F8" w:rsidRDefault="002928F8">
      <w:pPr>
        <w:jc w:val="center"/>
        <w:rPr>
          <w:sz w:val="22"/>
        </w:rPr>
      </w:pPr>
      <w:r w:rsidRPr="002928F8">
        <w:rPr>
          <w:b/>
          <w:sz w:val="22"/>
        </w:rPr>
        <w:t>Comprehensive Country Guide for Indian Entrepreneurs, Investors &amp; Expansion-Stage Companies</w:t>
      </w:r>
    </w:p>
    <w:p w:rsidR="00471BAA" w:rsidRPr="002928F8" w:rsidRDefault="002928F8">
      <w:pPr>
        <w:jc w:val="center"/>
        <w:rPr>
          <w:sz w:val="22"/>
        </w:rPr>
      </w:pPr>
      <w:r w:rsidRPr="002928F8">
        <w:rPr>
          <w:sz w:val="22"/>
        </w:rPr>
        <w:t>Compliance | Taxation | Market Entry | Operations</w:t>
      </w:r>
    </w:p>
    <w:p w:rsidR="00471BAA" w:rsidRPr="002928F8" w:rsidRDefault="002928F8">
      <w:pPr>
        <w:jc w:val="center"/>
        <w:rPr>
          <w:sz w:val="22"/>
        </w:rPr>
      </w:pPr>
      <w:r w:rsidRPr="002928F8">
        <w:rPr>
          <w:b/>
          <w:sz w:val="22"/>
        </w:rPr>
        <w:t>2026 Edition</w:t>
      </w:r>
    </w:p>
    <w:p w:rsidR="00471BAA" w:rsidRPr="002928F8" w:rsidRDefault="00471BAA">
      <w:pPr>
        <w:rPr>
          <w:sz w:val="22"/>
        </w:rPr>
      </w:pPr>
    </w:p>
    <w:p w:rsidR="00471BAA" w:rsidRPr="002928F8" w:rsidRDefault="002928F8">
      <w:pPr>
        <w:jc w:val="center"/>
        <w:rPr>
          <w:sz w:val="22"/>
        </w:rPr>
      </w:pPr>
      <w:r w:rsidRPr="002928F8">
        <w:rPr>
          <w:sz w:val="22"/>
        </w:rPr>
        <w:t>Contact: anil.gupta@TheConnectVentures.com</w:t>
      </w:r>
      <w:r w:rsidRPr="002928F8">
        <w:rPr>
          <w:sz w:val="22"/>
        </w:rPr>
        <w:br/>
        <w:t>Phone: +91 99999 81613 | +1 302 214 1717</w:t>
      </w:r>
    </w:p>
    <w:p w:rsidR="00471BAA" w:rsidRPr="002928F8" w:rsidRDefault="00471BAA">
      <w:pPr>
        <w:rPr>
          <w:sz w:val="22"/>
        </w:rPr>
      </w:pPr>
    </w:p>
    <w:p w:rsidR="00471BAA" w:rsidRPr="002928F8" w:rsidRDefault="002928F8">
      <w:pPr>
        <w:jc w:val="center"/>
        <w:rPr>
          <w:sz w:val="22"/>
        </w:rPr>
      </w:pPr>
      <w:r w:rsidRPr="002928F8">
        <w:rPr>
          <w:i/>
          <w:sz w:val="22"/>
        </w:rPr>
        <w:t>Disclaimer: This guide is for informational purposes only and does not constitute legal, tax, immigration, or accounting advice. Users should verify all information independently and with Canadian advisors before acting.</w:t>
      </w:r>
    </w:p>
    <w:p w:rsidR="00471BAA" w:rsidRPr="002928F8" w:rsidRDefault="002928F8">
      <w:pPr>
        <w:rPr>
          <w:sz w:val="22"/>
        </w:rPr>
      </w:pPr>
      <w:r w:rsidRPr="002928F8">
        <w:rPr>
          <w:sz w:val="22"/>
        </w:rPr>
        <w:br w:type="page"/>
      </w:r>
    </w:p>
    <w:p w:rsidR="00471BAA" w:rsidRDefault="002928F8" w:rsidP="002928F8">
      <w:pPr>
        <w:pStyle w:val="Heading1"/>
        <w:rPr>
          <w:sz w:val="24"/>
          <w:szCs w:val="22"/>
        </w:rPr>
      </w:pPr>
      <w:r w:rsidRPr="002928F8">
        <w:rPr>
          <w:sz w:val="24"/>
          <w:szCs w:val="22"/>
        </w:rPr>
        <w:lastRenderedPageBreak/>
        <w:t>TABLE OF CONTENTS</w:t>
      </w:r>
    </w:p>
    <w:p w:rsidR="002928F8" w:rsidRPr="002928F8" w:rsidRDefault="002928F8" w:rsidP="002928F8"/>
    <w:p w:rsidR="00471BAA" w:rsidRPr="002928F8" w:rsidRDefault="002928F8" w:rsidP="002928F8">
      <w:pPr>
        <w:pStyle w:val="ListNumber"/>
        <w:spacing w:after="0"/>
        <w:rPr>
          <w:sz w:val="24"/>
        </w:rPr>
      </w:pPr>
      <w:r w:rsidRPr="002928F8">
        <w:rPr>
          <w:sz w:val="24"/>
        </w:rPr>
        <w:t>Executive Overview</w:t>
      </w:r>
    </w:p>
    <w:p w:rsidR="00471BAA" w:rsidRPr="002928F8" w:rsidRDefault="002928F8" w:rsidP="002928F8">
      <w:pPr>
        <w:pStyle w:val="ListNumber"/>
        <w:spacing w:after="0"/>
        <w:rPr>
          <w:sz w:val="24"/>
        </w:rPr>
      </w:pPr>
      <w:r w:rsidRPr="002928F8">
        <w:rPr>
          <w:sz w:val="24"/>
        </w:rPr>
        <w:t>Country Snapshot</w:t>
      </w:r>
    </w:p>
    <w:p w:rsidR="00471BAA" w:rsidRPr="002928F8" w:rsidRDefault="002928F8" w:rsidP="002928F8">
      <w:pPr>
        <w:pStyle w:val="ListNumber"/>
        <w:spacing w:after="0"/>
        <w:rPr>
          <w:sz w:val="24"/>
        </w:rPr>
      </w:pPr>
      <w:r w:rsidRPr="002928F8">
        <w:rPr>
          <w:sz w:val="24"/>
        </w:rPr>
        <w:t>Investment Climate &amp; Business Environment</w:t>
      </w:r>
    </w:p>
    <w:p w:rsidR="00471BAA" w:rsidRPr="002928F8" w:rsidRDefault="002928F8" w:rsidP="002928F8">
      <w:pPr>
        <w:pStyle w:val="ListNumber"/>
        <w:spacing w:after="0"/>
        <w:rPr>
          <w:sz w:val="24"/>
        </w:rPr>
      </w:pPr>
      <w:r w:rsidRPr="002928F8">
        <w:rPr>
          <w:sz w:val="24"/>
        </w:rPr>
        <w:t>Market Entry Strategy</w:t>
      </w:r>
    </w:p>
    <w:p w:rsidR="00471BAA" w:rsidRPr="002928F8" w:rsidRDefault="002928F8" w:rsidP="002928F8">
      <w:pPr>
        <w:pStyle w:val="ListNumber"/>
        <w:spacing w:after="0"/>
        <w:rPr>
          <w:sz w:val="24"/>
        </w:rPr>
      </w:pPr>
      <w:r w:rsidRPr="002928F8">
        <w:rPr>
          <w:sz w:val="24"/>
        </w:rPr>
        <w:t>Legal and Regulatory Framework</w:t>
      </w:r>
    </w:p>
    <w:p w:rsidR="00471BAA" w:rsidRPr="002928F8" w:rsidRDefault="002928F8" w:rsidP="002928F8">
      <w:pPr>
        <w:pStyle w:val="ListNumber"/>
        <w:spacing w:after="0"/>
        <w:rPr>
          <w:sz w:val="24"/>
        </w:rPr>
      </w:pPr>
      <w:r w:rsidRPr="002928F8">
        <w:rPr>
          <w:sz w:val="24"/>
        </w:rPr>
        <w:t>Business Structures for Foreign Investors</w:t>
      </w:r>
    </w:p>
    <w:p w:rsidR="00471BAA" w:rsidRPr="002928F8" w:rsidRDefault="002928F8" w:rsidP="002928F8">
      <w:pPr>
        <w:pStyle w:val="ListNumber"/>
        <w:spacing w:after="0"/>
        <w:rPr>
          <w:sz w:val="24"/>
        </w:rPr>
      </w:pPr>
      <w:r w:rsidRPr="002928F8">
        <w:rPr>
          <w:sz w:val="24"/>
        </w:rPr>
        <w:t>Foreign Investment Rules and Exchange Control</w:t>
      </w:r>
    </w:p>
    <w:p w:rsidR="00471BAA" w:rsidRPr="002928F8" w:rsidRDefault="002928F8" w:rsidP="002928F8">
      <w:pPr>
        <w:pStyle w:val="ListNumber"/>
        <w:spacing w:after="0"/>
        <w:rPr>
          <w:sz w:val="24"/>
        </w:rPr>
      </w:pPr>
      <w:r w:rsidRPr="002928F8">
        <w:rPr>
          <w:sz w:val="24"/>
        </w:rPr>
        <w:t>Step-by-Step Incorporation &amp; Registration Process</w:t>
      </w:r>
    </w:p>
    <w:p w:rsidR="00471BAA" w:rsidRPr="002928F8" w:rsidRDefault="002928F8" w:rsidP="002928F8">
      <w:pPr>
        <w:pStyle w:val="ListNumber"/>
        <w:spacing w:after="0"/>
        <w:rPr>
          <w:sz w:val="24"/>
        </w:rPr>
      </w:pPr>
      <w:r w:rsidRPr="002928F8">
        <w:rPr>
          <w:sz w:val="24"/>
        </w:rPr>
        <w:t>Licenses, Approvals, and Sector-Specific Requirements</w:t>
      </w:r>
    </w:p>
    <w:p w:rsidR="00471BAA" w:rsidRPr="002928F8" w:rsidRDefault="002928F8" w:rsidP="002928F8">
      <w:pPr>
        <w:pStyle w:val="ListNumber"/>
        <w:spacing w:after="0"/>
        <w:rPr>
          <w:sz w:val="24"/>
        </w:rPr>
      </w:pPr>
      <w:r w:rsidRPr="002928F8">
        <w:rPr>
          <w:sz w:val="24"/>
        </w:rPr>
        <w:t>Taxation and Incentives</w:t>
      </w:r>
    </w:p>
    <w:p w:rsidR="00471BAA" w:rsidRPr="002928F8" w:rsidRDefault="002928F8" w:rsidP="002928F8">
      <w:pPr>
        <w:pStyle w:val="ListNumber"/>
        <w:spacing w:after="0"/>
        <w:rPr>
          <w:sz w:val="24"/>
        </w:rPr>
      </w:pPr>
      <w:r w:rsidRPr="002928F8">
        <w:rPr>
          <w:sz w:val="24"/>
        </w:rPr>
        <w:t>Banking, Finance, and Repatriation</w:t>
      </w:r>
    </w:p>
    <w:p w:rsidR="00471BAA" w:rsidRPr="002928F8" w:rsidRDefault="002928F8" w:rsidP="002928F8">
      <w:pPr>
        <w:pStyle w:val="ListNumber"/>
        <w:spacing w:after="0"/>
        <w:rPr>
          <w:sz w:val="24"/>
        </w:rPr>
      </w:pPr>
      <w:r w:rsidRPr="002928F8">
        <w:rPr>
          <w:sz w:val="24"/>
        </w:rPr>
        <w:t>Employment, Immigration, and Payroll</w:t>
      </w:r>
    </w:p>
    <w:p w:rsidR="00471BAA" w:rsidRPr="002928F8" w:rsidRDefault="002928F8" w:rsidP="002928F8">
      <w:pPr>
        <w:pStyle w:val="ListNumber"/>
        <w:spacing w:after="0"/>
        <w:rPr>
          <w:sz w:val="24"/>
        </w:rPr>
      </w:pPr>
      <w:r w:rsidRPr="002928F8">
        <w:rPr>
          <w:sz w:val="24"/>
        </w:rPr>
        <w:t>Intellectual Property, Data, and Technology</w:t>
      </w:r>
    </w:p>
    <w:p w:rsidR="00471BAA" w:rsidRPr="002928F8" w:rsidRDefault="002928F8" w:rsidP="002928F8">
      <w:pPr>
        <w:pStyle w:val="ListNumber"/>
        <w:spacing w:after="0"/>
        <w:rPr>
          <w:sz w:val="24"/>
        </w:rPr>
      </w:pPr>
      <w:r w:rsidRPr="002928F8">
        <w:rPr>
          <w:sz w:val="24"/>
        </w:rPr>
        <w:t>Commercial Contracts and Local Practices</w:t>
      </w:r>
    </w:p>
    <w:p w:rsidR="00471BAA" w:rsidRPr="002928F8" w:rsidRDefault="002928F8" w:rsidP="002928F8">
      <w:pPr>
        <w:pStyle w:val="ListNumber"/>
        <w:spacing w:after="0"/>
        <w:rPr>
          <w:sz w:val="24"/>
        </w:rPr>
      </w:pPr>
      <w:r w:rsidRPr="002928F8">
        <w:rPr>
          <w:sz w:val="24"/>
        </w:rPr>
        <w:t>Operations, Location, and Economic Clusters</w:t>
      </w:r>
    </w:p>
    <w:p w:rsidR="00471BAA" w:rsidRPr="002928F8" w:rsidRDefault="002928F8" w:rsidP="002928F8">
      <w:pPr>
        <w:pStyle w:val="ListNumber"/>
        <w:spacing w:after="0"/>
        <w:rPr>
          <w:sz w:val="24"/>
        </w:rPr>
      </w:pPr>
      <w:r w:rsidRPr="002928F8">
        <w:rPr>
          <w:sz w:val="24"/>
        </w:rPr>
        <w:t>Compliance Calendar and Ongoing Obligations</w:t>
      </w:r>
    </w:p>
    <w:p w:rsidR="00471BAA" w:rsidRPr="002928F8" w:rsidRDefault="002928F8" w:rsidP="002928F8">
      <w:pPr>
        <w:pStyle w:val="ListNumber"/>
        <w:spacing w:after="0"/>
        <w:rPr>
          <w:sz w:val="24"/>
        </w:rPr>
      </w:pPr>
      <w:r w:rsidRPr="002928F8">
        <w:rPr>
          <w:sz w:val="24"/>
        </w:rPr>
        <w:t>Risk, Disputes, and Exit Options</w:t>
      </w:r>
    </w:p>
    <w:p w:rsidR="00471BAA" w:rsidRPr="002928F8" w:rsidRDefault="002928F8" w:rsidP="002928F8">
      <w:pPr>
        <w:pStyle w:val="ListNumber"/>
        <w:spacing w:after="0"/>
        <w:rPr>
          <w:sz w:val="24"/>
        </w:rPr>
      </w:pPr>
      <w:r w:rsidRPr="002928F8">
        <w:rPr>
          <w:sz w:val="24"/>
        </w:rPr>
        <w:t>Practical Checklists and Tools</w:t>
      </w:r>
    </w:p>
    <w:p w:rsidR="00471BAA" w:rsidRPr="002928F8" w:rsidRDefault="002928F8" w:rsidP="002928F8">
      <w:pPr>
        <w:pStyle w:val="ListNumber"/>
        <w:spacing w:after="0"/>
        <w:rPr>
          <w:sz w:val="24"/>
        </w:rPr>
      </w:pPr>
      <w:r w:rsidRPr="002928F8">
        <w:rPr>
          <w:sz w:val="24"/>
        </w:rPr>
        <w:t>Compliance Penalty Matrix</w:t>
      </w:r>
    </w:p>
    <w:p w:rsidR="00471BAA" w:rsidRPr="002928F8" w:rsidRDefault="002928F8" w:rsidP="002928F8">
      <w:pPr>
        <w:pStyle w:val="ListNumber"/>
        <w:spacing w:after="0"/>
        <w:rPr>
          <w:sz w:val="24"/>
        </w:rPr>
      </w:pPr>
      <w:r w:rsidRPr="002928F8">
        <w:rPr>
          <w:sz w:val="24"/>
        </w:rPr>
        <w:t>How Comply Globally Supports Entry Canada</w:t>
      </w:r>
    </w:p>
    <w:p w:rsidR="00471BAA" w:rsidRPr="002928F8" w:rsidRDefault="002928F8" w:rsidP="002928F8">
      <w:pPr>
        <w:pStyle w:val="ListNumber"/>
        <w:spacing w:after="0"/>
        <w:rPr>
          <w:sz w:val="24"/>
        </w:rPr>
      </w:pPr>
      <w:r w:rsidRPr="002928F8">
        <w:rPr>
          <w:sz w:val="24"/>
        </w:rPr>
        <w:t>References</w:t>
      </w:r>
    </w:p>
    <w:p w:rsidR="00471BAA" w:rsidRPr="002928F8" w:rsidRDefault="002928F8">
      <w:pPr>
        <w:rPr>
          <w:sz w:val="22"/>
        </w:rPr>
      </w:pPr>
      <w:r w:rsidRPr="002928F8">
        <w:rPr>
          <w:sz w:val="22"/>
        </w:rPr>
        <w:br w:type="page"/>
      </w:r>
    </w:p>
    <w:p w:rsidR="00471BAA" w:rsidRPr="002928F8" w:rsidRDefault="002928F8" w:rsidP="002928F8">
      <w:pPr>
        <w:pStyle w:val="Heading1"/>
      </w:pPr>
      <w:r w:rsidRPr="002928F8">
        <w:lastRenderedPageBreak/>
        <w:t>1. Executive Overview</w:t>
      </w:r>
    </w:p>
    <w:p w:rsidR="00471BAA" w:rsidRPr="002928F8" w:rsidRDefault="002928F8">
      <w:pPr>
        <w:spacing w:after="80"/>
        <w:rPr>
          <w:sz w:val="22"/>
        </w:rPr>
      </w:pPr>
      <w:r w:rsidRPr="002928F8">
        <w:rPr>
          <w:sz w:val="22"/>
        </w:rPr>
        <w:t>This guide is designed for Indian entrepreneurs, investors, and expansion-stage companies seeking to establish or expand business operations in Canada. It provides an overview of the Canadian legal, regulatory, tax, immigration, and operational landscape relevant to foreign-owned businesses. Canada is a federal parliamentary democracy and constitutional monarchy with 10 provinces and 3 territories, a strong rule-of-law environment, and broad access to global markets through trade agreements such as CUSMA, CETA, and CPTPP. [1][2][3]</w:t>
      </w:r>
    </w:p>
    <w:p w:rsidR="00471BAA" w:rsidRPr="002928F8" w:rsidRDefault="002928F8">
      <w:pPr>
        <w:pStyle w:val="Heading2"/>
        <w:rPr>
          <w:sz w:val="22"/>
          <w:szCs w:val="22"/>
        </w:rPr>
      </w:pPr>
      <w:r w:rsidRPr="002928F8">
        <w:rPr>
          <w:sz w:val="22"/>
          <w:szCs w:val="22"/>
        </w:rPr>
        <w:t>1.1 Why Canada?</w:t>
      </w:r>
    </w:p>
    <w:p w:rsidR="00471BAA" w:rsidRPr="002928F8" w:rsidRDefault="002928F8">
      <w:pPr>
        <w:spacing w:after="80"/>
        <w:rPr>
          <w:sz w:val="22"/>
        </w:rPr>
      </w:pPr>
      <w:r w:rsidRPr="002928F8">
        <w:rPr>
          <w:sz w:val="22"/>
        </w:rPr>
        <w:t>Canada offers a large, stable, high-income market; strong institutions; a widely used English-language business environment; deep capital markets; and established talent pools in Toronto, Vancouver, Montreal, Calgary, Waterloo, and Ottawa. For Indian businesses, Canada is also attractive because it combines a familiar common-law tradition in most provinces with a globally connected trading platform and a significant South Asian community. [1][2]</w:t>
      </w:r>
    </w:p>
    <w:p w:rsidR="00471BAA" w:rsidRPr="002928F8" w:rsidRDefault="002928F8">
      <w:pPr>
        <w:pStyle w:val="Heading2"/>
        <w:rPr>
          <w:sz w:val="22"/>
          <w:szCs w:val="22"/>
        </w:rPr>
      </w:pPr>
      <w:r w:rsidRPr="002928F8">
        <w:rPr>
          <w:sz w:val="22"/>
          <w:szCs w:val="22"/>
        </w:rPr>
        <w:t>1.2 Typical Entry Timelines and Cost Ranges</w:t>
      </w:r>
    </w:p>
    <w:p w:rsidR="00471BAA" w:rsidRPr="002928F8" w:rsidRDefault="002928F8">
      <w:pPr>
        <w:spacing w:after="80"/>
        <w:rPr>
          <w:sz w:val="22"/>
        </w:rPr>
      </w:pPr>
      <w:r w:rsidRPr="002928F8">
        <w:rPr>
          <w:sz w:val="22"/>
        </w:rPr>
        <w:t>A simple incorporation can be completed online, but banking, tax registrations, payroll set-up, and local licensing usually take longer. In practice, a straightforward entry may take 2-8 weeks from planning to operational readiness, depending on the province, business model, and banking/KYC requirements. Government filing fees are generally modest; professional fees, registered office arrangements, banking support, and ongoing compliance services typically form the larger part of start-up costs. [4][5]</w:t>
      </w: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471BAA" w:rsidRPr="002928F8" w:rsidRDefault="002928F8" w:rsidP="002928F8">
      <w:pPr>
        <w:pStyle w:val="Heading1"/>
      </w:pPr>
      <w:r w:rsidRPr="002928F8">
        <w:lastRenderedPageBreak/>
        <w:t>2. Country Snapshot</w:t>
      </w:r>
    </w:p>
    <w:p w:rsidR="00471BAA" w:rsidRPr="002928F8" w:rsidRDefault="002928F8">
      <w:pPr>
        <w:pStyle w:val="Heading2"/>
        <w:rPr>
          <w:sz w:val="22"/>
          <w:szCs w:val="22"/>
        </w:rPr>
      </w:pPr>
      <w:r w:rsidRPr="002928F8">
        <w:rPr>
          <w:sz w:val="22"/>
          <w:szCs w:val="22"/>
        </w:rPr>
        <w:t>2.1 Political and Economic Overview</w:t>
      </w:r>
    </w:p>
    <w:p w:rsidR="00471BAA" w:rsidRPr="002928F8" w:rsidRDefault="002928F8">
      <w:pPr>
        <w:spacing w:after="80"/>
        <w:rPr>
          <w:sz w:val="22"/>
        </w:rPr>
      </w:pPr>
      <w:r w:rsidRPr="002928F8">
        <w:rPr>
          <w:sz w:val="22"/>
        </w:rPr>
        <w:t>Canada is a constitutional monarchy with a parliamentary democracy. The country’s population was estimated at 41,472,081 on January 1, 2026. The IMF projects 2026 real GDP growth at 1.5% and consumer price inflation at 2.5%, while the IMF also places Canada’s 2026 nominal GDP at roughly US$2.51 trillion. Canada’s economy is diversified and services-led, with finance, trade, real estate, professional services, technology, energy, manufacturing, and public services playing major roles. [1][6]</w:t>
      </w:r>
    </w:p>
    <w:p w:rsidR="00471BAA" w:rsidRPr="002928F8" w:rsidRDefault="002928F8">
      <w:pPr>
        <w:pStyle w:val="Heading2"/>
        <w:rPr>
          <w:sz w:val="22"/>
          <w:szCs w:val="22"/>
        </w:rPr>
      </w:pPr>
      <w:r w:rsidRPr="002928F8">
        <w:rPr>
          <w:sz w:val="22"/>
          <w:szCs w:val="22"/>
        </w:rPr>
        <w:t>2.2 Demographics and Key Economic Hubs</w:t>
      </w:r>
    </w:p>
    <w:p w:rsidR="00471BAA" w:rsidRPr="002928F8" w:rsidRDefault="002928F8">
      <w:pPr>
        <w:spacing w:after="80"/>
        <w:rPr>
          <w:sz w:val="22"/>
        </w:rPr>
      </w:pPr>
      <w:r w:rsidRPr="002928F8">
        <w:rPr>
          <w:sz w:val="22"/>
        </w:rPr>
        <w:t>Canada has a highly educated labour force and a large South Asian community. Statistics Canada reported that South Asian populations numbered nearly 2.6 million in the 2021 Census and that India was the country of birth for 44% of South Asians. Toronto is the country’s leading business and financial centre, with Vancouver, Montreal, Calgary, Ottawa, Edmonton, and Waterloo among the important secondary hubs for trade, technology, research, and head-office functions. [1]</w:t>
      </w:r>
    </w:p>
    <w:p w:rsidR="00471BAA" w:rsidRPr="002928F8" w:rsidRDefault="002928F8">
      <w:pPr>
        <w:pStyle w:val="Heading2"/>
        <w:rPr>
          <w:sz w:val="22"/>
          <w:szCs w:val="22"/>
        </w:rPr>
      </w:pPr>
      <w:r w:rsidRPr="002928F8">
        <w:rPr>
          <w:sz w:val="22"/>
          <w:szCs w:val="22"/>
        </w:rPr>
        <w:t>2.3 Trade Agreements and Tax Treaties</w:t>
      </w:r>
    </w:p>
    <w:p w:rsidR="00471BAA" w:rsidRPr="002928F8" w:rsidRDefault="002928F8">
      <w:pPr>
        <w:spacing w:after="80"/>
        <w:rPr>
          <w:sz w:val="22"/>
        </w:rPr>
      </w:pPr>
      <w:r w:rsidRPr="002928F8">
        <w:rPr>
          <w:sz w:val="22"/>
        </w:rPr>
        <w:t>Canada maintains an extensive network of trade agreements and tax treaties. Global Affairs Canada lists Canada’s active trade and investment agreements, including CUSMA, CETA, and CPTPP, while the Department of Finance and the CRA maintain the country’s tax treaty resources and in-force treaty pages. Canada is also a member of the WTO, OECD, G7, and G20. [2][3][7][8]</w:t>
      </w: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471BAA" w:rsidRPr="002928F8" w:rsidRDefault="002928F8" w:rsidP="002928F8">
      <w:pPr>
        <w:pStyle w:val="Heading1"/>
      </w:pPr>
      <w:r w:rsidRPr="002928F8">
        <w:lastRenderedPageBreak/>
        <w:t>3. Investment Climate &amp; Business Environment</w:t>
      </w:r>
    </w:p>
    <w:p w:rsidR="00471BAA" w:rsidRPr="002928F8" w:rsidRDefault="002928F8">
      <w:pPr>
        <w:pStyle w:val="Heading2"/>
        <w:rPr>
          <w:sz w:val="22"/>
          <w:szCs w:val="22"/>
        </w:rPr>
      </w:pPr>
      <w:r w:rsidRPr="002928F8">
        <w:rPr>
          <w:sz w:val="22"/>
          <w:szCs w:val="22"/>
        </w:rPr>
        <w:t>3.1 Openness to Foreign Investment</w:t>
      </w:r>
    </w:p>
    <w:p w:rsidR="00471BAA" w:rsidRPr="002928F8" w:rsidRDefault="002928F8">
      <w:pPr>
        <w:spacing w:after="80"/>
        <w:rPr>
          <w:sz w:val="22"/>
        </w:rPr>
      </w:pPr>
      <w:r w:rsidRPr="002928F8">
        <w:rPr>
          <w:sz w:val="22"/>
        </w:rPr>
        <w:t>Foreign investment is generally permitted in Canada, and many sectors allow 100% foreign ownership. However, the Investment Canada Act applies to certain investments by non-Canadians, including a national security review regime that can apply to investments of any size, and some industries remain subject to specific federal or provincial restrictions. [9][10]</w:t>
      </w:r>
    </w:p>
    <w:p w:rsidR="00471BAA" w:rsidRPr="002928F8" w:rsidRDefault="002928F8">
      <w:pPr>
        <w:pStyle w:val="Heading2"/>
        <w:rPr>
          <w:sz w:val="22"/>
          <w:szCs w:val="22"/>
        </w:rPr>
      </w:pPr>
      <w:r w:rsidRPr="002928F8">
        <w:rPr>
          <w:sz w:val="22"/>
          <w:szCs w:val="22"/>
        </w:rPr>
        <w:t>3.2 Ease of Doing Business</w:t>
      </w:r>
    </w:p>
    <w:p w:rsidR="00471BAA" w:rsidRPr="002928F8" w:rsidRDefault="002928F8">
      <w:pPr>
        <w:spacing w:after="80"/>
        <w:rPr>
          <w:sz w:val="22"/>
        </w:rPr>
      </w:pPr>
      <w:r w:rsidRPr="002928F8">
        <w:rPr>
          <w:sz w:val="22"/>
        </w:rPr>
        <w:t>Canada offers modern online registration and filing systems at both federal and provincial levels. Businesses can obtain a Business Number (BN), register tax program accounts, and file annual corporate returns electronically. Federal corporations must file an annual return and Individuals with Significant Control (ISC) information within 60 days of the corporation’s anniversary date. [4][11][12]</w:t>
      </w:r>
    </w:p>
    <w:p w:rsidR="00471BAA" w:rsidRPr="002928F8" w:rsidRDefault="002928F8">
      <w:pPr>
        <w:pStyle w:val="Heading2"/>
        <w:rPr>
          <w:sz w:val="22"/>
          <w:szCs w:val="22"/>
        </w:rPr>
      </w:pPr>
      <w:r w:rsidRPr="002928F8">
        <w:rPr>
          <w:sz w:val="22"/>
          <w:szCs w:val="22"/>
        </w:rPr>
        <w:t>3.3 Priority Sectors and Incentives</w:t>
      </w:r>
    </w:p>
    <w:p w:rsidR="00471BAA" w:rsidRPr="002928F8" w:rsidRDefault="002928F8">
      <w:pPr>
        <w:spacing w:after="80"/>
        <w:rPr>
          <w:sz w:val="22"/>
        </w:rPr>
      </w:pPr>
      <w:r w:rsidRPr="002928F8">
        <w:rPr>
          <w:sz w:val="22"/>
        </w:rPr>
        <w:t>Canadian policy support is particularly relevant in clean technology, advanced manufacturing, artificial intelligence, life sciences, natural resources, digital services, and industrial innovation. Common incentives include SR&amp;ED tax incentives, Clean Technology Investment Tax Credit opportunities, regional development programs, and innovation funding through agencies such as NRC IRAP and other federal or provincial programs. [13][14][15][16]</w:t>
      </w: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471BAA" w:rsidRPr="002928F8" w:rsidRDefault="002928F8" w:rsidP="002928F8">
      <w:pPr>
        <w:pStyle w:val="Heading1"/>
      </w:pPr>
      <w:r w:rsidRPr="002928F8">
        <w:lastRenderedPageBreak/>
        <w:t>4. Market Entry Strategy</w:t>
      </w:r>
    </w:p>
    <w:p w:rsidR="00471BAA" w:rsidRPr="002928F8" w:rsidRDefault="002928F8">
      <w:pPr>
        <w:pStyle w:val="Heading2"/>
        <w:rPr>
          <w:sz w:val="22"/>
          <w:szCs w:val="22"/>
        </w:rPr>
      </w:pPr>
      <w:r w:rsidRPr="002928F8">
        <w:rPr>
          <w:sz w:val="22"/>
          <w:szCs w:val="22"/>
        </w:rPr>
        <w:t>4.1 Go-to-Market Models</w:t>
      </w:r>
    </w:p>
    <w:p w:rsidR="00471BAA" w:rsidRPr="002928F8" w:rsidRDefault="002928F8" w:rsidP="000F4F69">
      <w:pPr>
        <w:spacing w:after="80" w:line="360" w:lineRule="auto"/>
        <w:rPr>
          <w:sz w:val="22"/>
        </w:rPr>
      </w:pPr>
      <w:r w:rsidRPr="002928F8">
        <w:rPr>
          <w:sz w:val="22"/>
        </w:rPr>
        <w:t>Indian entrants typically consider: (a) direct export to Canadian customers; (b) appointing a Canadian distributor or agent; (c) incorporating a Canadian subsidiary federally or provincially; (d) creating a joint venture with a Canadian partner; (e) setting up a branch or extra-provincial registration of the Indian parent; (f) using a partnership or limited liability partnership structure where appropriate; or (g) acquiring an existing Canadian business. [4][17][18]</w:t>
      </w:r>
    </w:p>
    <w:p w:rsidR="00471BAA" w:rsidRPr="002928F8" w:rsidRDefault="002928F8" w:rsidP="000F4F69">
      <w:pPr>
        <w:pStyle w:val="Heading2"/>
        <w:spacing w:line="360" w:lineRule="auto"/>
        <w:rPr>
          <w:sz w:val="22"/>
          <w:szCs w:val="22"/>
        </w:rPr>
      </w:pPr>
      <w:r w:rsidRPr="002928F8">
        <w:rPr>
          <w:sz w:val="22"/>
          <w:szCs w:val="22"/>
        </w:rPr>
        <w:t>4.2 Strategic Considerations</w:t>
      </w:r>
    </w:p>
    <w:p w:rsidR="00471BAA" w:rsidRPr="002928F8" w:rsidRDefault="002928F8" w:rsidP="000F4F69">
      <w:pPr>
        <w:spacing w:after="80" w:line="360" w:lineRule="auto"/>
        <w:rPr>
          <w:sz w:val="22"/>
        </w:rPr>
      </w:pPr>
      <w:r w:rsidRPr="002928F8">
        <w:rPr>
          <w:sz w:val="22"/>
        </w:rPr>
        <w:t>Key entry considerations include tax efficiency, liability isolation, customer credibility, ability to raise Canadian finance, access to local incentives, and ease of exit or restructuring. For most operating businesses, a Canadian corporation is the preferred structure because it is a separate legal entity and gives a clear framework for contracts, payroll, GST/HST, and Canadian banking. [4][17][18]</w:t>
      </w:r>
    </w:p>
    <w:tbl>
      <w:tblPr>
        <w:tblStyle w:val="TableGrid"/>
        <w:tblW w:w="0" w:type="auto"/>
        <w:jc w:val="center"/>
        <w:tblLook w:val="04A0" w:firstRow="1" w:lastRow="0" w:firstColumn="1" w:lastColumn="0" w:noHBand="0" w:noVBand="1"/>
      </w:tblPr>
      <w:tblGrid>
        <w:gridCol w:w="2575"/>
        <w:gridCol w:w="2575"/>
        <w:gridCol w:w="2575"/>
        <w:gridCol w:w="2575"/>
      </w:tblGrid>
      <w:tr w:rsidR="00471BAA" w:rsidRPr="002928F8" w:rsidTr="000F4F69">
        <w:trPr>
          <w:trHeight w:val="543"/>
          <w:jc w:val="center"/>
        </w:trPr>
        <w:tc>
          <w:tcPr>
            <w:tcW w:w="2575" w:type="dxa"/>
            <w:shd w:val="clear" w:color="auto" w:fill="D9EAF7"/>
            <w:vAlign w:val="center"/>
          </w:tcPr>
          <w:p w:rsidR="00471BAA" w:rsidRPr="002928F8" w:rsidRDefault="002928F8" w:rsidP="000F4F69">
            <w:pPr>
              <w:spacing w:line="360" w:lineRule="auto"/>
              <w:rPr>
                <w:sz w:val="22"/>
              </w:rPr>
            </w:pPr>
            <w:r w:rsidRPr="002928F8">
              <w:rPr>
                <w:b/>
                <w:sz w:val="22"/>
              </w:rPr>
              <w:t>Entry Model</w:t>
            </w:r>
          </w:p>
        </w:tc>
        <w:tc>
          <w:tcPr>
            <w:tcW w:w="2575" w:type="dxa"/>
            <w:shd w:val="clear" w:color="auto" w:fill="D9EAF7"/>
            <w:vAlign w:val="center"/>
          </w:tcPr>
          <w:p w:rsidR="00471BAA" w:rsidRPr="002928F8" w:rsidRDefault="002928F8" w:rsidP="000F4F69">
            <w:pPr>
              <w:spacing w:line="360" w:lineRule="auto"/>
              <w:rPr>
                <w:sz w:val="22"/>
              </w:rPr>
            </w:pPr>
            <w:r w:rsidRPr="002928F8">
              <w:rPr>
                <w:b/>
                <w:sz w:val="22"/>
              </w:rPr>
              <w:t>Control</w:t>
            </w:r>
          </w:p>
        </w:tc>
        <w:tc>
          <w:tcPr>
            <w:tcW w:w="2575" w:type="dxa"/>
            <w:shd w:val="clear" w:color="auto" w:fill="D9EAF7"/>
            <w:vAlign w:val="center"/>
          </w:tcPr>
          <w:p w:rsidR="00471BAA" w:rsidRPr="002928F8" w:rsidRDefault="002928F8" w:rsidP="000F4F69">
            <w:pPr>
              <w:spacing w:line="360" w:lineRule="auto"/>
              <w:rPr>
                <w:sz w:val="22"/>
              </w:rPr>
            </w:pPr>
            <w:r w:rsidRPr="002928F8">
              <w:rPr>
                <w:b/>
                <w:sz w:val="22"/>
              </w:rPr>
              <w:t>Speed</w:t>
            </w:r>
          </w:p>
        </w:tc>
        <w:tc>
          <w:tcPr>
            <w:tcW w:w="2575" w:type="dxa"/>
            <w:shd w:val="clear" w:color="auto" w:fill="D9EAF7"/>
            <w:vAlign w:val="center"/>
          </w:tcPr>
          <w:p w:rsidR="00471BAA" w:rsidRPr="002928F8" w:rsidRDefault="002928F8" w:rsidP="000F4F69">
            <w:pPr>
              <w:spacing w:line="360" w:lineRule="auto"/>
              <w:rPr>
                <w:sz w:val="22"/>
              </w:rPr>
            </w:pPr>
            <w:r w:rsidRPr="002928F8">
              <w:rPr>
                <w:b/>
                <w:sz w:val="22"/>
              </w:rPr>
              <w:t>Typical Use</w:t>
            </w:r>
          </w:p>
        </w:tc>
      </w:tr>
      <w:tr w:rsidR="00471BAA" w:rsidRPr="002928F8" w:rsidTr="000F4F69">
        <w:trPr>
          <w:trHeight w:val="1110"/>
          <w:jc w:val="center"/>
        </w:trPr>
        <w:tc>
          <w:tcPr>
            <w:tcW w:w="2575" w:type="dxa"/>
            <w:vAlign w:val="center"/>
          </w:tcPr>
          <w:p w:rsidR="00471BAA" w:rsidRPr="002928F8" w:rsidRDefault="002928F8" w:rsidP="000F4F69">
            <w:pPr>
              <w:spacing w:line="360" w:lineRule="auto"/>
              <w:rPr>
                <w:sz w:val="22"/>
              </w:rPr>
            </w:pPr>
            <w:r w:rsidRPr="002928F8">
              <w:rPr>
                <w:sz w:val="22"/>
              </w:rPr>
              <w:t>Canadian corporation</w:t>
            </w:r>
          </w:p>
        </w:tc>
        <w:tc>
          <w:tcPr>
            <w:tcW w:w="2575" w:type="dxa"/>
            <w:vAlign w:val="center"/>
          </w:tcPr>
          <w:p w:rsidR="00471BAA" w:rsidRPr="002928F8" w:rsidRDefault="002928F8" w:rsidP="000F4F69">
            <w:pPr>
              <w:spacing w:line="360" w:lineRule="auto"/>
              <w:rPr>
                <w:sz w:val="22"/>
              </w:rPr>
            </w:pPr>
            <w:r w:rsidRPr="002928F8">
              <w:rPr>
                <w:sz w:val="22"/>
              </w:rPr>
              <w:t>High</w:t>
            </w:r>
          </w:p>
        </w:tc>
        <w:tc>
          <w:tcPr>
            <w:tcW w:w="2575" w:type="dxa"/>
            <w:vAlign w:val="center"/>
          </w:tcPr>
          <w:p w:rsidR="00471BAA" w:rsidRPr="002928F8" w:rsidRDefault="002928F8" w:rsidP="000F4F69">
            <w:pPr>
              <w:spacing w:line="360" w:lineRule="auto"/>
              <w:rPr>
                <w:sz w:val="22"/>
              </w:rPr>
            </w:pPr>
            <w:r w:rsidRPr="002928F8">
              <w:rPr>
                <w:sz w:val="22"/>
              </w:rPr>
              <w:t>Fast</w:t>
            </w:r>
          </w:p>
        </w:tc>
        <w:tc>
          <w:tcPr>
            <w:tcW w:w="2575" w:type="dxa"/>
            <w:vAlign w:val="center"/>
          </w:tcPr>
          <w:p w:rsidR="00471BAA" w:rsidRPr="002928F8" w:rsidRDefault="002928F8" w:rsidP="000F4F69">
            <w:pPr>
              <w:spacing w:line="360" w:lineRule="auto"/>
              <w:rPr>
                <w:sz w:val="22"/>
              </w:rPr>
            </w:pPr>
            <w:r w:rsidRPr="002928F8">
              <w:rPr>
                <w:sz w:val="22"/>
              </w:rPr>
              <w:t>Most operating businesses</w:t>
            </w:r>
          </w:p>
        </w:tc>
      </w:tr>
      <w:tr w:rsidR="00471BAA" w:rsidRPr="002928F8" w:rsidTr="000F4F69">
        <w:trPr>
          <w:trHeight w:val="1084"/>
          <w:jc w:val="center"/>
        </w:trPr>
        <w:tc>
          <w:tcPr>
            <w:tcW w:w="2575" w:type="dxa"/>
            <w:vAlign w:val="center"/>
          </w:tcPr>
          <w:p w:rsidR="00471BAA" w:rsidRPr="002928F8" w:rsidRDefault="002928F8" w:rsidP="000F4F69">
            <w:pPr>
              <w:spacing w:line="360" w:lineRule="auto"/>
              <w:rPr>
                <w:sz w:val="22"/>
              </w:rPr>
            </w:pPr>
            <w:r w:rsidRPr="002928F8">
              <w:rPr>
                <w:sz w:val="22"/>
              </w:rPr>
              <w:t>Joint venture</w:t>
            </w:r>
          </w:p>
        </w:tc>
        <w:tc>
          <w:tcPr>
            <w:tcW w:w="2575" w:type="dxa"/>
            <w:vAlign w:val="center"/>
          </w:tcPr>
          <w:p w:rsidR="00471BAA" w:rsidRPr="002928F8" w:rsidRDefault="002928F8" w:rsidP="000F4F69">
            <w:pPr>
              <w:spacing w:line="360" w:lineRule="auto"/>
              <w:rPr>
                <w:sz w:val="22"/>
              </w:rPr>
            </w:pPr>
            <w:r w:rsidRPr="002928F8">
              <w:rPr>
                <w:sz w:val="22"/>
              </w:rPr>
              <w:t>Shared</w:t>
            </w:r>
          </w:p>
        </w:tc>
        <w:tc>
          <w:tcPr>
            <w:tcW w:w="2575" w:type="dxa"/>
            <w:vAlign w:val="center"/>
          </w:tcPr>
          <w:p w:rsidR="00471BAA" w:rsidRPr="002928F8" w:rsidRDefault="002928F8" w:rsidP="000F4F69">
            <w:pPr>
              <w:spacing w:line="360" w:lineRule="auto"/>
              <w:rPr>
                <w:sz w:val="22"/>
              </w:rPr>
            </w:pPr>
            <w:r w:rsidRPr="002928F8">
              <w:rPr>
                <w:sz w:val="22"/>
              </w:rPr>
              <w:t>Medium</w:t>
            </w:r>
          </w:p>
        </w:tc>
        <w:tc>
          <w:tcPr>
            <w:tcW w:w="2575" w:type="dxa"/>
            <w:vAlign w:val="center"/>
          </w:tcPr>
          <w:p w:rsidR="00471BAA" w:rsidRPr="002928F8" w:rsidRDefault="002928F8" w:rsidP="000F4F69">
            <w:pPr>
              <w:spacing w:line="360" w:lineRule="auto"/>
              <w:rPr>
                <w:sz w:val="22"/>
              </w:rPr>
            </w:pPr>
            <w:r w:rsidRPr="002928F8">
              <w:rPr>
                <w:sz w:val="22"/>
              </w:rPr>
              <w:t>Local partner-led expansion</w:t>
            </w:r>
          </w:p>
        </w:tc>
      </w:tr>
      <w:tr w:rsidR="00471BAA" w:rsidRPr="002928F8" w:rsidTr="000F4F69">
        <w:trPr>
          <w:trHeight w:val="1110"/>
          <w:jc w:val="center"/>
        </w:trPr>
        <w:tc>
          <w:tcPr>
            <w:tcW w:w="2575" w:type="dxa"/>
            <w:vAlign w:val="center"/>
          </w:tcPr>
          <w:p w:rsidR="00471BAA" w:rsidRPr="002928F8" w:rsidRDefault="002928F8" w:rsidP="000F4F69">
            <w:pPr>
              <w:spacing w:line="360" w:lineRule="auto"/>
              <w:rPr>
                <w:sz w:val="22"/>
              </w:rPr>
            </w:pPr>
            <w:r w:rsidRPr="002928F8">
              <w:rPr>
                <w:sz w:val="22"/>
              </w:rPr>
              <w:t>Branch / extra-provincial registration</w:t>
            </w:r>
          </w:p>
        </w:tc>
        <w:tc>
          <w:tcPr>
            <w:tcW w:w="2575" w:type="dxa"/>
            <w:vAlign w:val="center"/>
          </w:tcPr>
          <w:p w:rsidR="00471BAA" w:rsidRPr="002928F8" w:rsidRDefault="002928F8" w:rsidP="000F4F69">
            <w:pPr>
              <w:spacing w:line="360" w:lineRule="auto"/>
              <w:rPr>
                <w:sz w:val="22"/>
              </w:rPr>
            </w:pPr>
            <w:r w:rsidRPr="002928F8">
              <w:rPr>
                <w:sz w:val="22"/>
              </w:rPr>
              <w:t>High</w:t>
            </w:r>
          </w:p>
        </w:tc>
        <w:tc>
          <w:tcPr>
            <w:tcW w:w="2575" w:type="dxa"/>
            <w:vAlign w:val="center"/>
          </w:tcPr>
          <w:p w:rsidR="00471BAA" w:rsidRPr="002928F8" w:rsidRDefault="002928F8" w:rsidP="000F4F69">
            <w:pPr>
              <w:spacing w:line="360" w:lineRule="auto"/>
              <w:rPr>
                <w:sz w:val="22"/>
              </w:rPr>
            </w:pPr>
            <w:r w:rsidRPr="002928F8">
              <w:rPr>
                <w:sz w:val="22"/>
              </w:rPr>
              <w:t>Fast to medium</w:t>
            </w:r>
          </w:p>
        </w:tc>
        <w:tc>
          <w:tcPr>
            <w:tcW w:w="2575" w:type="dxa"/>
            <w:vAlign w:val="center"/>
          </w:tcPr>
          <w:p w:rsidR="00471BAA" w:rsidRPr="002928F8" w:rsidRDefault="002928F8" w:rsidP="000F4F69">
            <w:pPr>
              <w:spacing w:line="360" w:lineRule="auto"/>
              <w:rPr>
                <w:sz w:val="22"/>
              </w:rPr>
            </w:pPr>
            <w:r w:rsidRPr="002928F8">
              <w:rPr>
                <w:sz w:val="22"/>
              </w:rPr>
              <w:t>Testing market entry</w:t>
            </w:r>
          </w:p>
        </w:tc>
      </w:tr>
      <w:tr w:rsidR="00471BAA" w:rsidRPr="002928F8" w:rsidTr="000F4F69">
        <w:trPr>
          <w:trHeight w:val="1110"/>
          <w:jc w:val="center"/>
        </w:trPr>
        <w:tc>
          <w:tcPr>
            <w:tcW w:w="2575" w:type="dxa"/>
            <w:vAlign w:val="center"/>
          </w:tcPr>
          <w:p w:rsidR="00471BAA" w:rsidRPr="002928F8" w:rsidRDefault="002928F8" w:rsidP="000F4F69">
            <w:pPr>
              <w:spacing w:line="360" w:lineRule="auto"/>
              <w:rPr>
                <w:sz w:val="22"/>
              </w:rPr>
            </w:pPr>
            <w:r w:rsidRPr="002928F8">
              <w:rPr>
                <w:sz w:val="22"/>
              </w:rPr>
              <w:t>Partnership / LLP</w:t>
            </w:r>
          </w:p>
        </w:tc>
        <w:tc>
          <w:tcPr>
            <w:tcW w:w="2575" w:type="dxa"/>
            <w:vAlign w:val="center"/>
          </w:tcPr>
          <w:p w:rsidR="00471BAA" w:rsidRPr="002928F8" w:rsidRDefault="002928F8" w:rsidP="000F4F69">
            <w:pPr>
              <w:spacing w:line="360" w:lineRule="auto"/>
              <w:rPr>
                <w:sz w:val="22"/>
              </w:rPr>
            </w:pPr>
            <w:r w:rsidRPr="002928F8">
              <w:rPr>
                <w:sz w:val="22"/>
              </w:rPr>
              <w:t>Shared</w:t>
            </w:r>
          </w:p>
        </w:tc>
        <w:tc>
          <w:tcPr>
            <w:tcW w:w="2575" w:type="dxa"/>
            <w:vAlign w:val="center"/>
          </w:tcPr>
          <w:p w:rsidR="00471BAA" w:rsidRPr="002928F8" w:rsidRDefault="002928F8" w:rsidP="000F4F69">
            <w:pPr>
              <w:spacing w:line="360" w:lineRule="auto"/>
              <w:rPr>
                <w:sz w:val="22"/>
              </w:rPr>
            </w:pPr>
            <w:r w:rsidRPr="002928F8">
              <w:rPr>
                <w:sz w:val="22"/>
              </w:rPr>
              <w:t>Case-specific</w:t>
            </w:r>
          </w:p>
        </w:tc>
        <w:tc>
          <w:tcPr>
            <w:tcW w:w="2575" w:type="dxa"/>
            <w:vAlign w:val="center"/>
          </w:tcPr>
          <w:p w:rsidR="00471BAA" w:rsidRPr="002928F8" w:rsidRDefault="002928F8" w:rsidP="000F4F69">
            <w:pPr>
              <w:spacing w:line="360" w:lineRule="auto"/>
              <w:rPr>
                <w:sz w:val="22"/>
              </w:rPr>
            </w:pPr>
            <w:r w:rsidRPr="002928F8">
              <w:rPr>
                <w:sz w:val="22"/>
              </w:rPr>
              <w:t>Professional or specialist services</w:t>
            </w:r>
          </w:p>
        </w:tc>
      </w:tr>
      <w:tr w:rsidR="00471BAA" w:rsidRPr="002928F8" w:rsidTr="000F4F69">
        <w:trPr>
          <w:trHeight w:val="543"/>
          <w:jc w:val="center"/>
        </w:trPr>
        <w:tc>
          <w:tcPr>
            <w:tcW w:w="2575" w:type="dxa"/>
            <w:vAlign w:val="center"/>
          </w:tcPr>
          <w:p w:rsidR="00471BAA" w:rsidRPr="002928F8" w:rsidRDefault="002928F8" w:rsidP="000F4F69">
            <w:pPr>
              <w:spacing w:line="360" w:lineRule="auto"/>
              <w:rPr>
                <w:sz w:val="22"/>
              </w:rPr>
            </w:pPr>
            <w:r w:rsidRPr="002928F8">
              <w:rPr>
                <w:sz w:val="22"/>
              </w:rPr>
              <w:t>Acquisition</w:t>
            </w:r>
          </w:p>
        </w:tc>
        <w:tc>
          <w:tcPr>
            <w:tcW w:w="2575" w:type="dxa"/>
            <w:vAlign w:val="center"/>
          </w:tcPr>
          <w:p w:rsidR="00471BAA" w:rsidRPr="002928F8" w:rsidRDefault="002928F8" w:rsidP="000F4F69">
            <w:pPr>
              <w:spacing w:line="360" w:lineRule="auto"/>
              <w:rPr>
                <w:sz w:val="22"/>
              </w:rPr>
            </w:pPr>
            <w:r w:rsidRPr="002928F8">
              <w:rPr>
                <w:sz w:val="22"/>
              </w:rPr>
              <w:t>High</w:t>
            </w:r>
          </w:p>
        </w:tc>
        <w:tc>
          <w:tcPr>
            <w:tcW w:w="2575" w:type="dxa"/>
            <w:vAlign w:val="center"/>
          </w:tcPr>
          <w:p w:rsidR="00471BAA" w:rsidRPr="002928F8" w:rsidRDefault="002928F8" w:rsidP="000F4F69">
            <w:pPr>
              <w:spacing w:line="360" w:lineRule="auto"/>
              <w:rPr>
                <w:sz w:val="22"/>
              </w:rPr>
            </w:pPr>
            <w:r w:rsidRPr="002928F8">
              <w:rPr>
                <w:sz w:val="22"/>
              </w:rPr>
              <w:t>Slower</w:t>
            </w:r>
          </w:p>
        </w:tc>
        <w:tc>
          <w:tcPr>
            <w:tcW w:w="2575" w:type="dxa"/>
            <w:vAlign w:val="center"/>
          </w:tcPr>
          <w:p w:rsidR="00471BAA" w:rsidRPr="002928F8" w:rsidRDefault="002928F8" w:rsidP="000F4F69">
            <w:pPr>
              <w:spacing w:line="360" w:lineRule="auto"/>
              <w:rPr>
                <w:sz w:val="22"/>
              </w:rPr>
            </w:pPr>
            <w:r w:rsidRPr="002928F8">
              <w:rPr>
                <w:sz w:val="22"/>
              </w:rPr>
              <w:t>Established market entry</w:t>
            </w:r>
          </w:p>
        </w:tc>
      </w:tr>
    </w:tbl>
    <w:p w:rsidR="00471BAA" w:rsidRPr="002928F8" w:rsidRDefault="00471BAA">
      <w:pPr>
        <w:rPr>
          <w:sz w:val="22"/>
        </w:rPr>
      </w:pPr>
    </w:p>
    <w:p w:rsidR="002928F8" w:rsidRPr="002928F8" w:rsidRDefault="002928F8">
      <w:pPr>
        <w:rPr>
          <w:sz w:val="22"/>
        </w:rPr>
      </w:pPr>
    </w:p>
    <w:p w:rsidR="002928F8" w:rsidRPr="002928F8" w:rsidRDefault="002928F8">
      <w:pPr>
        <w:rPr>
          <w:sz w:val="22"/>
        </w:rPr>
      </w:pPr>
    </w:p>
    <w:p w:rsidR="002928F8" w:rsidRPr="002928F8" w:rsidRDefault="002928F8">
      <w:pPr>
        <w:rPr>
          <w:sz w:val="22"/>
        </w:rPr>
      </w:pPr>
    </w:p>
    <w:p w:rsidR="002928F8" w:rsidRPr="002928F8" w:rsidRDefault="002928F8">
      <w:pPr>
        <w:rPr>
          <w:sz w:val="22"/>
        </w:rPr>
      </w:pPr>
    </w:p>
    <w:p w:rsidR="002928F8" w:rsidRPr="002928F8" w:rsidRDefault="002928F8">
      <w:pPr>
        <w:rPr>
          <w:sz w:val="22"/>
        </w:rPr>
      </w:pPr>
    </w:p>
    <w:p w:rsidR="00471BAA" w:rsidRPr="002928F8" w:rsidRDefault="002928F8" w:rsidP="002928F8">
      <w:pPr>
        <w:pStyle w:val="Heading1"/>
      </w:pPr>
      <w:r w:rsidRPr="002928F8">
        <w:lastRenderedPageBreak/>
        <w:t>5. Legal and Regulatory Framework</w:t>
      </w:r>
    </w:p>
    <w:p w:rsidR="00471BAA" w:rsidRPr="002928F8" w:rsidRDefault="002928F8" w:rsidP="000F4F69">
      <w:pPr>
        <w:pStyle w:val="Heading2"/>
        <w:spacing w:line="360" w:lineRule="auto"/>
        <w:rPr>
          <w:sz w:val="22"/>
          <w:szCs w:val="22"/>
        </w:rPr>
      </w:pPr>
      <w:r w:rsidRPr="002928F8">
        <w:rPr>
          <w:sz w:val="22"/>
          <w:szCs w:val="22"/>
        </w:rPr>
        <w:t>5.1 Overview of the Legal System</w:t>
      </w:r>
    </w:p>
    <w:p w:rsidR="00471BAA" w:rsidRPr="002928F8" w:rsidRDefault="002928F8" w:rsidP="000F4F69">
      <w:pPr>
        <w:spacing w:after="80" w:line="360" w:lineRule="auto"/>
        <w:rPr>
          <w:sz w:val="22"/>
        </w:rPr>
      </w:pPr>
      <w:r w:rsidRPr="002928F8">
        <w:rPr>
          <w:sz w:val="22"/>
        </w:rPr>
        <w:t>Canada follows a common-law legal system in most provinces and territories, while Quebec uses a civil-law system for private law matters. Corporate, tax, employment, privacy, competition, and anti-money-laundering obligations are spread across federal and provincial statutes, so the precise rule set depends on the province, the industry, and the entity structure chosen. [17][18]</w:t>
      </w:r>
    </w:p>
    <w:p w:rsidR="00471BAA" w:rsidRPr="002928F8" w:rsidRDefault="002928F8" w:rsidP="000F4F69">
      <w:pPr>
        <w:pStyle w:val="Heading2"/>
        <w:spacing w:line="360" w:lineRule="auto"/>
        <w:rPr>
          <w:sz w:val="22"/>
          <w:szCs w:val="22"/>
        </w:rPr>
      </w:pPr>
      <w:r w:rsidRPr="002928F8">
        <w:rPr>
          <w:sz w:val="22"/>
          <w:szCs w:val="22"/>
        </w:rPr>
        <w:t>5.2 Key Regulatory Bodies</w:t>
      </w:r>
    </w:p>
    <w:p w:rsidR="00471BAA" w:rsidRPr="002928F8" w:rsidRDefault="002928F8" w:rsidP="000F4F69">
      <w:pPr>
        <w:spacing w:after="80" w:line="360" w:lineRule="auto"/>
        <w:rPr>
          <w:sz w:val="22"/>
        </w:rPr>
      </w:pPr>
      <w:r w:rsidRPr="002928F8">
        <w:rPr>
          <w:sz w:val="22"/>
        </w:rPr>
        <w:t xml:space="preserve">Key federal bodies include Corporations Canada for incorporation and corporate filings, the Canada Revenue Agency (CRA) for tax and payroll matters, </w:t>
      </w:r>
      <w:proofErr w:type="gramStart"/>
      <w:r w:rsidRPr="002928F8">
        <w:rPr>
          <w:sz w:val="22"/>
        </w:rPr>
        <w:t>the</w:t>
      </w:r>
      <w:proofErr w:type="gramEnd"/>
      <w:r w:rsidRPr="002928F8">
        <w:rPr>
          <w:sz w:val="22"/>
        </w:rPr>
        <w:t xml:space="preserve"> Office of the Privacy Commissioner of Canada for privacy oversight, the Canadian Intellectual Property Office (CIPO) for trademarks and patents, and the relevant sector regulators such as OSFI, provincial securities commissions, FINTRAC, and Health Canada. [4][11][12][19][20]</w:t>
      </w:r>
    </w:p>
    <w:p w:rsidR="00471BAA" w:rsidRPr="002928F8" w:rsidRDefault="002928F8" w:rsidP="000F4F69">
      <w:pPr>
        <w:pStyle w:val="Heading2"/>
        <w:spacing w:line="360" w:lineRule="auto"/>
        <w:rPr>
          <w:sz w:val="22"/>
          <w:szCs w:val="22"/>
        </w:rPr>
      </w:pPr>
      <w:r w:rsidRPr="002928F8">
        <w:rPr>
          <w:sz w:val="22"/>
          <w:szCs w:val="22"/>
        </w:rPr>
        <w:t>5.3 Competition, Consumer Protection, and Data Privacy</w:t>
      </w:r>
    </w:p>
    <w:p w:rsidR="00471BAA" w:rsidRPr="002928F8" w:rsidRDefault="002928F8" w:rsidP="000F4F69">
      <w:pPr>
        <w:spacing w:after="80" w:line="360" w:lineRule="auto"/>
        <w:rPr>
          <w:sz w:val="22"/>
        </w:rPr>
      </w:pPr>
      <w:r w:rsidRPr="002928F8">
        <w:rPr>
          <w:sz w:val="22"/>
        </w:rPr>
        <w:t>Competition and merger review are governed by the Competition Act and overseen by the Competition Bureau. Consumer matters are largely provincial and territorial, while private-sector data handling is governed by PIPEDA and, in some cases, substantially similar provincial regimes. Privacy compliance in Canada typically requires a lawful purpose, transparent collection notices, appropriate safeguards, and breach management where there is a real risk of significant harm. [12]</w:t>
      </w:r>
    </w:p>
    <w:p w:rsidR="002928F8" w:rsidRPr="002928F8" w:rsidRDefault="002928F8" w:rsidP="000F4F69">
      <w:pPr>
        <w:spacing w:after="80" w:line="360" w:lineRule="auto"/>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471BAA" w:rsidRPr="002928F8" w:rsidRDefault="002928F8" w:rsidP="002928F8">
      <w:pPr>
        <w:pStyle w:val="Heading1"/>
      </w:pPr>
      <w:r w:rsidRPr="002928F8">
        <w:lastRenderedPageBreak/>
        <w:t>6. Business Structures for Foreign Investors</w:t>
      </w:r>
    </w:p>
    <w:p w:rsidR="00471BAA" w:rsidRPr="002928F8" w:rsidRDefault="002928F8" w:rsidP="000F4F69">
      <w:pPr>
        <w:pStyle w:val="Heading2"/>
        <w:spacing w:line="360" w:lineRule="auto"/>
        <w:rPr>
          <w:sz w:val="22"/>
          <w:szCs w:val="22"/>
        </w:rPr>
      </w:pPr>
      <w:r w:rsidRPr="002928F8">
        <w:rPr>
          <w:sz w:val="22"/>
          <w:szCs w:val="22"/>
        </w:rPr>
        <w:t>6.1 Available Business Vehicles</w:t>
      </w:r>
    </w:p>
    <w:p w:rsidR="00471BAA" w:rsidRPr="002928F8" w:rsidRDefault="002928F8" w:rsidP="000F4F69">
      <w:pPr>
        <w:spacing w:after="80" w:line="360" w:lineRule="auto"/>
        <w:rPr>
          <w:sz w:val="22"/>
        </w:rPr>
      </w:pPr>
      <w:r w:rsidRPr="002928F8">
        <w:rPr>
          <w:sz w:val="22"/>
        </w:rPr>
        <w:t>Foreign investors commonly choose between a corporation, branch/extra-provincial registration, partnership, limited partnership, or, in specific professions, an LLP. For most commercial operations, a corporation is the most practical and familiar vehicle because it provides a separate legal personality and limited liability. Federal incorporation is available across Canada, and provincial incorporation may be preferred where the business is concentrated in one province. [4][17][18]</w:t>
      </w:r>
    </w:p>
    <w:p w:rsidR="00471BAA" w:rsidRPr="002928F8" w:rsidRDefault="002928F8" w:rsidP="000F4F69">
      <w:pPr>
        <w:pStyle w:val="Heading2"/>
        <w:spacing w:line="360" w:lineRule="auto"/>
        <w:rPr>
          <w:sz w:val="22"/>
          <w:szCs w:val="22"/>
        </w:rPr>
      </w:pPr>
      <w:r w:rsidRPr="002928F8">
        <w:rPr>
          <w:sz w:val="22"/>
          <w:szCs w:val="22"/>
        </w:rPr>
        <w:t>6.2 Comparative Table of Structures</w:t>
      </w:r>
    </w:p>
    <w:tbl>
      <w:tblPr>
        <w:tblStyle w:val="TableGrid"/>
        <w:tblW w:w="0" w:type="auto"/>
        <w:jc w:val="center"/>
        <w:tblLook w:val="04A0" w:firstRow="1" w:lastRow="0" w:firstColumn="1" w:lastColumn="0" w:noHBand="0" w:noVBand="1"/>
      </w:tblPr>
      <w:tblGrid>
        <w:gridCol w:w="2052"/>
        <w:gridCol w:w="2052"/>
        <w:gridCol w:w="2052"/>
        <w:gridCol w:w="2052"/>
        <w:gridCol w:w="2052"/>
      </w:tblGrid>
      <w:tr w:rsidR="00471BAA" w:rsidRPr="002928F8" w:rsidTr="000F4F69">
        <w:trPr>
          <w:trHeight w:val="565"/>
          <w:jc w:val="center"/>
        </w:trPr>
        <w:tc>
          <w:tcPr>
            <w:tcW w:w="2052" w:type="dxa"/>
            <w:shd w:val="clear" w:color="auto" w:fill="D9EAF7"/>
          </w:tcPr>
          <w:p w:rsidR="00471BAA" w:rsidRPr="002928F8" w:rsidRDefault="002928F8" w:rsidP="000F4F69">
            <w:pPr>
              <w:spacing w:line="360" w:lineRule="auto"/>
              <w:rPr>
                <w:sz w:val="22"/>
              </w:rPr>
            </w:pPr>
            <w:r w:rsidRPr="002928F8">
              <w:rPr>
                <w:b/>
                <w:sz w:val="22"/>
              </w:rPr>
              <w:t>Feature</w:t>
            </w:r>
          </w:p>
        </w:tc>
        <w:tc>
          <w:tcPr>
            <w:tcW w:w="2052" w:type="dxa"/>
            <w:shd w:val="clear" w:color="auto" w:fill="D9EAF7"/>
          </w:tcPr>
          <w:p w:rsidR="00471BAA" w:rsidRPr="002928F8" w:rsidRDefault="002928F8" w:rsidP="000F4F69">
            <w:pPr>
              <w:spacing w:line="360" w:lineRule="auto"/>
              <w:rPr>
                <w:sz w:val="22"/>
              </w:rPr>
            </w:pPr>
            <w:r w:rsidRPr="002928F8">
              <w:rPr>
                <w:b/>
                <w:sz w:val="22"/>
              </w:rPr>
              <w:t>Corporation</w:t>
            </w:r>
          </w:p>
        </w:tc>
        <w:tc>
          <w:tcPr>
            <w:tcW w:w="2052" w:type="dxa"/>
            <w:shd w:val="clear" w:color="auto" w:fill="D9EAF7"/>
          </w:tcPr>
          <w:p w:rsidR="00471BAA" w:rsidRPr="002928F8" w:rsidRDefault="002928F8" w:rsidP="000F4F69">
            <w:pPr>
              <w:spacing w:line="360" w:lineRule="auto"/>
              <w:rPr>
                <w:sz w:val="22"/>
              </w:rPr>
            </w:pPr>
            <w:r w:rsidRPr="002928F8">
              <w:rPr>
                <w:b/>
                <w:sz w:val="22"/>
              </w:rPr>
              <w:t>Branch</w:t>
            </w:r>
          </w:p>
        </w:tc>
        <w:tc>
          <w:tcPr>
            <w:tcW w:w="2052" w:type="dxa"/>
            <w:shd w:val="clear" w:color="auto" w:fill="D9EAF7"/>
          </w:tcPr>
          <w:p w:rsidR="00471BAA" w:rsidRPr="002928F8" w:rsidRDefault="002928F8" w:rsidP="000F4F69">
            <w:pPr>
              <w:spacing w:line="360" w:lineRule="auto"/>
              <w:rPr>
                <w:sz w:val="22"/>
              </w:rPr>
            </w:pPr>
            <w:r w:rsidRPr="002928F8">
              <w:rPr>
                <w:b/>
                <w:sz w:val="22"/>
              </w:rPr>
              <w:t>Partnership</w:t>
            </w:r>
          </w:p>
        </w:tc>
        <w:tc>
          <w:tcPr>
            <w:tcW w:w="2052" w:type="dxa"/>
            <w:shd w:val="clear" w:color="auto" w:fill="D9EAF7"/>
          </w:tcPr>
          <w:p w:rsidR="00471BAA" w:rsidRPr="002928F8" w:rsidRDefault="002928F8" w:rsidP="000F4F69">
            <w:pPr>
              <w:spacing w:line="360" w:lineRule="auto"/>
              <w:rPr>
                <w:sz w:val="22"/>
              </w:rPr>
            </w:pPr>
            <w:r w:rsidRPr="002928F8">
              <w:rPr>
                <w:b/>
                <w:sz w:val="22"/>
              </w:rPr>
              <w:t>LLP</w:t>
            </w:r>
          </w:p>
        </w:tc>
      </w:tr>
      <w:tr w:rsidR="00471BAA" w:rsidRPr="002928F8" w:rsidTr="000F4F69">
        <w:trPr>
          <w:trHeight w:val="565"/>
          <w:jc w:val="center"/>
        </w:trPr>
        <w:tc>
          <w:tcPr>
            <w:tcW w:w="2052" w:type="dxa"/>
          </w:tcPr>
          <w:p w:rsidR="00471BAA" w:rsidRPr="002928F8" w:rsidRDefault="002928F8" w:rsidP="000F4F69">
            <w:pPr>
              <w:spacing w:line="360" w:lineRule="auto"/>
              <w:rPr>
                <w:sz w:val="22"/>
              </w:rPr>
            </w:pPr>
            <w:r w:rsidRPr="002928F8">
              <w:rPr>
                <w:sz w:val="22"/>
              </w:rPr>
              <w:t>Legal personality</w:t>
            </w:r>
          </w:p>
        </w:tc>
        <w:tc>
          <w:tcPr>
            <w:tcW w:w="2052" w:type="dxa"/>
          </w:tcPr>
          <w:p w:rsidR="00471BAA" w:rsidRPr="002928F8" w:rsidRDefault="002928F8" w:rsidP="000F4F69">
            <w:pPr>
              <w:spacing w:line="360" w:lineRule="auto"/>
              <w:rPr>
                <w:sz w:val="22"/>
              </w:rPr>
            </w:pPr>
            <w:r w:rsidRPr="002928F8">
              <w:rPr>
                <w:sz w:val="22"/>
              </w:rPr>
              <w:t>Separate entity</w:t>
            </w:r>
          </w:p>
        </w:tc>
        <w:tc>
          <w:tcPr>
            <w:tcW w:w="2052" w:type="dxa"/>
          </w:tcPr>
          <w:p w:rsidR="00471BAA" w:rsidRPr="002928F8" w:rsidRDefault="002928F8" w:rsidP="000F4F69">
            <w:pPr>
              <w:spacing w:line="360" w:lineRule="auto"/>
              <w:rPr>
                <w:sz w:val="22"/>
              </w:rPr>
            </w:pPr>
            <w:r w:rsidRPr="002928F8">
              <w:rPr>
                <w:sz w:val="22"/>
              </w:rPr>
              <w:t>Extension of parent</w:t>
            </w:r>
          </w:p>
        </w:tc>
        <w:tc>
          <w:tcPr>
            <w:tcW w:w="2052" w:type="dxa"/>
          </w:tcPr>
          <w:p w:rsidR="00471BAA" w:rsidRPr="002928F8" w:rsidRDefault="002928F8" w:rsidP="000F4F69">
            <w:pPr>
              <w:spacing w:line="360" w:lineRule="auto"/>
              <w:rPr>
                <w:sz w:val="22"/>
              </w:rPr>
            </w:pPr>
            <w:r w:rsidRPr="002928F8">
              <w:rPr>
                <w:sz w:val="22"/>
              </w:rPr>
              <w:t>Depends on law</w:t>
            </w:r>
          </w:p>
        </w:tc>
        <w:tc>
          <w:tcPr>
            <w:tcW w:w="2052" w:type="dxa"/>
          </w:tcPr>
          <w:p w:rsidR="00471BAA" w:rsidRPr="002928F8" w:rsidRDefault="002928F8" w:rsidP="000F4F69">
            <w:pPr>
              <w:spacing w:line="360" w:lineRule="auto"/>
              <w:rPr>
                <w:sz w:val="22"/>
              </w:rPr>
            </w:pPr>
            <w:r w:rsidRPr="002928F8">
              <w:rPr>
                <w:sz w:val="22"/>
              </w:rPr>
              <w:t>Separate/ statutory</w:t>
            </w:r>
          </w:p>
        </w:tc>
      </w:tr>
      <w:tr w:rsidR="00471BAA" w:rsidRPr="002928F8" w:rsidTr="000F4F69">
        <w:trPr>
          <w:trHeight w:val="565"/>
          <w:jc w:val="center"/>
        </w:trPr>
        <w:tc>
          <w:tcPr>
            <w:tcW w:w="2052" w:type="dxa"/>
          </w:tcPr>
          <w:p w:rsidR="00471BAA" w:rsidRPr="002928F8" w:rsidRDefault="002928F8" w:rsidP="000F4F69">
            <w:pPr>
              <w:spacing w:line="360" w:lineRule="auto"/>
              <w:rPr>
                <w:sz w:val="22"/>
              </w:rPr>
            </w:pPr>
            <w:r w:rsidRPr="002928F8">
              <w:rPr>
                <w:sz w:val="22"/>
              </w:rPr>
              <w:t>Liability</w:t>
            </w:r>
          </w:p>
        </w:tc>
        <w:tc>
          <w:tcPr>
            <w:tcW w:w="2052" w:type="dxa"/>
          </w:tcPr>
          <w:p w:rsidR="00471BAA" w:rsidRPr="002928F8" w:rsidRDefault="002928F8" w:rsidP="000F4F69">
            <w:pPr>
              <w:spacing w:line="360" w:lineRule="auto"/>
              <w:rPr>
                <w:sz w:val="22"/>
              </w:rPr>
            </w:pPr>
            <w:r w:rsidRPr="002928F8">
              <w:rPr>
                <w:sz w:val="22"/>
              </w:rPr>
              <w:t>Limited</w:t>
            </w:r>
          </w:p>
        </w:tc>
        <w:tc>
          <w:tcPr>
            <w:tcW w:w="2052" w:type="dxa"/>
          </w:tcPr>
          <w:p w:rsidR="00471BAA" w:rsidRPr="002928F8" w:rsidRDefault="002928F8" w:rsidP="000F4F69">
            <w:pPr>
              <w:spacing w:line="360" w:lineRule="auto"/>
              <w:rPr>
                <w:sz w:val="22"/>
              </w:rPr>
            </w:pPr>
            <w:r w:rsidRPr="002928F8">
              <w:rPr>
                <w:sz w:val="22"/>
              </w:rPr>
              <w:t>Parent exposed</w:t>
            </w:r>
          </w:p>
        </w:tc>
        <w:tc>
          <w:tcPr>
            <w:tcW w:w="2052" w:type="dxa"/>
          </w:tcPr>
          <w:p w:rsidR="00471BAA" w:rsidRPr="002928F8" w:rsidRDefault="002928F8" w:rsidP="000F4F69">
            <w:pPr>
              <w:spacing w:line="360" w:lineRule="auto"/>
              <w:rPr>
                <w:sz w:val="22"/>
              </w:rPr>
            </w:pPr>
            <w:r w:rsidRPr="002928F8">
              <w:rPr>
                <w:sz w:val="22"/>
              </w:rPr>
              <w:t>Can be joint</w:t>
            </w:r>
          </w:p>
        </w:tc>
        <w:tc>
          <w:tcPr>
            <w:tcW w:w="2052" w:type="dxa"/>
          </w:tcPr>
          <w:p w:rsidR="00471BAA" w:rsidRPr="002928F8" w:rsidRDefault="002928F8" w:rsidP="000F4F69">
            <w:pPr>
              <w:spacing w:line="360" w:lineRule="auto"/>
              <w:rPr>
                <w:sz w:val="22"/>
              </w:rPr>
            </w:pPr>
            <w:r w:rsidRPr="002928F8">
              <w:rPr>
                <w:sz w:val="22"/>
              </w:rPr>
              <w:t>Limited by statute</w:t>
            </w:r>
          </w:p>
        </w:tc>
      </w:tr>
      <w:tr w:rsidR="00471BAA" w:rsidRPr="002928F8" w:rsidTr="000F4F69">
        <w:trPr>
          <w:trHeight w:val="1155"/>
          <w:jc w:val="center"/>
        </w:trPr>
        <w:tc>
          <w:tcPr>
            <w:tcW w:w="2052" w:type="dxa"/>
          </w:tcPr>
          <w:p w:rsidR="00471BAA" w:rsidRPr="002928F8" w:rsidRDefault="002928F8" w:rsidP="000F4F69">
            <w:pPr>
              <w:spacing w:line="360" w:lineRule="auto"/>
              <w:rPr>
                <w:sz w:val="22"/>
              </w:rPr>
            </w:pPr>
            <w:r w:rsidRPr="002928F8">
              <w:rPr>
                <w:sz w:val="22"/>
              </w:rPr>
              <w:t>Common use</w:t>
            </w:r>
          </w:p>
        </w:tc>
        <w:tc>
          <w:tcPr>
            <w:tcW w:w="2052" w:type="dxa"/>
          </w:tcPr>
          <w:p w:rsidR="00471BAA" w:rsidRPr="002928F8" w:rsidRDefault="002928F8" w:rsidP="000F4F69">
            <w:pPr>
              <w:spacing w:line="360" w:lineRule="auto"/>
              <w:rPr>
                <w:sz w:val="22"/>
              </w:rPr>
            </w:pPr>
            <w:r w:rsidRPr="002928F8">
              <w:rPr>
                <w:sz w:val="22"/>
              </w:rPr>
              <w:t>Most businesses</w:t>
            </w:r>
          </w:p>
        </w:tc>
        <w:tc>
          <w:tcPr>
            <w:tcW w:w="2052" w:type="dxa"/>
          </w:tcPr>
          <w:p w:rsidR="00471BAA" w:rsidRPr="002928F8" w:rsidRDefault="002928F8" w:rsidP="000F4F69">
            <w:pPr>
              <w:spacing w:line="360" w:lineRule="auto"/>
              <w:rPr>
                <w:sz w:val="22"/>
              </w:rPr>
            </w:pPr>
            <w:r w:rsidRPr="002928F8">
              <w:rPr>
                <w:sz w:val="22"/>
              </w:rPr>
              <w:t>Market testing</w:t>
            </w:r>
          </w:p>
        </w:tc>
        <w:tc>
          <w:tcPr>
            <w:tcW w:w="2052" w:type="dxa"/>
          </w:tcPr>
          <w:p w:rsidR="00471BAA" w:rsidRPr="002928F8" w:rsidRDefault="002928F8" w:rsidP="000F4F69">
            <w:pPr>
              <w:spacing w:line="360" w:lineRule="auto"/>
              <w:rPr>
                <w:sz w:val="22"/>
              </w:rPr>
            </w:pPr>
            <w:r w:rsidRPr="002928F8">
              <w:rPr>
                <w:sz w:val="22"/>
              </w:rPr>
              <w:t>Joint projects</w:t>
            </w:r>
          </w:p>
        </w:tc>
        <w:tc>
          <w:tcPr>
            <w:tcW w:w="2052" w:type="dxa"/>
          </w:tcPr>
          <w:p w:rsidR="00471BAA" w:rsidRPr="002928F8" w:rsidRDefault="002928F8" w:rsidP="000F4F69">
            <w:pPr>
              <w:spacing w:line="360" w:lineRule="auto"/>
              <w:rPr>
                <w:sz w:val="22"/>
              </w:rPr>
            </w:pPr>
            <w:r w:rsidRPr="002928F8">
              <w:rPr>
                <w:sz w:val="22"/>
              </w:rPr>
              <w:t>Professional services</w:t>
            </w:r>
          </w:p>
        </w:tc>
      </w:tr>
      <w:tr w:rsidR="00471BAA" w:rsidRPr="002928F8" w:rsidTr="000F4F69">
        <w:trPr>
          <w:trHeight w:val="1720"/>
          <w:jc w:val="center"/>
        </w:trPr>
        <w:tc>
          <w:tcPr>
            <w:tcW w:w="2052" w:type="dxa"/>
          </w:tcPr>
          <w:p w:rsidR="00471BAA" w:rsidRPr="002928F8" w:rsidRDefault="002928F8" w:rsidP="000F4F69">
            <w:pPr>
              <w:spacing w:line="360" w:lineRule="auto"/>
              <w:rPr>
                <w:sz w:val="22"/>
              </w:rPr>
            </w:pPr>
            <w:r w:rsidRPr="002928F8">
              <w:rPr>
                <w:sz w:val="22"/>
              </w:rPr>
              <w:t>Tax treatment</w:t>
            </w:r>
          </w:p>
        </w:tc>
        <w:tc>
          <w:tcPr>
            <w:tcW w:w="2052" w:type="dxa"/>
          </w:tcPr>
          <w:p w:rsidR="00471BAA" w:rsidRPr="002928F8" w:rsidRDefault="002928F8" w:rsidP="000F4F69">
            <w:pPr>
              <w:spacing w:line="360" w:lineRule="auto"/>
              <w:rPr>
                <w:sz w:val="22"/>
              </w:rPr>
            </w:pPr>
            <w:r w:rsidRPr="002928F8">
              <w:rPr>
                <w:sz w:val="22"/>
              </w:rPr>
              <w:t>Corporate taxation</w:t>
            </w:r>
          </w:p>
        </w:tc>
        <w:tc>
          <w:tcPr>
            <w:tcW w:w="2052" w:type="dxa"/>
          </w:tcPr>
          <w:p w:rsidR="00471BAA" w:rsidRPr="002928F8" w:rsidRDefault="002928F8" w:rsidP="000F4F69">
            <w:pPr>
              <w:spacing w:line="360" w:lineRule="auto"/>
              <w:rPr>
                <w:sz w:val="22"/>
              </w:rPr>
            </w:pPr>
            <w:r w:rsidRPr="002928F8">
              <w:rPr>
                <w:sz w:val="22"/>
              </w:rPr>
              <w:t>Taxable in Canada on Canadian source income</w:t>
            </w:r>
          </w:p>
        </w:tc>
        <w:tc>
          <w:tcPr>
            <w:tcW w:w="2052" w:type="dxa"/>
          </w:tcPr>
          <w:p w:rsidR="00471BAA" w:rsidRPr="002928F8" w:rsidRDefault="002928F8" w:rsidP="000F4F69">
            <w:pPr>
              <w:spacing w:line="360" w:lineRule="auto"/>
              <w:rPr>
                <w:sz w:val="22"/>
              </w:rPr>
            </w:pPr>
            <w:r w:rsidRPr="002928F8">
              <w:rPr>
                <w:sz w:val="22"/>
              </w:rPr>
              <w:t>Flow-through or case-specific</w:t>
            </w:r>
          </w:p>
        </w:tc>
        <w:tc>
          <w:tcPr>
            <w:tcW w:w="2052" w:type="dxa"/>
          </w:tcPr>
          <w:p w:rsidR="00471BAA" w:rsidRPr="002928F8" w:rsidRDefault="002928F8" w:rsidP="000F4F69">
            <w:pPr>
              <w:spacing w:line="360" w:lineRule="auto"/>
              <w:rPr>
                <w:sz w:val="22"/>
              </w:rPr>
            </w:pPr>
            <w:r w:rsidRPr="002928F8">
              <w:rPr>
                <w:sz w:val="22"/>
              </w:rPr>
              <w:t>Province-specific</w:t>
            </w:r>
          </w:p>
        </w:tc>
      </w:tr>
    </w:tbl>
    <w:p w:rsidR="00471BAA" w:rsidRPr="002928F8" w:rsidRDefault="00471BAA" w:rsidP="000F4F69">
      <w:pPr>
        <w:spacing w:line="360" w:lineRule="auto"/>
        <w:rPr>
          <w:sz w:val="22"/>
        </w:rPr>
      </w:pPr>
    </w:p>
    <w:p w:rsidR="00471BAA" w:rsidRPr="002928F8" w:rsidRDefault="002928F8" w:rsidP="000F4F69">
      <w:pPr>
        <w:spacing w:after="80" w:line="360" w:lineRule="auto"/>
        <w:rPr>
          <w:sz w:val="22"/>
        </w:rPr>
      </w:pPr>
      <w:r w:rsidRPr="002928F8">
        <w:rPr>
          <w:sz w:val="22"/>
        </w:rPr>
        <w:t>Most Indian businesses choose a corporation because it is easier to understand for banks, counterparties, and investors, and it cleanly separates the Canadian operating business from the Indian parent. [4][17]</w:t>
      </w: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471BAA" w:rsidRPr="002928F8" w:rsidRDefault="002928F8" w:rsidP="002928F8">
      <w:pPr>
        <w:pStyle w:val="Heading1"/>
      </w:pPr>
      <w:r w:rsidRPr="002928F8">
        <w:lastRenderedPageBreak/>
        <w:t>7. Foreign Investment Rules and Exchange Control</w:t>
      </w:r>
    </w:p>
    <w:p w:rsidR="00471BAA" w:rsidRPr="002928F8" w:rsidRDefault="002928F8" w:rsidP="000F4F69">
      <w:pPr>
        <w:pStyle w:val="Heading2"/>
        <w:spacing w:line="360" w:lineRule="auto"/>
        <w:rPr>
          <w:sz w:val="22"/>
          <w:szCs w:val="22"/>
        </w:rPr>
      </w:pPr>
      <w:r w:rsidRPr="002928F8">
        <w:rPr>
          <w:sz w:val="22"/>
          <w:szCs w:val="22"/>
        </w:rPr>
        <w:t>7.1 Foreign Investment Review</w:t>
      </w:r>
    </w:p>
    <w:p w:rsidR="00471BAA" w:rsidRPr="002928F8" w:rsidRDefault="002928F8" w:rsidP="000F4F69">
      <w:pPr>
        <w:spacing w:after="80" w:line="360" w:lineRule="auto"/>
        <w:rPr>
          <w:sz w:val="22"/>
        </w:rPr>
      </w:pPr>
      <w:r w:rsidRPr="002928F8">
        <w:rPr>
          <w:sz w:val="22"/>
        </w:rPr>
        <w:t>Canada does not impose a general prohibition on foreign ownership, but investments may be subject to the Investment Canada Act’s net benefit and national security review rules. The federal government may review investments that raise national security concerns regardless of size, particularly in sensitive sectors or where control changes hands. [9][10]</w:t>
      </w:r>
    </w:p>
    <w:p w:rsidR="00471BAA" w:rsidRPr="002928F8" w:rsidRDefault="002928F8" w:rsidP="000F4F69">
      <w:pPr>
        <w:pStyle w:val="Heading2"/>
        <w:spacing w:line="360" w:lineRule="auto"/>
        <w:rPr>
          <w:sz w:val="22"/>
          <w:szCs w:val="22"/>
        </w:rPr>
      </w:pPr>
      <w:r w:rsidRPr="002928F8">
        <w:rPr>
          <w:sz w:val="22"/>
          <w:szCs w:val="22"/>
        </w:rPr>
        <w:t>7.2 Shareholding and Control</w:t>
      </w:r>
    </w:p>
    <w:p w:rsidR="00471BAA" w:rsidRPr="002928F8" w:rsidRDefault="002928F8" w:rsidP="000F4F69">
      <w:pPr>
        <w:spacing w:after="80" w:line="360" w:lineRule="auto"/>
        <w:rPr>
          <w:sz w:val="22"/>
        </w:rPr>
      </w:pPr>
      <w:r w:rsidRPr="002928F8">
        <w:rPr>
          <w:sz w:val="22"/>
        </w:rPr>
        <w:t>Foreign shareholders can generally own 100% of a Canadian corporation. The key practical issues are not usually ownership caps, but governance, beneficial ownership reporting, corporate records, tax residence, permanent establishment risk, and whether a provincial or industry-specific rule applies. Federal corporations must maintain ISC information, and filing obligations can trigger public disclosure of some ownership data. [4][11][12]</w:t>
      </w:r>
    </w:p>
    <w:p w:rsidR="00471BAA" w:rsidRPr="002928F8" w:rsidRDefault="002928F8" w:rsidP="000F4F69">
      <w:pPr>
        <w:pStyle w:val="Heading2"/>
        <w:spacing w:line="360" w:lineRule="auto"/>
        <w:rPr>
          <w:sz w:val="22"/>
          <w:szCs w:val="22"/>
        </w:rPr>
      </w:pPr>
      <w:r w:rsidRPr="002928F8">
        <w:rPr>
          <w:sz w:val="22"/>
          <w:szCs w:val="22"/>
        </w:rPr>
        <w:t>7.3 Foreign Exchange and Repatriation</w:t>
      </w:r>
    </w:p>
    <w:p w:rsidR="00471BAA" w:rsidRPr="002928F8" w:rsidRDefault="002928F8" w:rsidP="000F4F69">
      <w:pPr>
        <w:spacing w:after="80" w:line="360" w:lineRule="auto"/>
        <w:rPr>
          <w:sz w:val="22"/>
        </w:rPr>
      </w:pPr>
      <w:r w:rsidRPr="002928F8">
        <w:rPr>
          <w:sz w:val="22"/>
        </w:rPr>
        <w:t>Canada does not operate exchange controls in the way some jurisdictions do. Dividends, repayment of shareholder loans, intercompany service fees, royalties, and capital reductions are generally possible, subject to normal corporate, tax, transfer-pricing, withholding-tax, and anti-avoidance rules. [7][18]</w:t>
      </w:r>
    </w:p>
    <w:p w:rsidR="002928F8" w:rsidRPr="002928F8" w:rsidRDefault="002928F8" w:rsidP="000F4F69">
      <w:pPr>
        <w:spacing w:after="80" w:line="360" w:lineRule="auto"/>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471BAA" w:rsidRPr="002928F8" w:rsidRDefault="002928F8" w:rsidP="002928F8">
      <w:pPr>
        <w:pStyle w:val="Heading1"/>
      </w:pPr>
      <w:r w:rsidRPr="002928F8">
        <w:lastRenderedPageBreak/>
        <w:t>8. Step-by-Step Incorporation &amp; Registration Process</w:t>
      </w:r>
    </w:p>
    <w:p w:rsidR="00471BAA" w:rsidRPr="002928F8" w:rsidRDefault="002928F8" w:rsidP="000F4F69">
      <w:pPr>
        <w:pStyle w:val="Heading2"/>
        <w:spacing w:line="360" w:lineRule="auto"/>
        <w:rPr>
          <w:sz w:val="22"/>
          <w:szCs w:val="22"/>
        </w:rPr>
      </w:pPr>
      <w:r w:rsidRPr="002928F8">
        <w:rPr>
          <w:sz w:val="22"/>
          <w:szCs w:val="22"/>
        </w:rPr>
        <w:t>8.1 Pre-Incorporation Planning</w:t>
      </w:r>
    </w:p>
    <w:p w:rsidR="00471BAA" w:rsidRPr="002928F8" w:rsidRDefault="002928F8" w:rsidP="000F4F69">
      <w:pPr>
        <w:spacing w:after="80" w:line="360" w:lineRule="auto"/>
        <w:rPr>
          <w:sz w:val="22"/>
        </w:rPr>
      </w:pPr>
      <w:r w:rsidRPr="002928F8">
        <w:rPr>
          <w:sz w:val="22"/>
        </w:rPr>
        <w:t>Before incorporation, a business should decide whether it will incorporate federally or provincially, select a compliant name, identify directors and shareholders, confirm the registered office address, define the share structure, and assess any licensing or immigration needs. For federal corporations, at least 25% of directors must be resident Canadians; if the corporation has fewer than four directors, at least one director must be a resident Canadian. [4][21][22]</w:t>
      </w:r>
    </w:p>
    <w:p w:rsidR="00471BAA" w:rsidRPr="002928F8" w:rsidRDefault="002928F8" w:rsidP="000F4F69">
      <w:pPr>
        <w:pStyle w:val="Heading2"/>
        <w:spacing w:line="360" w:lineRule="auto"/>
        <w:rPr>
          <w:sz w:val="22"/>
          <w:szCs w:val="22"/>
        </w:rPr>
      </w:pPr>
      <w:r w:rsidRPr="002928F8">
        <w:rPr>
          <w:sz w:val="22"/>
          <w:szCs w:val="22"/>
        </w:rPr>
        <w:t>8.2 Step-by-Step Incorporation Workflow</w:t>
      </w:r>
    </w:p>
    <w:tbl>
      <w:tblPr>
        <w:tblStyle w:val="TableGrid"/>
        <w:tblW w:w="0" w:type="auto"/>
        <w:jc w:val="center"/>
        <w:tblLook w:val="04A0" w:firstRow="1" w:lastRow="0" w:firstColumn="1" w:lastColumn="0" w:noHBand="0" w:noVBand="1"/>
      </w:tblPr>
      <w:tblGrid>
        <w:gridCol w:w="2556"/>
        <w:gridCol w:w="2556"/>
        <w:gridCol w:w="2556"/>
        <w:gridCol w:w="2556"/>
      </w:tblGrid>
      <w:tr w:rsidR="00471BAA" w:rsidRPr="002928F8">
        <w:trPr>
          <w:jc w:val="center"/>
        </w:trPr>
        <w:tc>
          <w:tcPr>
            <w:tcW w:w="2556" w:type="dxa"/>
            <w:shd w:val="clear" w:color="auto" w:fill="D9EAF7"/>
          </w:tcPr>
          <w:p w:rsidR="00471BAA" w:rsidRPr="002928F8" w:rsidRDefault="002928F8" w:rsidP="000F4F69">
            <w:pPr>
              <w:spacing w:line="360" w:lineRule="auto"/>
              <w:rPr>
                <w:sz w:val="22"/>
              </w:rPr>
            </w:pPr>
            <w:r w:rsidRPr="002928F8">
              <w:rPr>
                <w:b/>
                <w:sz w:val="22"/>
              </w:rPr>
              <w:t>Step</w:t>
            </w:r>
          </w:p>
        </w:tc>
        <w:tc>
          <w:tcPr>
            <w:tcW w:w="2556" w:type="dxa"/>
            <w:shd w:val="clear" w:color="auto" w:fill="D9EAF7"/>
          </w:tcPr>
          <w:p w:rsidR="00471BAA" w:rsidRPr="002928F8" w:rsidRDefault="002928F8" w:rsidP="000F4F69">
            <w:pPr>
              <w:spacing w:line="360" w:lineRule="auto"/>
              <w:rPr>
                <w:sz w:val="22"/>
              </w:rPr>
            </w:pPr>
            <w:r w:rsidRPr="002928F8">
              <w:rPr>
                <w:b/>
                <w:sz w:val="22"/>
              </w:rPr>
              <w:t>Activity</w:t>
            </w:r>
          </w:p>
        </w:tc>
        <w:tc>
          <w:tcPr>
            <w:tcW w:w="2556" w:type="dxa"/>
            <w:shd w:val="clear" w:color="auto" w:fill="D9EAF7"/>
          </w:tcPr>
          <w:p w:rsidR="00471BAA" w:rsidRPr="002928F8" w:rsidRDefault="002928F8" w:rsidP="000F4F69">
            <w:pPr>
              <w:spacing w:line="360" w:lineRule="auto"/>
              <w:rPr>
                <w:sz w:val="22"/>
              </w:rPr>
            </w:pPr>
            <w:r w:rsidRPr="002928F8">
              <w:rPr>
                <w:b/>
                <w:sz w:val="22"/>
              </w:rPr>
              <w:t>Typical Timing</w:t>
            </w:r>
          </w:p>
        </w:tc>
        <w:tc>
          <w:tcPr>
            <w:tcW w:w="2556" w:type="dxa"/>
            <w:shd w:val="clear" w:color="auto" w:fill="D9EAF7"/>
          </w:tcPr>
          <w:p w:rsidR="00471BAA" w:rsidRPr="002928F8" w:rsidRDefault="002928F8" w:rsidP="000F4F69">
            <w:pPr>
              <w:spacing w:line="360" w:lineRule="auto"/>
              <w:rPr>
                <w:sz w:val="22"/>
              </w:rPr>
            </w:pPr>
            <w:r w:rsidRPr="002928F8">
              <w:rPr>
                <w:b/>
                <w:sz w:val="22"/>
              </w:rPr>
              <w:t>Authority</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1</w:t>
            </w:r>
          </w:p>
        </w:tc>
        <w:tc>
          <w:tcPr>
            <w:tcW w:w="2556" w:type="dxa"/>
          </w:tcPr>
          <w:p w:rsidR="00471BAA" w:rsidRPr="002928F8" w:rsidRDefault="002928F8" w:rsidP="000F4F69">
            <w:pPr>
              <w:spacing w:line="360" w:lineRule="auto"/>
              <w:rPr>
                <w:sz w:val="22"/>
              </w:rPr>
            </w:pPr>
            <w:r w:rsidRPr="002928F8">
              <w:rPr>
                <w:sz w:val="22"/>
              </w:rPr>
              <w:t>Choose federal or provincial incorporation</w:t>
            </w:r>
          </w:p>
        </w:tc>
        <w:tc>
          <w:tcPr>
            <w:tcW w:w="2556" w:type="dxa"/>
          </w:tcPr>
          <w:p w:rsidR="00471BAA" w:rsidRPr="002928F8" w:rsidRDefault="002928F8" w:rsidP="000F4F69">
            <w:pPr>
              <w:spacing w:line="360" w:lineRule="auto"/>
              <w:rPr>
                <w:sz w:val="22"/>
              </w:rPr>
            </w:pPr>
            <w:r w:rsidRPr="002928F8">
              <w:rPr>
                <w:sz w:val="22"/>
              </w:rPr>
              <w:t>Same day</w:t>
            </w:r>
          </w:p>
        </w:tc>
        <w:tc>
          <w:tcPr>
            <w:tcW w:w="2556" w:type="dxa"/>
          </w:tcPr>
          <w:p w:rsidR="00471BAA" w:rsidRPr="002928F8" w:rsidRDefault="002928F8" w:rsidP="000F4F69">
            <w:pPr>
              <w:spacing w:line="360" w:lineRule="auto"/>
              <w:rPr>
                <w:sz w:val="22"/>
              </w:rPr>
            </w:pPr>
            <w:r w:rsidRPr="002928F8">
              <w:rPr>
                <w:sz w:val="22"/>
              </w:rPr>
              <w:t>Founder / advisor</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2</w:t>
            </w:r>
          </w:p>
        </w:tc>
        <w:tc>
          <w:tcPr>
            <w:tcW w:w="2556" w:type="dxa"/>
          </w:tcPr>
          <w:p w:rsidR="00471BAA" w:rsidRPr="002928F8" w:rsidRDefault="002928F8" w:rsidP="000F4F69">
            <w:pPr>
              <w:spacing w:line="360" w:lineRule="auto"/>
              <w:rPr>
                <w:sz w:val="22"/>
              </w:rPr>
            </w:pPr>
            <w:r w:rsidRPr="002928F8">
              <w:rPr>
                <w:sz w:val="22"/>
              </w:rPr>
              <w:t>Reserve and clear the name</w:t>
            </w:r>
          </w:p>
        </w:tc>
        <w:tc>
          <w:tcPr>
            <w:tcW w:w="2556" w:type="dxa"/>
          </w:tcPr>
          <w:p w:rsidR="00471BAA" w:rsidRPr="002928F8" w:rsidRDefault="002928F8" w:rsidP="000F4F69">
            <w:pPr>
              <w:spacing w:line="360" w:lineRule="auto"/>
              <w:rPr>
                <w:sz w:val="22"/>
              </w:rPr>
            </w:pPr>
            <w:r w:rsidRPr="002928F8">
              <w:rPr>
                <w:sz w:val="22"/>
              </w:rPr>
              <w:t>Same day to a few days</w:t>
            </w:r>
          </w:p>
        </w:tc>
        <w:tc>
          <w:tcPr>
            <w:tcW w:w="2556" w:type="dxa"/>
          </w:tcPr>
          <w:p w:rsidR="00471BAA" w:rsidRPr="002928F8" w:rsidRDefault="002928F8" w:rsidP="000F4F69">
            <w:pPr>
              <w:spacing w:line="360" w:lineRule="auto"/>
              <w:rPr>
                <w:sz w:val="22"/>
              </w:rPr>
            </w:pPr>
            <w:r w:rsidRPr="002928F8">
              <w:rPr>
                <w:sz w:val="22"/>
              </w:rPr>
              <w:t>Corporations Canada / provincial registry</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3</w:t>
            </w:r>
          </w:p>
        </w:tc>
        <w:tc>
          <w:tcPr>
            <w:tcW w:w="2556" w:type="dxa"/>
          </w:tcPr>
          <w:p w:rsidR="00471BAA" w:rsidRPr="002928F8" w:rsidRDefault="002928F8" w:rsidP="000F4F69">
            <w:pPr>
              <w:spacing w:line="360" w:lineRule="auto"/>
              <w:rPr>
                <w:sz w:val="22"/>
              </w:rPr>
            </w:pPr>
            <w:r w:rsidRPr="002928F8">
              <w:rPr>
                <w:sz w:val="22"/>
              </w:rPr>
              <w:t>Prepare incorporation documents and share structure</w:t>
            </w:r>
          </w:p>
        </w:tc>
        <w:tc>
          <w:tcPr>
            <w:tcW w:w="2556" w:type="dxa"/>
          </w:tcPr>
          <w:p w:rsidR="00471BAA" w:rsidRPr="002928F8" w:rsidRDefault="002928F8" w:rsidP="000F4F69">
            <w:pPr>
              <w:spacing w:line="360" w:lineRule="auto"/>
              <w:rPr>
                <w:sz w:val="22"/>
              </w:rPr>
            </w:pPr>
            <w:r w:rsidRPr="002928F8">
              <w:rPr>
                <w:sz w:val="22"/>
              </w:rPr>
              <w:t>1-3 days</w:t>
            </w:r>
          </w:p>
        </w:tc>
        <w:tc>
          <w:tcPr>
            <w:tcW w:w="2556" w:type="dxa"/>
          </w:tcPr>
          <w:p w:rsidR="00471BAA" w:rsidRPr="002928F8" w:rsidRDefault="002928F8" w:rsidP="000F4F69">
            <w:pPr>
              <w:spacing w:line="360" w:lineRule="auto"/>
              <w:rPr>
                <w:sz w:val="22"/>
              </w:rPr>
            </w:pPr>
            <w:r w:rsidRPr="002928F8">
              <w:rPr>
                <w:sz w:val="22"/>
              </w:rPr>
              <w:t>Founder / advisor</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4</w:t>
            </w:r>
          </w:p>
        </w:tc>
        <w:tc>
          <w:tcPr>
            <w:tcW w:w="2556" w:type="dxa"/>
          </w:tcPr>
          <w:p w:rsidR="00471BAA" w:rsidRPr="002928F8" w:rsidRDefault="002928F8" w:rsidP="000F4F69">
            <w:pPr>
              <w:spacing w:line="360" w:lineRule="auto"/>
              <w:rPr>
                <w:sz w:val="22"/>
              </w:rPr>
            </w:pPr>
            <w:r w:rsidRPr="002928F8">
              <w:rPr>
                <w:sz w:val="22"/>
              </w:rPr>
              <w:t>File articles and receive incorporation</w:t>
            </w:r>
          </w:p>
        </w:tc>
        <w:tc>
          <w:tcPr>
            <w:tcW w:w="2556" w:type="dxa"/>
          </w:tcPr>
          <w:p w:rsidR="00471BAA" w:rsidRPr="002928F8" w:rsidRDefault="002928F8" w:rsidP="000F4F69">
            <w:pPr>
              <w:spacing w:line="360" w:lineRule="auto"/>
              <w:rPr>
                <w:sz w:val="22"/>
              </w:rPr>
            </w:pPr>
            <w:r w:rsidRPr="002928F8">
              <w:rPr>
                <w:sz w:val="22"/>
              </w:rPr>
              <w:t>Often same day online, depending on jurisdiction</w:t>
            </w:r>
          </w:p>
        </w:tc>
        <w:tc>
          <w:tcPr>
            <w:tcW w:w="2556" w:type="dxa"/>
          </w:tcPr>
          <w:p w:rsidR="00471BAA" w:rsidRPr="002928F8" w:rsidRDefault="002928F8" w:rsidP="000F4F69">
            <w:pPr>
              <w:spacing w:line="360" w:lineRule="auto"/>
              <w:rPr>
                <w:sz w:val="22"/>
              </w:rPr>
            </w:pPr>
            <w:r w:rsidRPr="002928F8">
              <w:rPr>
                <w:sz w:val="22"/>
              </w:rPr>
              <w:t>Corporations Canada / province</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5</w:t>
            </w:r>
          </w:p>
        </w:tc>
        <w:tc>
          <w:tcPr>
            <w:tcW w:w="2556" w:type="dxa"/>
          </w:tcPr>
          <w:p w:rsidR="00471BAA" w:rsidRPr="002928F8" w:rsidRDefault="002928F8" w:rsidP="000F4F69">
            <w:pPr>
              <w:spacing w:line="360" w:lineRule="auto"/>
              <w:rPr>
                <w:sz w:val="22"/>
              </w:rPr>
            </w:pPr>
            <w:r w:rsidRPr="002928F8">
              <w:rPr>
                <w:sz w:val="22"/>
              </w:rPr>
              <w:t>Obtain Business Number and tax accounts</w:t>
            </w:r>
          </w:p>
        </w:tc>
        <w:tc>
          <w:tcPr>
            <w:tcW w:w="2556" w:type="dxa"/>
          </w:tcPr>
          <w:p w:rsidR="00471BAA" w:rsidRPr="002928F8" w:rsidRDefault="002928F8" w:rsidP="000F4F69">
            <w:pPr>
              <w:spacing w:line="360" w:lineRule="auto"/>
              <w:rPr>
                <w:sz w:val="22"/>
              </w:rPr>
            </w:pPr>
            <w:r w:rsidRPr="002928F8">
              <w:rPr>
                <w:sz w:val="22"/>
              </w:rPr>
              <w:t>Immediately or shortly after incorporation</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6</w:t>
            </w:r>
          </w:p>
        </w:tc>
        <w:tc>
          <w:tcPr>
            <w:tcW w:w="2556" w:type="dxa"/>
          </w:tcPr>
          <w:p w:rsidR="00471BAA" w:rsidRPr="002928F8" w:rsidRDefault="002928F8" w:rsidP="000F4F69">
            <w:pPr>
              <w:spacing w:line="360" w:lineRule="auto"/>
              <w:rPr>
                <w:sz w:val="22"/>
              </w:rPr>
            </w:pPr>
            <w:r w:rsidRPr="002928F8">
              <w:rPr>
                <w:sz w:val="22"/>
              </w:rPr>
              <w:t>Register GST/HST, payroll, import/export if needed</w:t>
            </w:r>
          </w:p>
        </w:tc>
        <w:tc>
          <w:tcPr>
            <w:tcW w:w="2556" w:type="dxa"/>
          </w:tcPr>
          <w:p w:rsidR="00471BAA" w:rsidRPr="002928F8" w:rsidRDefault="002928F8" w:rsidP="000F4F69">
            <w:pPr>
              <w:spacing w:line="360" w:lineRule="auto"/>
              <w:rPr>
                <w:sz w:val="22"/>
              </w:rPr>
            </w:pPr>
            <w:r w:rsidRPr="002928F8">
              <w:rPr>
                <w:sz w:val="22"/>
              </w:rPr>
              <w:t>As required</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7</w:t>
            </w:r>
          </w:p>
        </w:tc>
        <w:tc>
          <w:tcPr>
            <w:tcW w:w="2556" w:type="dxa"/>
          </w:tcPr>
          <w:p w:rsidR="00471BAA" w:rsidRPr="002928F8" w:rsidRDefault="002928F8" w:rsidP="000F4F69">
            <w:pPr>
              <w:spacing w:line="360" w:lineRule="auto"/>
              <w:rPr>
                <w:sz w:val="22"/>
              </w:rPr>
            </w:pPr>
            <w:r w:rsidRPr="002928F8">
              <w:rPr>
                <w:sz w:val="22"/>
              </w:rPr>
              <w:t>Open bank account and complete KYC</w:t>
            </w:r>
          </w:p>
        </w:tc>
        <w:tc>
          <w:tcPr>
            <w:tcW w:w="2556" w:type="dxa"/>
          </w:tcPr>
          <w:p w:rsidR="00471BAA" w:rsidRPr="002928F8" w:rsidRDefault="002928F8" w:rsidP="000F4F69">
            <w:pPr>
              <w:spacing w:line="360" w:lineRule="auto"/>
              <w:rPr>
                <w:sz w:val="22"/>
              </w:rPr>
            </w:pPr>
            <w:r w:rsidRPr="002928F8">
              <w:rPr>
                <w:sz w:val="22"/>
              </w:rPr>
              <w:t>1-8 weeks</w:t>
            </w:r>
          </w:p>
        </w:tc>
        <w:tc>
          <w:tcPr>
            <w:tcW w:w="2556" w:type="dxa"/>
          </w:tcPr>
          <w:p w:rsidR="00471BAA" w:rsidRPr="002928F8" w:rsidRDefault="002928F8" w:rsidP="000F4F69">
            <w:pPr>
              <w:spacing w:line="360" w:lineRule="auto"/>
              <w:rPr>
                <w:sz w:val="22"/>
              </w:rPr>
            </w:pPr>
            <w:r w:rsidRPr="002928F8">
              <w:rPr>
                <w:sz w:val="22"/>
              </w:rPr>
              <w:t>Canadian financial institution</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8</w:t>
            </w:r>
          </w:p>
        </w:tc>
        <w:tc>
          <w:tcPr>
            <w:tcW w:w="2556" w:type="dxa"/>
          </w:tcPr>
          <w:p w:rsidR="00471BAA" w:rsidRPr="002928F8" w:rsidRDefault="002928F8" w:rsidP="000F4F69">
            <w:pPr>
              <w:spacing w:line="360" w:lineRule="auto"/>
              <w:rPr>
                <w:sz w:val="22"/>
              </w:rPr>
            </w:pPr>
            <w:r w:rsidRPr="002928F8">
              <w:rPr>
                <w:sz w:val="22"/>
              </w:rPr>
              <w:t>File extra-provincial registration if operating in additional provinces</w:t>
            </w:r>
          </w:p>
        </w:tc>
        <w:tc>
          <w:tcPr>
            <w:tcW w:w="2556" w:type="dxa"/>
          </w:tcPr>
          <w:p w:rsidR="00471BAA" w:rsidRPr="002928F8" w:rsidRDefault="002928F8" w:rsidP="000F4F69">
            <w:pPr>
              <w:spacing w:line="360" w:lineRule="auto"/>
              <w:rPr>
                <w:sz w:val="22"/>
              </w:rPr>
            </w:pPr>
            <w:r w:rsidRPr="002928F8">
              <w:rPr>
                <w:sz w:val="22"/>
              </w:rPr>
              <w:t>As needed</w:t>
            </w:r>
          </w:p>
        </w:tc>
        <w:tc>
          <w:tcPr>
            <w:tcW w:w="2556" w:type="dxa"/>
          </w:tcPr>
          <w:p w:rsidR="00471BAA" w:rsidRPr="002928F8" w:rsidRDefault="002928F8" w:rsidP="000F4F69">
            <w:pPr>
              <w:spacing w:line="360" w:lineRule="auto"/>
              <w:rPr>
                <w:sz w:val="22"/>
              </w:rPr>
            </w:pPr>
            <w:r w:rsidRPr="002928F8">
              <w:rPr>
                <w:sz w:val="22"/>
              </w:rPr>
              <w:t>Provincial registry</w:t>
            </w:r>
          </w:p>
        </w:tc>
      </w:tr>
    </w:tbl>
    <w:p w:rsidR="00471BAA" w:rsidRPr="002928F8" w:rsidRDefault="00471BAA" w:rsidP="000F4F69">
      <w:pPr>
        <w:spacing w:line="360" w:lineRule="auto"/>
        <w:rPr>
          <w:sz w:val="22"/>
        </w:rPr>
      </w:pPr>
    </w:p>
    <w:p w:rsidR="00471BAA" w:rsidRPr="002928F8" w:rsidRDefault="002928F8" w:rsidP="000F4F69">
      <w:pPr>
        <w:pStyle w:val="Heading2"/>
        <w:spacing w:line="360" w:lineRule="auto"/>
        <w:rPr>
          <w:sz w:val="22"/>
          <w:szCs w:val="22"/>
        </w:rPr>
      </w:pPr>
      <w:r w:rsidRPr="002928F8">
        <w:rPr>
          <w:sz w:val="22"/>
          <w:szCs w:val="22"/>
        </w:rPr>
        <w:t>8.3 Ongoing Post-Incorporation Filings</w:t>
      </w:r>
    </w:p>
    <w:p w:rsidR="00471BAA" w:rsidRPr="002928F8" w:rsidRDefault="002928F8" w:rsidP="000F4F69">
      <w:pPr>
        <w:spacing w:after="80" w:line="360" w:lineRule="auto"/>
        <w:rPr>
          <w:sz w:val="22"/>
        </w:rPr>
      </w:pPr>
      <w:r w:rsidRPr="002928F8">
        <w:rPr>
          <w:sz w:val="22"/>
        </w:rPr>
        <w:t>Federal business corporations must keep their records current, file annual returns, update director and address information promptly, and maintain ISC information where required. Provincial corporations should also monitor extra-provincial registration rules where they do business. [4][11][17]</w:t>
      </w:r>
    </w:p>
    <w:p w:rsidR="002928F8" w:rsidRPr="002928F8" w:rsidRDefault="002928F8">
      <w:pPr>
        <w:spacing w:after="80"/>
        <w:rPr>
          <w:sz w:val="22"/>
        </w:rPr>
      </w:pPr>
    </w:p>
    <w:p w:rsidR="00471BAA" w:rsidRPr="002928F8" w:rsidRDefault="002928F8" w:rsidP="000F4F69">
      <w:pPr>
        <w:pStyle w:val="Heading1"/>
        <w:spacing w:line="360" w:lineRule="auto"/>
      </w:pPr>
      <w:r w:rsidRPr="002928F8">
        <w:lastRenderedPageBreak/>
        <w:t>9. Licenses, Approvals, and Sector-Specific Requirements</w:t>
      </w:r>
    </w:p>
    <w:p w:rsidR="00471BAA" w:rsidRPr="002928F8" w:rsidRDefault="002928F8" w:rsidP="000F4F69">
      <w:pPr>
        <w:pStyle w:val="Heading2"/>
        <w:spacing w:line="360" w:lineRule="auto"/>
        <w:rPr>
          <w:sz w:val="22"/>
          <w:szCs w:val="22"/>
        </w:rPr>
      </w:pPr>
      <w:r w:rsidRPr="002928F8">
        <w:rPr>
          <w:sz w:val="22"/>
          <w:szCs w:val="22"/>
        </w:rPr>
        <w:t>9.1 Common Cross-Sector Requirements</w:t>
      </w:r>
    </w:p>
    <w:p w:rsidR="00471BAA" w:rsidRPr="002928F8" w:rsidRDefault="002928F8" w:rsidP="000F4F69">
      <w:pPr>
        <w:spacing w:after="80" w:line="360" w:lineRule="auto"/>
        <w:rPr>
          <w:sz w:val="22"/>
        </w:rPr>
      </w:pPr>
      <w:r w:rsidRPr="002928F8">
        <w:rPr>
          <w:sz w:val="22"/>
        </w:rPr>
        <w:t>Many Canadian businesses do not need a special general business licence, but they may need tax registrations, municipal permits, sector approvals, insurance, zoning compliance, and employment registrations. Common starting points include incorporation, a BN, GST/HST registration where required, payroll registration, and, where applicable, import/export accounts or provincial sales tax registrations. [4][5][17]</w:t>
      </w:r>
    </w:p>
    <w:p w:rsidR="00471BAA" w:rsidRPr="002928F8" w:rsidRDefault="002928F8" w:rsidP="000F4F69">
      <w:pPr>
        <w:pStyle w:val="Heading2"/>
        <w:spacing w:line="360" w:lineRule="auto"/>
        <w:rPr>
          <w:sz w:val="22"/>
          <w:szCs w:val="22"/>
        </w:rPr>
      </w:pPr>
      <w:r w:rsidRPr="002928F8">
        <w:rPr>
          <w:sz w:val="22"/>
          <w:szCs w:val="22"/>
        </w:rPr>
        <w:t>9.2 Sector-Specific Approvals</w:t>
      </w:r>
    </w:p>
    <w:p w:rsidR="00471BAA" w:rsidRPr="002928F8" w:rsidRDefault="002928F8" w:rsidP="000F4F69">
      <w:pPr>
        <w:spacing w:after="80" w:line="360" w:lineRule="auto"/>
        <w:rPr>
          <w:sz w:val="22"/>
        </w:rPr>
      </w:pPr>
      <w:r w:rsidRPr="002928F8">
        <w:rPr>
          <w:sz w:val="22"/>
        </w:rPr>
        <w:t>Sector approvals depend on activity. Examples include financial services regulation, Health Canada approvals for regulated health products, provincial law society rules for legal services, CRTC rules for telecom, provincial gaming authorities for gambling, and FINTRAC registration where a business is a money services business or otherwise caught by AML obligations. [19][20]</w:t>
      </w: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pPr>
        <w:spacing w:after="80"/>
        <w:rPr>
          <w:sz w:val="22"/>
        </w:rPr>
      </w:pPr>
    </w:p>
    <w:p w:rsidR="002928F8" w:rsidRPr="002928F8" w:rsidRDefault="002928F8" w:rsidP="000F4F69">
      <w:pPr>
        <w:pStyle w:val="Heading1"/>
        <w:spacing w:line="360" w:lineRule="auto"/>
      </w:pPr>
      <w:r w:rsidRPr="002928F8">
        <w:lastRenderedPageBreak/>
        <w:t>10. Taxation and Incentives</w:t>
      </w:r>
    </w:p>
    <w:p w:rsidR="00471BAA" w:rsidRPr="002928F8" w:rsidRDefault="002928F8" w:rsidP="000F4F69">
      <w:pPr>
        <w:pStyle w:val="Heading2"/>
        <w:spacing w:line="360" w:lineRule="auto"/>
        <w:rPr>
          <w:sz w:val="22"/>
          <w:szCs w:val="22"/>
        </w:rPr>
      </w:pPr>
      <w:r w:rsidRPr="002928F8">
        <w:rPr>
          <w:sz w:val="22"/>
          <w:szCs w:val="22"/>
        </w:rPr>
        <w:t>10.1 Overview of the Tax System</w:t>
      </w:r>
    </w:p>
    <w:p w:rsidR="00471BAA" w:rsidRPr="002928F8" w:rsidRDefault="002928F8" w:rsidP="000F4F69">
      <w:pPr>
        <w:spacing w:after="80" w:line="360" w:lineRule="auto"/>
        <w:rPr>
          <w:sz w:val="22"/>
        </w:rPr>
      </w:pPr>
      <w:r w:rsidRPr="002928F8">
        <w:rPr>
          <w:sz w:val="22"/>
        </w:rPr>
        <w:t>Canada’s business tax system is administered by the CRA and supported by provincial and territorial tax authorities. Core business taxes typically include federal and provincial corporate income tax, GST/HST, payroll withholdings and remittances, and, depending on the province and activity, provincial sales tax, land transfer tax, and sector-specific levies. [5][6][7]</w:t>
      </w:r>
    </w:p>
    <w:p w:rsidR="00471BAA" w:rsidRPr="002928F8" w:rsidRDefault="002928F8" w:rsidP="000F4F69">
      <w:pPr>
        <w:pStyle w:val="Heading2"/>
        <w:spacing w:line="360" w:lineRule="auto"/>
        <w:rPr>
          <w:sz w:val="22"/>
          <w:szCs w:val="22"/>
        </w:rPr>
      </w:pPr>
      <w:r w:rsidRPr="002928F8">
        <w:rPr>
          <w:sz w:val="22"/>
          <w:szCs w:val="22"/>
        </w:rPr>
        <w:t>10.2 Corporate Income Tax</w:t>
      </w:r>
    </w:p>
    <w:p w:rsidR="00471BAA" w:rsidRPr="002928F8" w:rsidRDefault="002928F8" w:rsidP="000F4F69">
      <w:pPr>
        <w:spacing w:after="80" w:line="360" w:lineRule="auto"/>
        <w:rPr>
          <w:sz w:val="22"/>
        </w:rPr>
      </w:pPr>
      <w:r w:rsidRPr="002928F8">
        <w:rPr>
          <w:sz w:val="22"/>
        </w:rPr>
        <w:t>The federal net corporate tax rate is generally 15%. Canadian-controlled private corporations may qualify for the small business deduction, which can reduce the federal rate to 9% on qualifying active business income up to the business limit, subject to associated-person and passive-income rules. Provincial and territorial corporate tax rates apply in addition to the federal rate, so the combined effective rate depends on the province and the nature of the income. [5][23][24]</w:t>
      </w:r>
    </w:p>
    <w:p w:rsidR="00471BAA" w:rsidRPr="002928F8" w:rsidRDefault="002928F8" w:rsidP="000F4F69">
      <w:pPr>
        <w:pStyle w:val="Heading2"/>
        <w:spacing w:line="360" w:lineRule="auto"/>
        <w:rPr>
          <w:sz w:val="22"/>
          <w:szCs w:val="22"/>
        </w:rPr>
      </w:pPr>
      <w:r w:rsidRPr="002928F8">
        <w:rPr>
          <w:sz w:val="22"/>
          <w:szCs w:val="22"/>
        </w:rPr>
        <w:t>10.3 GST/HST</w:t>
      </w:r>
    </w:p>
    <w:p w:rsidR="00471BAA" w:rsidRPr="002928F8" w:rsidRDefault="002928F8" w:rsidP="000F4F69">
      <w:pPr>
        <w:spacing w:after="80" w:line="360" w:lineRule="auto"/>
        <w:rPr>
          <w:sz w:val="22"/>
        </w:rPr>
      </w:pPr>
      <w:r w:rsidRPr="002928F8">
        <w:rPr>
          <w:sz w:val="22"/>
        </w:rPr>
        <w:t>The GST/HST system applies to taxable supplies in Canada. A business generally must register once its taxable revenues exceed CAD 30,000 over four consecutive calendar quarters, and it must charge and remit GST/HST based on the applicable province and the place of supply rules. Reporting periods may be monthly, quarterly, or annual depending on the account, and many GST/HST returns must be filed electronically. [6][25][26]</w:t>
      </w:r>
    </w:p>
    <w:p w:rsidR="00471BAA" w:rsidRPr="002928F8" w:rsidRDefault="002928F8" w:rsidP="000F4F69">
      <w:pPr>
        <w:pStyle w:val="Heading2"/>
        <w:spacing w:line="360" w:lineRule="auto"/>
        <w:rPr>
          <w:sz w:val="22"/>
          <w:szCs w:val="22"/>
        </w:rPr>
      </w:pPr>
      <w:r w:rsidRPr="002928F8">
        <w:rPr>
          <w:sz w:val="22"/>
          <w:szCs w:val="22"/>
        </w:rPr>
        <w:t>10.4 Withholding Tax and Cross-Border Payments</w:t>
      </w:r>
    </w:p>
    <w:p w:rsidR="00471BAA" w:rsidRPr="002928F8" w:rsidRDefault="002928F8" w:rsidP="000F4F69">
      <w:pPr>
        <w:spacing w:after="80" w:line="360" w:lineRule="auto"/>
        <w:rPr>
          <w:sz w:val="22"/>
        </w:rPr>
      </w:pPr>
      <w:r w:rsidRPr="002928F8">
        <w:rPr>
          <w:sz w:val="22"/>
        </w:rPr>
        <w:t>Cross-border payments such as dividends, interest, royalties, fees for services, and rent require a careful tax review. Treaty relief may reduce withholding taxes where an applicable treaty exists, and the Canada–India tax treaty and related social security agreement may be relevant to many Indian groups. Transfer pricing and permanent establishment analysis are also critical for intercompany service arrangements. [7][8][27]</w:t>
      </w:r>
    </w:p>
    <w:p w:rsidR="00471BAA" w:rsidRPr="002928F8" w:rsidRDefault="002928F8" w:rsidP="000F4F69">
      <w:pPr>
        <w:pStyle w:val="Heading2"/>
        <w:spacing w:line="360" w:lineRule="auto"/>
        <w:rPr>
          <w:sz w:val="22"/>
          <w:szCs w:val="22"/>
        </w:rPr>
      </w:pPr>
      <w:r w:rsidRPr="002928F8">
        <w:rPr>
          <w:sz w:val="22"/>
          <w:szCs w:val="22"/>
        </w:rPr>
        <w:t>10.5 Tax Incentives and Reliefs</w:t>
      </w:r>
    </w:p>
    <w:p w:rsidR="00471BAA" w:rsidRPr="002928F8" w:rsidRDefault="002928F8" w:rsidP="000F4F69">
      <w:pPr>
        <w:spacing w:after="80" w:line="360" w:lineRule="auto"/>
        <w:rPr>
          <w:sz w:val="22"/>
        </w:rPr>
      </w:pPr>
      <w:r w:rsidRPr="002928F8">
        <w:rPr>
          <w:sz w:val="22"/>
        </w:rPr>
        <w:t>Canada offers several incentives that are often relevant to incoming businesses, especially SR&amp;ED, clean technology credits, NRC IRAP support, and provincial programs. For innovative and R&amp;D-intensive businesses, SR&amp;ED remains one of the most important federal incentives. [13][14][15][16]</w:t>
      </w:r>
    </w:p>
    <w:tbl>
      <w:tblPr>
        <w:tblStyle w:val="TableGrid"/>
        <w:tblW w:w="0" w:type="auto"/>
        <w:jc w:val="center"/>
        <w:tblLook w:val="04A0" w:firstRow="1" w:lastRow="0" w:firstColumn="1" w:lastColumn="0" w:noHBand="0" w:noVBand="1"/>
      </w:tblPr>
      <w:tblGrid>
        <w:gridCol w:w="3408"/>
        <w:gridCol w:w="3408"/>
        <w:gridCol w:w="3408"/>
      </w:tblGrid>
      <w:tr w:rsidR="00471BAA" w:rsidRPr="002928F8">
        <w:trPr>
          <w:jc w:val="center"/>
        </w:trPr>
        <w:tc>
          <w:tcPr>
            <w:tcW w:w="3408" w:type="dxa"/>
            <w:shd w:val="clear" w:color="auto" w:fill="D9EAF7"/>
          </w:tcPr>
          <w:p w:rsidR="00471BAA" w:rsidRPr="002928F8" w:rsidRDefault="002928F8" w:rsidP="000F4F69">
            <w:pPr>
              <w:spacing w:line="360" w:lineRule="auto"/>
              <w:rPr>
                <w:sz w:val="22"/>
              </w:rPr>
            </w:pPr>
            <w:r w:rsidRPr="002928F8">
              <w:rPr>
                <w:b/>
                <w:sz w:val="22"/>
              </w:rPr>
              <w:t>Tax Item</w:t>
            </w:r>
          </w:p>
        </w:tc>
        <w:tc>
          <w:tcPr>
            <w:tcW w:w="3408" w:type="dxa"/>
            <w:shd w:val="clear" w:color="auto" w:fill="D9EAF7"/>
          </w:tcPr>
          <w:p w:rsidR="00471BAA" w:rsidRPr="002928F8" w:rsidRDefault="002928F8" w:rsidP="000F4F69">
            <w:pPr>
              <w:spacing w:line="360" w:lineRule="auto"/>
              <w:rPr>
                <w:sz w:val="22"/>
              </w:rPr>
            </w:pPr>
            <w:r w:rsidRPr="002928F8">
              <w:rPr>
                <w:b/>
                <w:sz w:val="22"/>
              </w:rPr>
              <w:t>General Rule</w:t>
            </w:r>
          </w:p>
        </w:tc>
        <w:tc>
          <w:tcPr>
            <w:tcW w:w="3408" w:type="dxa"/>
            <w:shd w:val="clear" w:color="auto" w:fill="D9EAF7"/>
          </w:tcPr>
          <w:p w:rsidR="00471BAA" w:rsidRPr="002928F8" w:rsidRDefault="002928F8" w:rsidP="000F4F69">
            <w:pPr>
              <w:spacing w:line="360" w:lineRule="auto"/>
              <w:rPr>
                <w:sz w:val="22"/>
              </w:rPr>
            </w:pPr>
            <w:r w:rsidRPr="002928F8">
              <w:rPr>
                <w:b/>
                <w:sz w:val="22"/>
              </w:rPr>
              <w:t>Note</w:t>
            </w:r>
          </w:p>
        </w:tc>
      </w:tr>
      <w:tr w:rsidR="00471BAA" w:rsidRPr="002928F8">
        <w:trPr>
          <w:jc w:val="center"/>
        </w:trPr>
        <w:tc>
          <w:tcPr>
            <w:tcW w:w="3408" w:type="dxa"/>
          </w:tcPr>
          <w:p w:rsidR="00471BAA" w:rsidRPr="002928F8" w:rsidRDefault="002928F8" w:rsidP="000F4F69">
            <w:pPr>
              <w:spacing w:line="360" w:lineRule="auto"/>
              <w:rPr>
                <w:sz w:val="22"/>
              </w:rPr>
            </w:pPr>
            <w:r w:rsidRPr="002928F8">
              <w:rPr>
                <w:sz w:val="22"/>
              </w:rPr>
              <w:t>Federal corporate income tax</w:t>
            </w:r>
          </w:p>
        </w:tc>
        <w:tc>
          <w:tcPr>
            <w:tcW w:w="3408" w:type="dxa"/>
          </w:tcPr>
          <w:p w:rsidR="00471BAA" w:rsidRPr="002928F8" w:rsidRDefault="002928F8" w:rsidP="000F4F69">
            <w:pPr>
              <w:spacing w:line="360" w:lineRule="auto"/>
              <w:rPr>
                <w:sz w:val="22"/>
              </w:rPr>
            </w:pPr>
            <w:r w:rsidRPr="002928F8">
              <w:rPr>
                <w:sz w:val="22"/>
              </w:rPr>
              <w:t>15% net general rate</w:t>
            </w:r>
          </w:p>
        </w:tc>
        <w:tc>
          <w:tcPr>
            <w:tcW w:w="3408" w:type="dxa"/>
          </w:tcPr>
          <w:p w:rsidR="00471BAA" w:rsidRPr="002928F8" w:rsidRDefault="002928F8" w:rsidP="000F4F69">
            <w:pPr>
              <w:spacing w:line="360" w:lineRule="auto"/>
              <w:rPr>
                <w:sz w:val="22"/>
              </w:rPr>
            </w:pPr>
            <w:r w:rsidRPr="002928F8">
              <w:rPr>
                <w:sz w:val="22"/>
              </w:rPr>
              <w:t>CCPC small business deduction may lower the federal rate</w:t>
            </w:r>
          </w:p>
        </w:tc>
      </w:tr>
      <w:tr w:rsidR="00471BAA" w:rsidRPr="002928F8">
        <w:trPr>
          <w:jc w:val="center"/>
        </w:trPr>
        <w:tc>
          <w:tcPr>
            <w:tcW w:w="3408" w:type="dxa"/>
          </w:tcPr>
          <w:p w:rsidR="00471BAA" w:rsidRPr="002928F8" w:rsidRDefault="002928F8" w:rsidP="000F4F69">
            <w:pPr>
              <w:spacing w:line="360" w:lineRule="auto"/>
              <w:rPr>
                <w:sz w:val="22"/>
              </w:rPr>
            </w:pPr>
            <w:r w:rsidRPr="002928F8">
              <w:rPr>
                <w:sz w:val="22"/>
              </w:rPr>
              <w:t>GST/HST registration</w:t>
            </w:r>
          </w:p>
        </w:tc>
        <w:tc>
          <w:tcPr>
            <w:tcW w:w="3408" w:type="dxa"/>
          </w:tcPr>
          <w:p w:rsidR="00471BAA" w:rsidRPr="002928F8" w:rsidRDefault="002928F8" w:rsidP="000F4F69">
            <w:pPr>
              <w:spacing w:line="360" w:lineRule="auto"/>
              <w:rPr>
                <w:sz w:val="22"/>
              </w:rPr>
            </w:pPr>
            <w:r w:rsidRPr="002928F8">
              <w:rPr>
                <w:sz w:val="22"/>
              </w:rPr>
              <w:t>Generally at CAD 30,000 taxable revenues</w:t>
            </w:r>
          </w:p>
        </w:tc>
        <w:tc>
          <w:tcPr>
            <w:tcW w:w="3408" w:type="dxa"/>
          </w:tcPr>
          <w:p w:rsidR="00471BAA" w:rsidRPr="002928F8" w:rsidRDefault="002928F8" w:rsidP="000F4F69">
            <w:pPr>
              <w:spacing w:line="360" w:lineRule="auto"/>
              <w:rPr>
                <w:sz w:val="22"/>
              </w:rPr>
            </w:pPr>
            <w:r w:rsidRPr="002928F8">
              <w:rPr>
                <w:sz w:val="22"/>
              </w:rPr>
              <w:t>Threshold and filing frequency depend on facts</w:t>
            </w:r>
          </w:p>
        </w:tc>
      </w:tr>
      <w:tr w:rsidR="00471BAA" w:rsidRPr="002928F8">
        <w:trPr>
          <w:jc w:val="center"/>
        </w:trPr>
        <w:tc>
          <w:tcPr>
            <w:tcW w:w="3408" w:type="dxa"/>
          </w:tcPr>
          <w:p w:rsidR="00471BAA" w:rsidRPr="002928F8" w:rsidRDefault="002928F8" w:rsidP="000F4F69">
            <w:pPr>
              <w:spacing w:line="360" w:lineRule="auto"/>
              <w:rPr>
                <w:sz w:val="22"/>
              </w:rPr>
            </w:pPr>
            <w:r w:rsidRPr="002928F8">
              <w:rPr>
                <w:sz w:val="22"/>
              </w:rPr>
              <w:lastRenderedPageBreak/>
              <w:t>Payroll deductions</w:t>
            </w:r>
          </w:p>
        </w:tc>
        <w:tc>
          <w:tcPr>
            <w:tcW w:w="3408" w:type="dxa"/>
          </w:tcPr>
          <w:p w:rsidR="00471BAA" w:rsidRPr="002928F8" w:rsidRDefault="002928F8" w:rsidP="000F4F69">
            <w:pPr>
              <w:spacing w:line="360" w:lineRule="auto"/>
              <w:rPr>
                <w:sz w:val="22"/>
              </w:rPr>
            </w:pPr>
            <w:r w:rsidRPr="002928F8">
              <w:rPr>
                <w:sz w:val="22"/>
              </w:rPr>
              <w:t>Income tax, CPP, EI and related remittances</w:t>
            </w:r>
          </w:p>
        </w:tc>
        <w:tc>
          <w:tcPr>
            <w:tcW w:w="3408" w:type="dxa"/>
          </w:tcPr>
          <w:p w:rsidR="00471BAA" w:rsidRPr="002928F8" w:rsidRDefault="002928F8" w:rsidP="000F4F69">
            <w:pPr>
              <w:spacing w:line="360" w:lineRule="auto"/>
              <w:rPr>
                <w:sz w:val="22"/>
              </w:rPr>
            </w:pPr>
            <w:r w:rsidRPr="002928F8">
              <w:rPr>
                <w:sz w:val="22"/>
              </w:rPr>
              <w:t>Remittance frequency depends on remitter type</w:t>
            </w:r>
          </w:p>
        </w:tc>
      </w:tr>
      <w:tr w:rsidR="00471BAA" w:rsidRPr="002928F8">
        <w:trPr>
          <w:jc w:val="center"/>
        </w:trPr>
        <w:tc>
          <w:tcPr>
            <w:tcW w:w="3408" w:type="dxa"/>
          </w:tcPr>
          <w:p w:rsidR="00471BAA" w:rsidRPr="002928F8" w:rsidRDefault="002928F8" w:rsidP="000F4F69">
            <w:pPr>
              <w:spacing w:line="360" w:lineRule="auto"/>
              <w:rPr>
                <w:sz w:val="22"/>
              </w:rPr>
            </w:pPr>
            <w:r w:rsidRPr="002928F8">
              <w:rPr>
                <w:sz w:val="22"/>
              </w:rPr>
              <w:t>Provincial taxes</w:t>
            </w:r>
          </w:p>
        </w:tc>
        <w:tc>
          <w:tcPr>
            <w:tcW w:w="3408" w:type="dxa"/>
          </w:tcPr>
          <w:p w:rsidR="00471BAA" w:rsidRPr="002928F8" w:rsidRDefault="002928F8" w:rsidP="000F4F69">
            <w:pPr>
              <w:spacing w:line="360" w:lineRule="auto"/>
              <w:rPr>
                <w:sz w:val="22"/>
              </w:rPr>
            </w:pPr>
            <w:r w:rsidRPr="002928F8">
              <w:rPr>
                <w:sz w:val="22"/>
              </w:rPr>
              <w:t>Province-specific</w:t>
            </w:r>
          </w:p>
        </w:tc>
        <w:tc>
          <w:tcPr>
            <w:tcW w:w="3408" w:type="dxa"/>
          </w:tcPr>
          <w:p w:rsidR="00471BAA" w:rsidRPr="002928F8" w:rsidRDefault="002928F8" w:rsidP="000F4F69">
            <w:pPr>
              <w:spacing w:line="360" w:lineRule="auto"/>
              <w:rPr>
                <w:sz w:val="22"/>
              </w:rPr>
            </w:pPr>
            <w:r w:rsidRPr="002928F8">
              <w:rPr>
                <w:sz w:val="22"/>
              </w:rPr>
              <w:t>Depends on operating location and business activity</w:t>
            </w:r>
          </w:p>
        </w:tc>
      </w:tr>
    </w:tbl>
    <w:p w:rsidR="00471BAA" w:rsidRPr="002928F8" w:rsidRDefault="00471BAA"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471BAA" w:rsidRPr="002928F8" w:rsidRDefault="002928F8" w:rsidP="000F4F69">
      <w:pPr>
        <w:pStyle w:val="Heading1"/>
        <w:spacing w:line="360" w:lineRule="auto"/>
      </w:pPr>
      <w:r w:rsidRPr="002928F8">
        <w:t>11. Banking, Finance, and Repatriation</w:t>
      </w:r>
    </w:p>
    <w:p w:rsidR="00471BAA" w:rsidRPr="002928F8" w:rsidRDefault="002928F8" w:rsidP="000F4F69">
      <w:pPr>
        <w:pStyle w:val="Heading2"/>
        <w:spacing w:line="360" w:lineRule="auto"/>
        <w:rPr>
          <w:sz w:val="22"/>
          <w:szCs w:val="22"/>
        </w:rPr>
      </w:pPr>
      <w:r w:rsidRPr="002928F8">
        <w:rPr>
          <w:sz w:val="22"/>
          <w:szCs w:val="22"/>
        </w:rPr>
        <w:t>11.1 Opening Corporate Bank Accounts</w:t>
      </w:r>
    </w:p>
    <w:p w:rsidR="00471BAA" w:rsidRPr="002928F8" w:rsidRDefault="002928F8" w:rsidP="000F4F69">
      <w:pPr>
        <w:spacing w:after="80" w:line="360" w:lineRule="auto"/>
        <w:rPr>
          <w:sz w:val="22"/>
        </w:rPr>
      </w:pPr>
      <w:r w:rsidRPr="002928F8">
        <w:rPr>
          <w:sz w:val="22"/>
        </w:rPr>
        <w:t>Opening a Canadian bank account usually requires the certificate/articles of incorporation, Business Number, corporate registers, director and beneficial owner identification, proof of address, and information on the expected business activity and source of funds. Major Canadian banks include RBC, TD, Scotiabank, BMO, CIBC, and National Bank, while fintech options may be available depending on the client profile and the bank’s onboarding policies. [4][17][28]</w:t>
      </w:r>
    </w:p>
    <w:p w:rsidR="00471BAA" w:rsidRPr="002928F8" w:rsidRDefault="002928F8" w:rsidP="000F4F69">
      <w:pPr>
        <w:pStyle w:val="Heading2"/>
        <w:spacing w:line="360" w:lineRule="auto"/>
        <w:rPr>
          <w:sz w:val="22"/>
          <w:szCs w:val="22"/>
        </w:rPr>
      </w:pPr>
      <w:r w:rsidRPr="002928F8">
        <w:rPr>
          <w:sz w:val="22"/>
          <w:szCs w:val="22"/>
        </w:rPr>
        <w:t>11.2 Funding Options</w:t>
      </w:r>
    </w:p>
    <w:p w:rsidR="00471BAA" w:rsidRPr="002928F8" w:rsidRDefault="002928F8" w:rsidP="000F4F69">
      <w:pPr>
        <w:spacing w:after="80" w:line="360" w:lineRule="auto"/>
        <w:rPr>
          <w:sz w:val="22"/>
        </w:rPr>
      </w:pPr>
      <w:r w:rsidRPr="002928F8">
        <w:rPr>
          <w:sz w:val="22"/>
        </w:rPr>
        <w:t>Canadian businesses can be funded by equity from the Indian parent, shareholder loans, retained earnings, Canadian bank financing, venture capital, angel investors, government programs, and project-level funding. Cross-border debt and equity funding should be reviewed for Indian ODI, Canadian thin-capitalization, transfer-pricing, and withholding-tax implications. [7][18]</w:t>
      </w:r>
    </w:p>
    <w:p w:rsidR="00471BAA" w:rsidRPr="002928F8" w:rsidRDefault="002928F8" w:rsidP="000F4F69">
      <w:pPr>
        <w:pStyle w:val="Heading2"/>
        <w:spacing w:line="360" w:lineRule="auto"/>
        <w:rPr>
          <w:sz w:val="22"/>
          <w:szCs w:val="22"/>
        </w:rPr>
      </w:pPr>
      <w:r w:rsidRPr="002928F8">
        <w:rPr>
          <w:sz w:val="22"/>
          <w:szCs w:val="22"/>
        </w:rPr>
        <w:t>11.3 Repatriation Rules</w:t>
      </w:r>
    </w:p>
    <w:p w:rsidR="00471BAA" w:rsidRPr="002928F8" w:rsidRDefault="002928F8" w:rsidP="000F4F69">
      <w:pPr>
        <w:spacing w:after="80" w:line="360" w:lineRule="auto"/>
        <w:rPr>
          <w:sz w:val="22"/>
        </w:rPr>
      </w:pPr>
      <w:r w:rsidRPr="002928F8">
        <w:rPr>
          <w:sz w:val="22"/>
        </w:rPr>
        <w:t>Repatriation from Canada to India is typically possible through dividends, intercompany services, interest, royalties, management fees, and share redemptions or capital reductions, subject to tax compliance. Canada does not generally require exchange-control approvals for ordinary commercial remittances, but the payment structure should be aligned with treaty analysis, withholding tax, and the commercial substance of the arrangement. [7][8][27]</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471BAA" w:rsidRPr="002928F8" w:rsidRDefault="002928F8" w:rsidP="000F4F69">
      <w:pPr>
        <w:pStyle w:val="Heading1"/>
        <w:spacing w:line="360" w:lineRule="auto"/>
      </w:pPr>
      <w:r w:rsidRPr="002928F8">
        <w:t>12. Employment, Immigration, and Payroll</w:t>
      </w:r>
    </w:p>
    <w:p w:rsidR="00471BAA" w:rsidRPr="002928F8" w:rsidRDefault="002928F8" w:rsidP="000F4F69">
      <w:pPr>
        <w:pStyle w:val="Heading2"/>
        <w:spacing w:line="360" w:lineRule="auto"/>
        <w:rPr>
          <w:sz w:val="22"/>
          <w:szCs w:val="22"/>
        </w:rPr>
      </w:pPr>
      <w:r w:rsidRPr="002928F8">
        <w:rPr>
          <w:sz w:val="22"/>
          <w:szCs w:val="22"/>
        </w:rPr>
        <w:t>12.1 Key Employment Laws</w:t>
      </w:r>
    </w:p>
    <w:p w:rsidR="00471BAA" w:rsidRPr="002928F8" w:rsidRDefault="002928F8" w:rsidP="000F4F69">
      <w:pPr>
        <w:spacing w:after="80" w:line="360" w:lineRule="auto"/>
        <w:rPr>
          <w:sz w:val="22"/>
        </w:rPr>
      </w:pPr>
      <w:r w:rsidRPr="002928F8">
        <w:rPr>
          <w:sz w:val="22"/>
        </w:rPr>
        <w:t>Employment rules in Canada are a mix of federal and provincial law. Federally regulated businesses are governed by the Canada Labour Code, while most workplaces are governed by provincial or territorial employment standards legislation. Minimum wages, termination rules, vacation entitlements, leaves, and overtime rules vary by jurisdiction and should be checked province by province. [29][30]</w:t>
      </w:r>
    </w:p>
    <w:p w:rsidR="00471BAA" w:rsidRPr="002928F8" w:rsidRDefault="002928F8" w:rsidP="000F4F69">
      <w:pPr>
        <w:pStyle w:val="Heading2"/>
        <w:spacing w:line="360" w:lineRule="auto"/>
        <w:rPr>
          <w:sz w:val="22"/>
          <w:szCs w:val="22"/>
        </w:rPr>
      </w:pPr>
      <w:r w:rsidRPr="002928F8">
        <w:rPr>
          <w:sz w:val="22"/>
          <w:szCs w:val="22"/>
        </w:rPr>
        <w:t>12.2 Immigration and Work Authorization</w:t>
      </w:r>
    </w:p>
    <w:p w:rsidR="00471BAA" w:rsidRPr="002928F8" w:rsidRDefault="002928F8" w:rsidP="000F4F69">
      <w:pPr>
        <w:spacing w:after="80" w:line="360" w:lineRule="auto"/>
        <w:rPr>
          <w:sz w:val="22"/>
        </w:rPr>
      </w:pPr>
      <w:r w:rsidRPr="002928F8">
        <w:rPr>
          <w:sz w:val="22"/>
        </w:rPr>
        <w:t>Business visitors may attend meetings and events in Canada without entering the labour market, while work permits are required for most hands-on operational roles. Depending on the role and facts, an employer may use the International Mobility Program, Labour Market Impact Assessment-based routes, the Global Skills Strategy for faster processing in some cases, or other IRCC pathways. The Start-Up Visa Program is currently paused for new commitment certificates as of January 1, 2026, so the latest IRCC guidance should be checked before relying on that route. [31][32][33][34]</w:t>
      </w:r>
    </w:p>
    <w:p w:rsidR="00471BAA" w:rsidRPr="002928F8" w:rsidRDefault="002928F8" w:rsidP="000F4F69">
      <w:pPr>
        <w:pStyle w:val="Heading2"/>
        <w:spacing w:line="360" w:lineRule="auto"/>
        <w:rPr>
          <w:sz w:val="22"/>
          <w:szCs w:val="22"/>
        </w:rPr>
      </w:pPr>
      <w:r w:rsidRPr="002928F8">
        <w:rPr>
          <w:sz w:val="22"/>
          <w:szCs w:val="22"/>
        </w:rPr>
        <w:lastRenderedPageBreak/>
        <w:t>12.3 Payroll and HR Compliance</w:t>
      </w:r>
    </w:p>
    <w:p w:rsidR="00471BAA" w:rsidRPr="002928F8" w:rsidRDefault="002928F8" w:rsidP="000F4F69">
      <w:pPr>
        <w:spacing w:after="80" w:line="360" w:lineRule="auto"/>
        <w:rPr>
          <w:sz w:val="22"/>
        </w:rPr>
      </w:pPr>
      <w:r w:rsidRPr="002928F8">
        <w:rPr>
          <w:sz w:val="22"/>
        </w:rPr>
        <w:t>Employers must register payroll accounts, calculate source deductions, and remit income tax, CPP, and EI on the schedule assigned by the CRA. CPP, EI, and remittance rules change periodically, so payroll setup should be reviewed each year. Employers should also prepare T4 information returns and observe province-specific employment standards, health and safety rules, and workplace insurance obligations. [7][35][36]</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471BAA" w:rsidRPr="002928F8" w:rsidRDefault="002928F8" w:rsidP="000F4F69">
      <w:pPr>
        <w:pStyle w:val="Heading1"/>
        <w:spacing w:line="360" w:lineRule="auto"/>
      </w:pPr>
      <w:r w:rsidRPr="002928F8">
        <w:t>13. Intellectual Property, Data, and Technology</w:t>
      </w:r>
    </w:p>
    <w:p w:rsidR="00471BAA" w:rsidRPr="002928F8" w:rsidRDefault="002928F8" w:rsidP="000F4F69">
      <w:pPr>
        <w:pStyle w:val="Heading2"/>
        <w:spacing w:line="360" w:lineRule="auto"/>
        <w:rPr>
          <w:sz w:val="22"/>
          <w:szCs w:val="22"/>
        </w:rPr>
      </w:pPr>
      <w:r w:rsidRPr="002928F8">
        <w:rPr>
          <w:sz w:val="22"/>
          <w:szCs w:val="22"/>
        </w:rPr>
        <w:t>13.1 IP Protection</w:t>
      </w:r>
    </w:p>
    <w:p w:rsidR="00471BAA" w:rsidRPr="002928F8" w:rsidRDefault="002928F8" w:rsidP="000F4F69">
      <w:pPr>
        <w:spacing w:after="80" w:line="360" w:lineRule="auto"/>
        <w:rPr>
          <w:sz w:val="22"/>
        </w:rPr>
      </w:pPr>
      <w:r w:rsidRPr="002928F8">
        <w:rPr>
          <w:sz w:val="22"/>
        </w:rPr>
        <w:t>The Canadian Intellectual Property Office (CIPO) administers patents, trademarks, industrial designs, and related IP services. Businesses entering Canada should clear brand names before launch, determine whether trademark applications are needed at federal level, and consider patent or design filing strategies before public disclosure. [19][20]</w:t>
      </w:r>
    </w:p>
    <w:p w:rsidR="00471BAA" w:rsidRPr="002928F8" w:rsidRDefault="002928F8" w:rsidP="000F4F69">
      <w:pPr>
        <w:pStyle w:val="Heading2"/>
        <w:spacing w:line="360" w:lineRule="auto"/>
        <w:rPr>
          <w:sz w:val="22"/>
          <w:szCs w:val="22"/>
        </w:rPr>
      </w:pPr>
      <w:r w:rsidRPr="002928F8">
        <w:rPr>
          <w:sz w:val="22"/>
          <w:szCs w:val="22"/>
        </w:rPr>
        <w:lastRenderedPageBreak/>
        <w:t>13.2 Data Protection and Privacy</w:t>
      </w:r>
    </w:p>
    <w:p w:rsidR="00471BAA" w:rsidRPr="002928F8" w:rsidRDefault="002928F8" w:rsidP="000F4F69">
      <w:pPr>
        <w:spacing w:after="80" w:line="360" w:lineRule="auto"/>
        <w:rPr>
          <w:sz w:val="22"/>
        </w:rPr>
      </w:pPr>
      <w:r w:rsidRPr="002928F8">
        <w:rPr>
          <w:sz w:val="22"/>
        </w:rPr>
        <w:t>Private-sector privacy in Canada is primarily governed by PIPEDA, while several provinces have their own privacy laws or substantially similar rules. Businesses should adopt privacy notices, purpose limits, security safeguards, retention controls, and breach-response procedures. Where a breach creates a real risk of significant harm, notification obligations may apply under PIPEDA. [12][37]</w:t>
      </w:r>
    </w:p>
    <w:p w:rsidR="00471BAA" w:rsidRPr="002928F8" w:rsidRDefault="002928F8" w:rsidP="000F4F69">
      <w:pPr>
        <w:pStyle w:val="Heading2"/>
        <w:spacing w:line="360" w:lineRule="auto"/>
        <w:rPr>
          <w:sz w:val="22"/>
          <w:szCs w:val="22"/>
        </w:rPr>
      </w:pPr>
      <w:r w:rsidRPr="002928F8">
        <w:rPr>
          <w:sz w:val="22"/>
          <w:szCs w:val="22"/>
        </w:rPr>
        <w:t>13.3 Technology and Digital Commerce</w:t>
      </w:r>
    </w:p>
    <w:p w:rsidR="00471BAA" w:rsidRPr="002928F8" w:rsidRDefault="002928F8" w:rsidP="000F4F69">
      <w:pPr>
        <w:spacing w:after="80" w:line="360" w:lineRule="auto"/>
        <w:rPr>
          <w:sz w:val="22"/>
        </w:rPr>
      </w:pPr>
      <w:r w:rsidRPr="002928F8">
        <w:rPr>
          <w:sz w:val="22"/>
        </w:rPr>
        <w:t>Technology companies entering Canada should also assess consumer protection, anti-spam, e-commerce, cybersecurity, and data localization implications, especially where they serve consumers, handle sensitive personal information, or rely on cross-border data transfers. Canadian public procurement and innovation programs may also be relevant for tech sales and pilots. [15][16][37]</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471BAA" w:rsidRPr="002928F8" w:rsidRDefault="002928F8" w:rsidP="000F4F69">
      <w:pPr>
        <w:pStyle w:val="Heading1"/>
        <w:spacing w:line="360" w:lineRule="auto"/>
      </w:pPr>
      <w:r w:rsidRPr="002928F8">
        <w:lastRenderedPageBreak/>
        <w:t>14. Commercial Contracts and Local Practices</w:t>
      </w:r>
    </w:p>
    <w:p w:rsidR="00471BAA" w:rsidRPr="002928F8" w:rsidRDefault="002928F8" w:rsidP="000F4F69">
      <w:pPr>
        <w:spacing w:after="80" w:line="360" w:lineRule="auto"/>
        <w:rPr>
          <w:sz w:val="22"/>
        </w:rPr>
      </w:pPr>
      <w:r w:rsidRPr="002928F8">
        <w:rPr>
          <w:sz w:val="22"/>
        </w:rPr>
        <w:t>Most Canadian commercial contracts are governed by provincial contract law, which in common-law provinces is broadly familiar to English-law readers, while Quebec uses civil law for private matters. Businesses commonly choose Canadian law or an agreed provincial law for Canadian operations, and disputes are often resolved by negotiation, mediation, arbitration, or the courts depending on the clause structure. Toronto, Vancouver, and Montreal are important commercial centres for dispute resolution and advisory services. [17][18]</w:t>
      </w:r>
    </w:p>
    <w:p w:rsidR="00471BAA" w:rsidRPr="002928F8" w:rsidRDefault="002928F8" w:rsidP="000F4F69">
      <w:pPr>
        <w:spacing w:after="80" w:line="360" w:lineRule="auto"/>
        <w:rPr>
          <w:sz w:val="22"/>
        </w:rPr>
      </w:pPr>
      <w:r w:rsidRPr="002928F8">
        <w:rPr>
          <w:sz w:val="22"/>
        </w:rPr>
        <w:t xml:space="preserve">Good local practice in Canada includes written contracts, clear scope and deliverables, properly drafted limitation-of-liability clauses, tax gross-up language where needed, privacy language for personal data, and </w:t>
      </w:r>
      <w:proofErr w:type="gramStart"/>
      <w:r w:rsidRPr="002928F8">
        <w:rPr>
          <w:sz w:val="22"/>
        </w:rPr>
        <w:t>a compliance</w:t>
      </w:r>
      <w:proofErr w:type="gramEnd"/>
      <w:r w:rsidRPr="002928F8">
        <w:rPr>
          <w:sz w:val="22"/>
        </w:rPr>
        <w:t xml:space="preserve"> review before signing cross-border service or IP agreements. [12][18]</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471BAA" w:rsidRPr="002928F8" w:rsidRDefault="002928F8" w:rsidP="000F4F69">
      <w:pPr>
        <w:pStyle w:val="Heading1"/>
        <w:spacing w:line="360" w:lineRule="auto"/>
      </w:pPr>
      <w:r w:rsidRPr="002928F8">
        <w:t>15. Operations, Location, and Economic Clusters</w:t>
      </w:r>
    </w:p>
    <w:p w:rsidR="00471BAA" w:rsidRPr="002928F8" w:rsidRDefault="002928F8" w:rsidP="000F4F69">
      <w:pPr>
        <w:pStyle w:val="Heading2"/>
        <w:spacing w:line="360" w:lineRule="auto"/>
        <w:rPr>
          <w:sz w:val="22"/>
          <w:szCs w:val="22"/>
        </w:rPr>
      </w:pPr>
      <w:r w:rsidRPr="002928F8">
        <w:rPr>
          <w:sz w:val="22"/>
          <w:szCs w:val="22"/>
        </w:rPr>
        <w:t>15.1 Key Business Locations</w:t>
      </w:r>
    </w:p>
    <w:p w:rsidR="00471BAA" w:rsidRPr="002928F8" w:rsidRDefault="002928F8" w:rsidP="000F4F69">
      <w:pPr>
        <w:spacing w:after="80" w:line="360" w:lineRule="auto"/>
        <w:rPr>
          <w:sz w:val="22"/>
        </w:rPr>
      </w:pPr>
      <w:r w:rsidRPr="002928F8">
        <w:rPr>
          <w:sz w:val="22"/>
        </w:rPr>
        <w:t>Toronto remains the leading business and financial centre, while Montreal, Vancouver, Calgary, Ottawa, Edmonton, and Waterloo are widely used for head offices, logistics, technology, advanced manufacturing, education, and research-led activity. Site selection should consider talent availability, local tax differences, transport links, provincial incentives, and client proximity rather than relying on a single national model. [1][15][16]</w:t>
      </w:r>
    </w:p>
    <w:p w:rsidR="00471BAA" w:rsidRPr="002928F8" w:rsidRDefault="002928F8" w:rsidP="000F4F69">
      <w:pPr>
        <w:pStyle w:val="Heading2"/>
        <w:spacing w:line="360" w:lineRule="auto"/>
        <w:rPr>
          <w:sz w:val="22"/>
          <w:szCs w:val="22"/>
        </w:rPr>
      </w:pPr>
      <w:r w:rsidRPr="002928F8">
        <w:rPr>
          <w:sz w:val="22"/>
          <w:szCs w:val="22"/>
        </w:rPr>
        <w:t>15.2 Incentive Landscapes</w:t>
      </w:r>
    </w:p>
    <w:p w:rsidR="00471BAA" w:rsidRPr="002928F8" w:rsidRDefault="002928F8" w:rsidP="000F4F69">
      <w:pPr>
        <w:spacing w:after="80" w:line="360" w:lineRule="auto"/>
        <w:rPr>
          <w:sz w:val="22"/>
        </w:rPr>
      </w:pPr>
      <w:r w:rsidRPr="002928F8">
        <w:rPr>
          <w:sz w:val="22"/>
        </w:rPr>
        <w:t xml:space="preserve">Canada’s incentive landscape is more provincial and sector-based than zone-based. Instead of a UK-style </w:t>
      </w:r>
      <w:proofErr w:type="gramStart"/>
      <w:r w:rsidRPr="002928F8">
        <w:rPr>
          <w:sz w:val="22"/>
        </w:rPr>
        <w:t>freeport</w:t>
      </w:r>
      <w:proofErr w:type="gramEnd"/>
      <w:r w:rsidRPr="002928F8">
        <w:rPr>
          <w:sz w:val="22"/>
        </w:rPr>
        <w:t xml:space="preserve"> system, Canadian businesses typically look to SR&amp;ED, clean technology credits, regional development programs, municipal grants, and provincial investment attraction agencies to reduce operating costs and support expansion. [13][14][15][16]</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471BAA" w:rsidRPr="002928F8" w:rsidRDefault="002928F8" w:rsidP="000F4F69">
      <w:pPr>
        <w:pStyle w:val="Heading1"/>
        <w:spacing w:line="360" w:lineRule="auto"/>
      </w:pPr>
      <w:r w:rsidRPr="002928F8">
        <w:t>16. Compliance Calendar and Ongoing Obligations</w:t>
      </w:r>
    </w:p>
    <w:p w:rsidR="00471BAA" w:rsidRPr="002928F8" w:rsidRDefault="002928F8" w:rsidP="000F4F69">
      <w:pPr>
        <w:spacing w:after="80" w:line="360" w:lineRule="auto"/>
        <w:rPr>
          <w:sz w:val="22"/>
        </w:rPr>
      </w:pPr>
      <w:r w:rsidRPr="002928F8">
        <w:rPr>
          <w:sz w:val="22"/>
        </w:rPr>
        <w:t>Canadian compliance obligations depend on the corporation’s incorporation date, tax year-end, province of operation, payroll frequency, and whether the business is federally or provincially incorporated. The table below provides a practical working calendar for the most common obligations. [4][5][11][17]</w:t>
      </w:r>
    </w:p>
    <w:tbl>
      <w:tblPr>
        <w:tblStyle w:val="TableGrid"/>
        <w:tblW w:w="0" w:type="auto"/>
        <w:jc w:val="center"/>
        <w:tblLook w:val="04A0" w:firstRow="1" w:lastRow="0" w:firstColumn="1" w:lastColumn="0" w:noHBand="0" w:noVBand="1"/>
      </w:tblPr>
      <w:tblGrid>
        <w:gridCol w:w="2556"/>
        <w:gridCol w:w="2556"/>
        <w:gridCol w:w="2556"/>
        <w:gridCol w:w="2556"/>
      </w:tblGrid>
      <w:tr w:rsidR="00471BAA" w:rsidRPr="002928F8">
        <w:trPr>
          <w:jc w:val="center"/>
        </w:trPr>
        <w:tc>
          <w:tcPr>
            <w:tcW w:w="2556" w:type="dxa"/>
            <w:shd w:val="clear" w:color="auto" w:fill="D9EAF7"/>
          </w:tcPr>
          <w:p w:rsidR="00471BAA" w:rsidRPr="002928F8" w:rsidRDefault="002928F8" w:rsidP="000F4F69">
            <w:pPr>
              <w:spacing w:line="360" w:lineRule="auto"/>
              <w:rPr>
                <w:sz w:val="22"/>
              </w:rPr>
            </w:pPr>
            <w:r w:rsidRPr="002928F8">
              <w:rPr>
                <w:b/>
                <w:sz w:val="22"/>
              </w:rPr>
              <w:t>Filing / Obligation</w:t>
            </w:r>
          </w:p>
        </w:tc>
        <w:tc>
          <w:tcPr>
            <w:tcW w:w="2556" w:type="dxa"/>
            <w:shd w:val="clear" w:color="auto" w:fill="D9EAF7"/>
          </w:tcPr>
          <w:p w:rsidR="00471BAA" w:rsidRPr="002928F8" w:rsidRDefault="002928F8" w:rsidP="000F4F69">
            <w:pPr>
              <w:spacing w:line="360" w:lineRule="auto"/>
              <w:rPr>
                <w:sz w:val="22"/>
              </w:rPr>
            </w:pPr>
            <w:r w:rsidRPr="002928F8">
              <w:rPr>
                <w:b/>
                <w:sz w:val="22"/>
              </w:rPr>
              <w:t>Frequency</w:t>
            </w:r>
          </w:p>
        </w:tc>
        <w:tc>
          <w:tcPr>
            <w:tcW w:w="2556" w:type="dxa"/>
            <w:shd w:val="clear" w:color="auto" w:fill="D9EAF7"/>
          </w:tcPr>
          <w:p w:rsidR="00471BAA" w:rsidRPr="002928F8" w:rsidRDefault="002928F8" w:rsidP="000F4F69">
            <w:pPr>
              <w:spacing w:line="360" w:lineRule="auto"/>
              <w:rPr>
                <w:sz w:val="22"/>
              </w:rPr>
            </w:pPr>
            <w:r w:rsidRPr="002928F8">
              <w:rPr>
                <w:b/>
                <w:sz w:val="22"/>
              </w:rPr>
              <w:t>Typical Due Date</w:t>
            </w:r>
          </w:p>
        </w:tc>
        <w:tc>
          <w:tcPr>
            <w:tcW w:w="2556" w:type="dxa"/>
            <w:shd w:val="clear" w:color="auto" w:fill="D9EAF7"/>
          </w:tcPr>
          <w:p w:rsidR="00471BAA" w:rsidRPr="002928F8" w:rsidRDefault="002928F8" w:rsidP="000F4F69">
            <w:pPr>
              <w:spacing w:line="360" w:lineRule="auto"/>
              <w:rPr>
                <w:sz w:val="22"/>
              </w:rPr>
            </w:pPr>
            <w:r w:rsidRPr="002928F8">
              <w:rPr>
                <w:b/>
                <w:sz w:val="22"/>
              </w:rPr>
              <w:t>Authority</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Federal annual return</w:t>
            </w:r>
          </w:p>
        </w:tc>
        <w:tc>
          <w:tcPr>
            <w:tcW w:w="2556" w:type="dxa"/>
          </w:tcPr>
          <w:p w:rsidR="00471BAA" w:rsidRPr="002928F8" w:rsidRDefault="002928F8" w:rsidP="000F4F69">
            <w:pPr>
              <w:spacing w:line="360" w:lineRule="auto"/>
              <w:rPr>
                <w:sz w:val="22"/>
              </w:rPr>
            </w:pPr>
            <w:r w:rsidRPr="002928F8">
              <w:rPr>
                <w:sz w:val="22"/>
              </w:rPr>
              <w:t>Annually</w:t>
            </w:r>
          </w:p>
        </w:tc>
        <w:tc>
          <w:tcPr>
            <w:tcW w:w="2556" w:type="dxa"/>
          </w:tcPr>
          <w:p w:rsidR="00471BAA" w:rsidRPr="002928F8" w:rsidRDefault="002928F8" w:rsidP="000F4F69">
            <w:pPr>
              <w:spacing w:line="360" w:lineRule="auto"/>
              <w:rPr>
                <w:sz w:val="22"/>
              </w:rPr>
            </w:pPr>
            <w:r w:rsidRPr="002928F8">
              <w:rPr>
                <w:sz w:val="22"/>
              </w:rPr>
              <w:t>Within 60 days of anniversary date</w:t>
            </w:r>
          </w:p>
        </w:tc>
        <w:tc>
          <w:tcPr>
            <w:tcW w:w="2556" w:type="dxa"/>
          </w:tcPr>
          <w:p w:rsidR="00471BAA" w:rsidRPr="002928F8" w:rsidRDefault="002928F8" w:rsidP="000F4F69">
            <w:pPr>
              <w:spacing w:line="360" w:lineRule="auto"/>
              <w:rPr>
                <w:sz w:val="22"/>
              </w:rPr>
            </w:pPr>
            <w:r w:rsidRPr="002928F8">
              <w:rPr>
                <w:sz w:val="22"/>
              </w:rPr>
              <w:t>Corporations Canada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ISC information</w:t>
            </w:r>
          </w:p>
        </w:tc>
        <w:tc>
          <w:tcPr>
            <w:tcW w:w="2556" w:type="dxa"/>
          </w:tcPr>
          <w:p w:rsidR="00471BAA" w:rsidRPr="002928F8" w:rsidRDefault="002928F8" w:rsidP="000F4F69">
            <w:pPr>
              <w:spacing w:line="360" w:lineRule="auto"/>
              <w:rPr>
                <w:sz w:val="22"/>
              </w:rPr>
            </w:pPr>
            <w:r w:rsidRPr="002928F8">
              <w:rPr>
                <w:sz w:val="22"/>
              </w:rPr>
              <w:t>Annually with annual return</w:t>
            </w:r>
          </w:p>
        </w:tc>
        <w:tc>
          <w:tcPr>
            <w:tcW w:w="2556" w:type="dxa"/>
          </w:tcPr>
          <w:p w:rsidR="00471BAA" w:rsidRPr="002928F8" w:rsidRDefault="002928F8" w:rsidP="000F4F69">
            <w:pPr>
              <w:spacing w:line="360" w:lineRule="auto"/>
              <w:rPr>
                <w:sz w:val="22"/>
              </w:rPr>
            </w:pPr>
            <w:r w:rsidRPr="002928F8">
              <w:rPr>
                <w:sz w:val="22"/>
              </w:rPr>
              <w:t>Within 60 days of anniversary date</w:t>
            </w:r>
          </w:p>
        </w:tc>
        <w:tc>
          <w:tcPr>
            <w:tcW w:w="2556" w:type="dxa"/>
          </w:tcPr>
          <w:p w:rsidR="00471BAA" w:rsidRPr="002928F8" w:rsidRDefault="002928F8" w:rsidP="000F4F69">
            <w:pPr>
              <w:spacing w:line="360" w:lineRule="auto"/>
              <w:rPr>
                <w:sz w:val="22"/>
              </w:rPr>
            </w:pPr>
            <w:r w:rsidRPr="002928F8">
              <w:rPr>
                <w:sz w:val="22"/>
              </w:rPr>
              <w:t>Corporations Canada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Corporate income tax return (T2)</w:t>
            </w:r>
          </w:p>
        </w:tc>
        <w:tc>
          <w:tcPr>
            <w:tcW w:w="2556" w:type="dxa"/>
          </w:tcPr>
          <w:p w:rsidR="00471BAA" w:rsidRPr="002928F8" w:rsidRDefault="002928F8" w:rsidP="000F4F69">
            <w:pPr>
              <w:spacing w:line="360" w:lineRule="auto"/>
              <w:rPr>
                <w:sz w:val="22"/>
              </w:rPr>
            </w:pPr>
            <w:r w:rsidRPr="002928F8">
              <w:rPr>
                <w:sz w:val="22"/>
              </w:rPr>
              <w:t>Annually</w:t>
            </w:r>
          </w:p>
        </w:tc>
        <w:tc>
          <w:tcPr>
            <w:tcW w:w="2556" w:type="dxa"/>
          </w:tcPr>
          <w:p w:rsidR="00471BAA" w:rsidRPr="002928F8" w:rsidRDefault="002928F8" w:rsidP="000F4F69">
            <w:pPr>
              <w:spacing w:line="360" w:lineRule="auto"/>
              <w:rPr>
                <w:sz w:val="22"/>
              </w:rPr>
            </w:pPr>
            <w:r w:rsidRPr="002928F8">
              <w:rPr>
                <w:sz w:val="22"/>
              </w:rPr>
              <w:t>6 months after tax year-end</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Corporate tax payment</w:t>
            </w:r>
          </w:p>
        </w:tc>
        <w:tc>
          <w:tcPr>
            <w:tcW w:w="2556" w:type="dxa"/>
          </w:tcPr>
          <w:p w:rsidR="00471BAA" w:rsidRPr="002928F8" w:rsidRDefault="002928F8" w:rsidP="000F4F69">
            <w:pPr>
              <w:spacing w:line="360" w:lineRule="auto"/>
              <w:rPr>
                <w:sz w:val="22"/>
              </w:rPr>
            </w:pPr>
            <w:r w:rsidRPr="002928F8">
              <w:rPr>
                <w:sz w:val="22"/>
              </w:rPr>
              <w:t>Annually / instalments</w:t>
            </w:r>
          </w:p>
        </w:tc>
        <w:tc>
          <w:tcPr>
            <w:tcW w:w="2556" w:type="dxa"/>
          </w:tcPr>
          <w:p w:rsidR="00471BAA" w:rsidRPr="002928F8" w:rsidRDefault="002928F8" w:rsidP="000F4F69">
            <w:pPr>
              <w:spacing w:line="360" w:lineRule="auto"/>
              <w:rPr>
                <w:sz w:val="22"/>
              </w:rPr>
            </w:pPr>
            <w:r w:rsidRPr="002928F8">
              <w:rPr>
                <w:sz w:val="22"/>
              </w:rPr>
              <w:t>Balance due generally 2 or 3 months after year-end; instalments may apply</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GST/HST return</w:t>
            </w:r>
          </w:p>
        </w:tc>
        <w:tc>
          <w:tcPr>
            <w:tcW w:w="2556" w:type="dxa"/>
          </w:tcPr>
          <w:p w:rsidR="00471BAA" w:rsidRPr="002928F8" w:rsidRDefault="002928F8" w:rsidP="000F4F69">
            <w:pPr>
              <w:spacing w:line="360" w:lineRule="auto"/>
              <w:rPr>
                <w:sz w:val="22"/>
              </w:rPr>
            </w:pPr>
            <w:r w:rsidRPr="002928F8">
              <w:rPr>
                <w:sz w:val="22"/>
              </w:rPr>
              <w:t xml:space="preserve">Monthly / quarterly / </w:t>
            </w:r>
            <w:r w:rsidRPr="002928F8">
              <w:rPr>
                <w:sz w:val="22"/>
              </w:rPr>
              <w:lastRenderedPageBreak/>
              <w:t>annual</w:t>
            </w:r>
          </w:p>
        </w:tc>
        <w:tc>
          <w:tcPr>
            <w:tcW w:w="2556" w:type="dxa"/>
          </w:tcPr>
          <w:p w:rsidR="00471BAA" w:rsidRPr="002928F8" w:rsidRDefault="002928F8" w:rsidP="000F4F69">
            <w:pPr>
              <w:spacing w:line="360" w:lineRule="auto"/>
              <w:rPr>
                <w:sz w:val="22"/>
              </w:rPr>
            </w:pPr>
            <w:r w:rsidRPr="002928F8">
              <w:rPr>
                <w:sz w:val="22"/>
              </w:rPr>
              <w:lastRenderedPageBreak/>
              <w:t xml:space="preserve">1 month after period-end </w:t>
            </w:r>
            <w:r w:rsidRPr="002928F8">
              <w:rPr>
                <w:sz w:val="22"/>
              </w:rPr>
              <w:lastRenderedPageBreak/>
              <w:t>for monthly/quarterly filers</w:t>
            </w:r>
          </w:p>
        </w:tc>
        <w:tc>
          <w:tcPr>
            <w:tcW w:w="2556" w:type="dxa"/>
          </w:tcPr>
          <w:p w:rsidR="00471BAA" w:rsidRPr="002928F8" w:rsidRDefault="002928F8" w:rsidP="000F4F69">
            <w:pPr>
              <w:spacing w:line="360" w:lineRule="auto"/>
              <w:rPr>
                <w:sz w:val="22"/>
              </w:rPr>
            </w:pPr>
            <w:r w:rsidRPr="002928F8">
              <w:rPr>
                <w:sz w:val="22"/>
              </w:rPr>
              <w:lastRenderedPageBreak/>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lastRenderedPageBreak/>
              <w:t>Payroll remittance</w:t>
            </w:r>
          </w:p>
        </w:tc>
        <w:tc>
          <w:tcPr>
            <w:tcW w:w="2556" w:type="dxa"/>
          </w:tcPr>
          <w:p w:rsidR="00471BAA" w:rsidRPr="002928F8" w:rsidRDefault="002928F8" w:rsidP="000F4F69">
            <w:pPr>
              <w:spacing w:line="360" w:lineRule="auto"/>
              <w:rPr>
                <w:sz w:val="22"/>
              </w:rPr>
            </w:pPr>
            <w:r w:rsidRPr="002928F8">
              <w:rPr>
                <w:sz w:val="22"/>
              </w:rPr>
              <w:t>Regular / quarterly / accelerated</w:t>
            </w:r>
          </w:p>
        </w:tc>
        <w:tc>
          <w:tcPr>
            <w:tcW w:w="2556" w:type="dxa"/>
          </w:tcPr>
          <w:p w:rsidR="00471BAA" w:rsidRPr="002928F8" w:rsidRDefault="002928F8" w:rsidP="000F4F69">
            <w:pPr>
              <w:spacing w:line="360" w:lineRule="auto"/>
              <w:rPr>
                <w:sz w:val="22"/>
              </w:rPr>
            </w:pPr>
            <w:r w:rsidRPr="002928F8">
              <w:rPr>
                <w:sz w:val="22"/>
              </w:rPr>
              <w:t>Based on remitter type</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T4 / T4 Summary</w:t>
            </w:r>
          </w:p>
        </w:tc>
        <w:tc>
          <w:tcPr>
            <w:tcW w:w="2556" w:type="dxa"/>
          </w:tcPr>
          <w:p w:rsidR="00471BAA" w:rsidRPr="002928F8" w:rsidRDefault="002928F8" w:rsidP="000F4F69">
            <w:pPr>
              <w:spacing w:line="360" w:lineRule="auto"/>
              <w:rPr>
                <w:sz w:val="22"/>
              </w:rPr>
            </w:pPr>
            <w:r w:rsidRPr="002928F8">
              <w:rPr>
                <w:sz w:val="22"/>
              </w:rPr>
              <w:t>Annually</w:t>
            </w:r>
          </w:p>
        </w:tc>
        <w:tc>
          <w:tcPr>
            <w:tcW w:w="2556" w:type="dxa"/>
          </w:tcPr>
          <w:p w:rsidR="00471BAA" w:rsidRPr="002928F8" w:rsidRDefault="002928F8" w:rsidP="000F4F69">
            <w:pPr>
              <w:spacing w:line="360" w:lineRule="auto"/>
              <w:rPr>
                <w:sz w:val="22"/>
              </w:rPr>
            </w:pPr>
            <w:r w:rsidRPr="002928F8">
              <w:rPr>
                <w:sz w:val="22"/>
              </w:rPr>
              <w:t>End of February following calendar year</w:t>
            </w:r>
          </w:p>
        </w:tc>
        <w:tc>
          <w:tcPr>
            <w:tcW w:w="2556" w:type="dxa"/>
          </w:tcPr>
          <w:p w:rsidR="00471BAA" w:rsidRPr="002928F8" w:rsidRDefault="002928F8" w:rsidP="000F4F69">
            <w:pPr>
              <w:spacing w:line="360" w:lineRule="auto"/>
              <w:rPr>
                <w:sz w:val="22"/>
              </w:rPr>
            </w:pPr>
            <w:r w:rsidRPr="002928F8">
              <w:rPr>
                <w:sz w:val="22"/>
              </w:rPr>
              <w:t>CRA</w:t>
            </w:r>
          </w:p>
        </w:tc>
      </w:tr>
    </w:tbl>
    <w:p w:rsidR="00471BAA" w:rsidRPr="002928F8" w:rsidRDefault="00471BAA"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471BAA" w:rsidRPr="002928F8" w:rsidRDefault="002928F8" w:rsidP="000F4F69">
      <w:pPr>
        <w:pStyle w:val="Heading1"/>
        <w:spacing w:line="360" w:lineRule="auto"/>
      </w:pPr>
      <w:r w:rsidRPr="002928F8">
        <w:lastRenderedPageBreak/>
        <w:t>17. Risk, Disputes, and Exit Options</w:t>
      </w:r>
    </w:p>
    <w:p w:rsidR="00471BAA" w:rsidRPr="002928F8" w:rsidRDefault="002928F8" w:rsidP="000F4F69">
      <w:pPr>
        <w:pStyle w:val="Heading2"/>
        <w:spacing w:line="360" w:lineRule="auto"/>
        <w:rPr>
          <w:sz w:val="22"/>
          <w:szCs w:val="22"/>
        </w:rPr>
      </w:pPr>
      <w:r w:rsidRPr="002928F8">
        <w:rPr>
          <w:sz w:val="22"/>
          <w:szCs w:val="22"/>
        </w:rPr>
        <w:t>17.1 Dispute Resolution</w:t>
      </w:r>
    </w:p>
    <w:p w:rsidR="00471BAA" w:rsidRPr="002928F8" w:rsidRDefault="002928F8" w:rsidP="000F4F69">
      <w:pPr>
        <w:spacing w:after="80" w:line="360" w:lineRule="auto"/>
        <w:rPr>
          <w:sz w:val="22"/>
        </w:rPr>
      </w:pPr>
      <w:r w:rsidRPr="002928F8">
        <w:rPr>
          <w:sz w:val="22"/>
        </w:rPr>
        <w:t>Canada has a mature court system and an active arbitration and mediation culture. Commercial agreements often include escalation, mediation, and arbitration clauses, and the New York Convention supports international arbitration enforcement. Choice of law and forum should be drafted carefully at the start of the transaction because they are expensive to fix later. [18]</w:t>
      </w:r>
    </w:p>
    <w:p w:rsidR="00471BAA" w:rsidRPr="002928F8" w:rsidRDefault="002928F8" w:rsidP="000F4F69">
      <w:pPr>
        <w:pStyle w:val="Heading2"/>
        <w:spacing w:line="360" w:lineRule="auto"/>
        <w:rPr>
          <w:sz w:val="22"/>
          <w:szCs w:val="22"/>
        </w:rPr>
      </w:pPr>
      <w:r w:rsidRPr="002928F8">
        <w:rPr>
          <w:sz w:val="22"/>
          <w:szCs w:val="22"/>
        </w:rPr>
        <w:t>17.2 Key Risk Areas</w:t>
      </w:r>
    </w:p>
    <w:p w:rsidR="00471BAA" w:rsidRPr="002928F8" w:rsidRDefault="002928F8" w:rsidP="000F4F69">
      <w:pPr>
        <w:spacing w:after="80" w:line="360" w:lineRule="auto"/>
        <w:rPr>
          <w:sz w:val="22"/>
        </w:rPr>
      </w:pPr>
      <w:r w:rsidRPr="002928F8">
        <w:rPr>
          <w:sz w:val="22"/>
        </w:rPr>
        <w:t>Typical risk areas include incorrect province selection, unregistered extra-provincial activity, GST/HST registration errors, payroll remittance mistakes, treaty misclaims, transfer-pricing weaknesses, immigration non-compliance, and privacy gaps. Foreign investors should also monitor Investment Canada Act issues and beneficial ownership filing obligations. [9][10][12][18]</w:t>
      </w:r>
    </w:p>
    <w:p w:rsidR="00471BAA" w:rsidRPr="002928F8" w:rsidRDefault="002928F8" w:rsidP="000F4F69">
      <w:pPr>
        <w:pStyle w:val="Heading2"/>
        <w:spacing w:line="360" w:lineRule="auto"/>
        <w:rPr>
          <w:sz w:val="22"/>
          <w:szCs w:val="22"/>
        </w:rPr>
      </w:pPr>
      <w:r w:rsidRPr="002928F8">
        <w:rPr>
          <w:sz w:val="22"/>
          <w:szCs w:val="22"/>
        </w:rPr>
        <w:t>17.3 Exit and Restructuring Options</w:t>
      </w:r>
    </w:p>
    <w:p w:rsidR="00471BAA" w:rsidRPr="002928F8" w:rsidRDefault="002928F8" w:rsidP="000F4F69">
      <w:pPr>
        <w:spacing w:after="80" w:line="360" w:lineRule="auto"/>
        <w:rPr>
          <w:sz w:val="22"/>
        </w:rPr>
      </w:pPr>
      <w:r w:rsidRPr="002928F8">
        <w:rPr>
          <w:sz w:val="22"/>
        </w:rPr>
        <w:t>Exit paths include share sale, asset sale, amalgamation, wind-up, dissolution, and cross-border restructuring. The most tax-efficient path depends on Canadian tax residence, asset mix, retained earnings, capital accounts, treaty position, and whether the exit is at the shareholder or company level. [7][18]</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Default="002928F8" w:rsidP="000F4F69">
      <w:pPr>
        <w:spacing w:after="80" w:line="360" w:lineRule="auto"/>
        <w:rPr>
          <w:sz w:val="22"/>
        </w:rPr>
      </w:pPr>
    </w:p>
    <w:p w:rsidR="000F4F69" w:rsidRPr="002928F8" w:rsidRDefault="000F4F69"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Default="002928F8" w:rsidP="000F4F69">
      <w:pPr>
        <w:pStyle w:val="Heading1"/>
        <w:spacing w:line="360" w:lineRule="auto"/>
        <w:rPr>
          <w:rFonts w:ascii="Calibri" w:eastAsiaTheme="minorEastAsia" w:hAnsi="Calibri" w:cstheme="minorBidi"/>
          <w:b w:val="0"/>
          <w:bCs w:val="0"/>
          <w:color w:val="auto"/>
          <w:sz w:val="22"/>
          <w:szCs w:val="22"/>
        </w:rPr>
      </w:pPr>
    </w:p>
    <w:p w:rsidR="000F4F69" w:rsidRPr="000F4F69" w:rsidRDefault="000F4F69" w:rsidP="000F4F69"/>
    <w:p w:rsidR="002928F8" w:rsidRPr="002928F8" w:rsidRDefault="002928F8" w:rsidP="000F4F69">
      <w:pPr>
        <w:pStyle w:val="Heading1"/>
        <w:spacing w:line="360" w:lineRule="auto"/>
      </w:pPr>
      <w:r w:rsidRPr="002928F8">
        <w:lastRenderedPageBreak/>
        <w:t>18. Practical Checklists and Tools</w:t>
      </w:r>
    </w:p>
    <w:p w:rsidR="00471BAA" w:rsidRPr="002928F8" w:rsidRDefault="002928F8" w:rsidP="000F4F69">
      <w:pPr>
        <w:spacing w:after="80" w:line="360" w:lineRule="auto"/>
        <w:rPr>
          <w:sz w:val="22"/>
        </w:rPr>
      </w:pPr>
      <w:r w:rsidRPr="002928F8">
        <w:rPr>
          <w:sz w:val="22"/>
        </w:rPr>
        <w:t>The following checklist is useful before launch.</w:t>
      </w:r>
    </w:p>
    <w:p w:rsidR="00471BAA" w:rsidRPr="002928F8" w:rsidRDefault="002928F8" w:rsidP="000F4F69">
      <w:pPr>
        <w:pStyle w:val="ListBullet"/>
        <w:spacing w:line="360" w:lineRule="auto"/>
        <w:ind w:left="567" w:hanging="283"/>
        <w:rPr>
          <w:sz w:val="22"/>
        </w:rPr>
      </w:pPr>
      <w:r w:rsidRPr="002928F8">
        <w:rPr>
          <w:sz w:val="22"/>
        </w:rPr>
        <w:t>Confirm federal vs provincial incorporation.</w:t>
      </w:r>
    </w:p>
    <w:p w:rsidR="00471BAA" w:rsidRPr="002928F8" w:rsidRDefault="002928F8" w:rsidP="000F4F69">
      <w:pPr>
        <w:pStyle w:val="ListBullet"/>
        <w:spacing w:line="360" w:lineRule="auto"/>
        <w:ind w:left="567" w:hanging="283"/>
        <w:rPr>
          <w:sz w:val="22"/>
        </w:rPr>
      </w:pPr>
      <w:r w:rsidRPr="002928F8">
        <w:rPr>
          <w:sz w:val="22"/>
        </w:rPr>
        <w:t>Check the name, trademark, and domain availability.</w:t>
      </w:r>
    </w:p>
    <w:p w:rsidR="00471BAA" w:rsidRPr="002928F8" w:rsidRDefault="002928F8" w:rsidP="000F4F69">
      <w:pPr>
        <w:pStyle w:val="ListBullet"/>
        <w:spacing w:line="360" w:lineRule="auto"/>
        <w:ind w:left="567" w:hanging="283"/>
        <w:rPr>
          <w:sz w:val="22"/>
        </w:rPr>
      </w:pPr>
      <w:r w:rsidRPr="002928F8">
        <w:rPr>
          <w:sz w:val="22"/>
        </w:rPr>
        <w:t>Map directors, shareholders, ISC, and address requirements.</w:t>
      </w:r>
    </w:p>
    <w:p w:rsidR="00471BAA" w:rsidRPr="002928F8" w:rsidRDefault="002928F8" w:rsidP="000F4F69">
      <w:pPr>
        <w:pStyle w:val="ListBullet"/>
        <w:spacing w:line="360" w:lineRule="auto"/>
        <w:ind w:left="567" w:hanging="283"/>
        <w:rPr>
          <w:sz w:val="22"/>
        </w:rPr>
      </w:pPr>
      <w:r w:rsidRPr="002928F8">
        <w:rPr>
          <w:sz w:val="22"/>
        </w:rPr>
        <w:t>Prepare the banking/KYC pack and source-of-funds documents.</w:t>
      </w:r>
    </w:p>
    <w:p w:rsidR="00471BAA" w:rsidRPr="002928F8" w:rsidRDefault="002928F8" w:rsidP="000F4F69">
      <w:pPr>
        <w:pStyle w:val="ListBullet"/>
        <w:spacing w:line="360" w:lineRule="auto"/>
        <w:ind w:left="567" w:hanging="283"/>
        <w:rPr>
          <w:sz w:val="22"/>
        </w:rPr>
      </w:pPr>
      <w:r w:rsidRPr="002928F8">
        <w:rPr>
          <w:sz w:val="22"/>
        </w:rPr>
        <w:t>Register for BN, GST/HST, payroll, and import/export where needed.</w:t>
      </w:r>
    </w:p>
    <w:p w:rsidR="00471BAA" w:rsidRPr="002928F8" w:rsidRDefault="002928F8" w:rsidP="000F4F69">
      <w:pPr>
        <w:pStyle w:val="ListBullet"/>
        <w:spacing w:line="360" w:lineRule="auto"/>
        <w:ind w:left="567" w:hanging="283"/>
        <w:rPr>
          <w:sz w:val="22"/>
        </w:rPr>
      </w:pPr>
      <w:r w:rsidRPr="002928F8">
        <w:rPr>
          <w:sz w:val="22"/>
        </w:rPr>
        <w:t>Confirm provincial extra-registration where the business will operate.</w:t>
      </w:r>
    </w:p>
    <w:p w:rsidR="00471BAA" w:rsidRPr="002928F8" w:rsidRDefault="002928F8" w:rsidP="000F4F69">
      <w:pPr>
        <w:pStyle w:val="ListBullet"/>
        <w:spacing w:line="360" w:lineRule="auto"/>
        <w:ind w:left="567" w:hanging="283"/>
        <w:rPr>
          <w:sz w:val="22"/>
        </w:rPr>
      </w:pPr>
      <w:r w:rsidRPr="002928F8">
        <w:rPr>
          <w:sz w:val="22"/>
        </w:rPr>
        <w:t>Review immigration needs for founders and expats.</w:t>
      </w:r>
    </w:p>
    <w:p w:rsidR="00471BAA" w:rsidRPr="002928F8" w:rsidRDefault="002928F8" w:rsidP="000F4F69">
      <w:pPr>
        <w:pStyle w:val="ListBullet"/>
        <w:spacing w:line="360" w:lineRule="auto"/>
        <w:ind w:left="567" w:hanging="283"/>
        <w:rPr>
          <w:sz w:val="22"/>
        </w:rPr>
      </w:pPr>
      <w:r w:rsidRPr="002928F8">
        <w:rPr>
          <w:sz w:val="22"/>
        </w:rPr>
        <w:t>Assess SR&amp;ED, clean-tech, and provincial incentives.</w:t>
      </w:r>
    </w:p>
    <w:p w:rsidR="00471BAA" w:rsidRPr="002928F8" w:rsidRDefault="002928F8" w:rsidP="000F4F69">
      <w:pPr>
        <w:pStyle w:val="ListBullet"/>
        <w:spacing w:line="360" w:lineRule="auto"/>
        <w:ind w:left="567" w:hanging="283"/>
        <w:rPr>
          <w:sz w:val="22"/>
        </w:rPr>
      </w:pPr>
      <w:r w:rsidRPr="002928F8">
        <w:rPr>
          <w:sz w:val="22"/>
        </w:rPr>
        <w:t>Set up bookkeeping, payroll, and monthly compliance routines.</w:t>
      </w:r>
    </w:p>
    <w:p w:rsidR="00471BAA" w:rsidRPr="002928F8" w:rsidRDefault="002928F8" w:rsidP="000F4F69">
      <w:pPr>
        <w:spacing w:after="80" w:line="360" w:lineRule="auto"/>
        <w:rPr>
          <w:sz w:val="22"/>
        </w:rPr>
      </w:pPr>
      <w:r w:rsidRPr="002928F8">
        <w:rPr>
          <w:sz w:val="22"/>
        </w:rPr>
        <w:t>For Indian groups, ODI/FEMA analysis, transfer pricing, and treaty planning should be completed before funds move or the Canadian entity signs its first intercompany agreement. [7][8][18]</w:t>
      </w: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Pr="002928F8" w:rsidRDefault="002928F8" w:rsidP="000F4F69">
      <w:pPr>
        <w:spacing w:after="80" w:line="360" w:lineRule="auto"/>
        <w:rPr>
          <w:sz w:val="22"/>
        </w:rPr>
      </w:pPr>
    </w:p>
    <w:p w:rsidR="002928F8" w:rsidRDefault="002928F8" w:rsidP="000F4F69">
      <w:pPr>
        <w:spacing w:after="80" w:line="360" w:lineRule="auto"/>
        <w:rPr>
          <w:sz w:val="22"/>
        </w:rPr>
      </w:pPr>
    </w:p>
    <w:p w:rsidR="000F4F69" w:rsidRPr="002928F8" w:rsidRDefault="000F4F69" w:rsidP="000F4F69">
      <w:pPr>
        <w:spacing w:after="80" w:line="360" w:lineRule="auto"/>
        <w:rPr>
          <w:sz w:val="22"/>
        </w:rPr>
      </w:pPr>
    </w:p>
    <w:p w:rsidR="002928F8" w:rsidRPr="002928F8" w:rsidRDefault="002928F8" w:rsidP="000F4F69">
      <w:pPr>
        <w:pStyle w:val="Heading1"/>
        <w:spacing w:line="360" w:lineRule="auto"/>
      </w:pPr>
      <w:r w:rsidRPr="002928F8">
        <w:lastRenderedPageBreak/>
        <w:t>19. Compliance Penalty Matrix</w:t>
      </w:r>
    </w:p>
    <w:p w:rsidR="00471BAA" w:rsidRPr="002928F8" w:rsidRDefault="002928F8" w:rsidP="000F4F69">
      <w:pPr>
        <w:spacing w:after="80" w:line="360" w:lineRule="auto"/>
        <w:rPr>
          <w:sz w:val="22"/>
        </w:rPr>
      </w:pPr>
      <w:r w:rsidRPr="002928F8">
        <w:rPr>
          <w:sz w:val="22"/>
        </w:rPr>
        <w:t>The matrix below gives a practical summary. Exact amounts and consequences vary by the type of filing, the size of the business, and whether the issue is repeated. Businesses should check the latest CRA or Corporations Canada guidance before relying on any penalty estimate. [4][5][6][35]</w:t>
      </w:r>
    </w:p>
    <w:tbl>
      <w:tblPr>
        <w:tblStyle w:val="TableGrid"/>
        <w:tblW w:w="0" w:type="auto"/>
        <w:jc w:val="center"/>
        <w:tblLook w:val="04A0" w:firstRow="1" w:lastRow="0" w:firstColumn="1" w:lastColumn="0" w:noHBand="0" w:noVBand="1"/>
      </w:tblPr>
      <w:tblGrid>
        <w:gridCol w:w="2556"/>
        <w:gridCol w:w="2556"/>
        <w:gridCol w:w="2556"/>
        <w:gridCol w:w="2556"/>
      </w:tblGrid>
      <w:tr w:rsidR="00471BAA" w:rsidRPr="002928F8">
        <w:trPr>
          <w:jc w:val="center"/>
        </w:trPr>
        <w:tc>
          <w:tcPr>
            <w:tcW w:w="2556" w:type="dxa"/>
            <w:shd w:val="clear" w:color="auto" w:fill="D9EAF7"/>
          </w:tcPr>
          <w:p w:rsidR="00471BAA" w:rsidRPr="002928F8" w:rsidRDefault="002928F8" w:rsidP="000F4F69">
            <w:pPr>
              <w:spacing w:line="360" w:lineRule="auto"/>
              <w:rPr>
                <w:sz w:val="22"/>
              </w:rPr>
            </w:pPr>
            <w:r w:rsidRPr="002928F8">
              <w:rPr>
                <w:b/>
                <w:sz w:val="22"/>
              </w:rPr>
              <w:t>Compliance Area</w:t>
            </w:r>
          </w:p>
        </w:tc>
        <w:tc>
          <w:tcPr>
            <w:tcW w:w="2556" w:type="dxa"/>
            <w:shd w:val="clear" w:color="auto" w:fill="D9EAF7"/>
          </w:tcPr>
          <w:p w:rsidR="00471BAA" w:rsidRPr="002928F8" w:rsidRDefault="002928F8" w:rsidP="000F4F69">
            <w:pPr>
              <w:spacing w:line="360" w:lineRule="auto"/>
              <w:rPr>
                <w:sz w:val="22"/>
              </w:rPr>
            </w:pPr>
            <w:r w:rsidRPr="002928F8">
              <w:rPr>
                <w:b/>
                <w:sz w:val="22"/>
              </w:rPr>
              <w:t>Common Breach</w:t>
            </w:r>
          </w:p>
        </w:tc>
        <w:tc>
          <w:tcPr>
            <w:tcW w:w="2556" w:type="dxa"/>
            <w:shd w:val="clear" w:color="auto" w:fill="D9EAF7"/>
          </w:tcPr>
          <w:p w:rsidR="00471BAA" w:rsidRPr="002928F8" w:rsidRDefault="002928F8" w:rsidP="000F4F69">
            <w:pPr>
              <w:spacing w:line="360" w:lineRule="auto"/>
              <w:rPr>
                <w:sz w:val="22"/>
              </w:rPr>
            </w:pPr>
            <w:r w:rsidRPr="002928F8">
              <w:rPr>
                <w:b/>
                <w:sz w:val="22"/>
              </w:rPr>
              <w:t>Typical Consequence</w:t>
            </w:r>
          </w:p>
        </w:tc>
        <w:tc>
          <w:tcPr>
            <w:tcW w:w="2556" w:type="dxa"/>
            <w:shd w:val="clear" w:color="auto" w:fill="D9EAF7"/>
          </w:tcPr>
          <w:p w:rsidR="00471BAA" w:rsidRPr="002928F8" w:rsidRDefault="002928F8" w:rsidP="000F4F69">
            <w:pPr>
              <w:spacing w:line="360" w:lineRule="auto"/>
              <w:rPr>
                <w:sz w:val="22"/>
              </w:rPr>
            </w:pPr>
            <w:r w:rsidRPr="002928F8">
              <w:rPr>
                <w:b/>
                <w:sz w:val="22"/>
              </w:rPr>
              <w:t>Authority</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Annual return / ISC</w:t>
            </w:r>
          </w:p>
        </w:tc>
        <w:tc>
          <w:tcPr>
            <w:tcW w:w="2556" w:type="dxa"/>
          </w:tcPr>
          <w:p w:rsidR="00471BAA" w:rsidRPr="002928F8" w:rsidRDefault="002928F8" w:rsidP="000F4F69">
            <w:pPr>
              <w:spacing w:line="360" w:lineRule="auto"/>
              <w:rPr>
                <w:sz w:val="22"/>
              </w:rPr>
            </w:pPr>
            <w:r w:rsidRPr="002928F8">
              <w:rPr>
                <w:sz w:val="22"/>
              </w:rPr>
              <w:t>Late or missed filing</w:t>
            </w:r>
          </w:p>
        </w:tc>
        <w:tc>
          <w:tcPr>
            <w:tcW w:w="2556" w:type="dxa"/>
          </w:tcPr>
          <w:p w:rsidR="00471BAA" w:rsidRPr="002928F8" w:rsidRDefault="002928F8" w:rsidP="000F4F69">
            <w:pPr>
              <w:spacing w:line="360" w:lineRule="auto"/>
              <w:rPr>
                <w:sz w:val="22"/>
              </w:rPr>
            </w:pPr>
            <w:r w:rsidRPr="002928F8">
              <w:rPr>
                <w:sz w:val="22"/>
              </w:rPr>
              <w:t>Corporation may lose good standing and face administrative consequences</w:t>
            </w:r>
          </w:p>
        </w:tc>
        <w:tc>
          <w:tcPr>
            <w:tcW w:w="2556" w:type="dxa"/>
          </w:tcPr>
          <w:p w:rsidR="00471BAA" w:rsidRPr="002928F8" w:rsidRDefault="002928F8" w:rsidP="000F4F69">
            <w:pPr>
              <w:spacing w:line="360" w:lineRule="auto"/>
              <w:rPr>
                <w:sz w:val="22"/>
              </w:rPr>
            </w:pPr>
            <w:r w:rsidRPr="002928F8">
              <w:rPr>
                <w:sz w:val="22"/>
              </w:rPr>
              <w:t>Corporations Canada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T2 corporate tax return</w:t>
            </w:r>
          </w:p>
        </w:tc>
        <w:tc>
          <w:tcPr>
            <w:tcW w:w="2556" w:type="dxa"/>
          </w:tcPr>
          <w:p w:rsidR="00471BAA" w:rsidRPr="002928F8" w:rsidRDefault="002928F8" w:rsidP="000F4F69">
            <w:pPr>
              <w:spacing w:line="360" w:lineRule="auto"/>
              <w:rPr>
                <w:sz w:val="22"/>
              </w:rPr>
            </w:pPr>
            <w:r w:rsidRPr="002928F8">
              <w:rPr>
                <w:sz w:val="22"/>
              </w:rPr>
              <w:t>Late filing</w:t>
            </w:r>
          </w:p>
        </w:tc>
        <w:tc>
          <w:tcPr>
            <w:tcW w:w="2556" w:type="dxa"/>
          </w:tcPr>
          <w:p w:rsidR="00471BAA" w:rsidRPr="002928F8" w:rsidRDefault="002928F8" w:rsidP="000F4F69">
            <w:pPr>
              <w:spacing w:line="360" w:lineRule="auto"/>
              <w:rPr>
                <w:sz w:val="22"/>
              </w:rPr>
            </w:pPr>
            <w:r w:rsidRPr="002928F8">
              <w:rPr>
                <w:sz w:val="22"/>
              </w:rPr>
              <w:t>Late-filing penalties and interest may apply</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GST/HST return</w:t>
            </w:r>
          </w:p>
        </w:tc>
        <w:tc>
          <w:tcPr>
            <w:tcW w:w="2556" w:type="dxa"/>
          </w:tcPr>
          <w:p w:rsidR="00471BAA" w:rsidRPr="002928F8" w:rsidRDefault="002928F8" w:rsidP="000F4F69">
            <w:pPr>
              <w:spacing w:line="360" w:lineRule="auto"/>
              <w:rPr>
                <w:sz w:val="22"/>
              </w:rPr>
            </w:pPr>
            <w:r w:rsidRPr="002928F8">
              <w:rPr>
                <w:sz w:val="22"/>
              </w:rPr>
              <w:t>Late filing or payment</w:t>
            </w:r>
          </w:p>
        </w:tc>
        <w:tc>
          <w:tcPr>
            <w:tcW w:w="2556" w:type="dxa"/>
          </w:tcPr>
          <w:p w:rsidR="00471BAA" w:rsidRPr="002928F8" w:rsidRDefault="002928F8" w:rsidP="000F4F69">
            <w:pPr>
              <w:spacing w:line="360" w:lineRule="auto"/>
              <w:rPr>
                <w:sz w:val="22"/>
              </w:rPr>
            </w:pPr>
            <w:r w:rsidRPr="002928F8">
              <w:rPr>
                <w:sz w:val="22"/>
              </w:rPr>
              <w:t>Late-filing penalties and interest may apply</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Payroll remittances</w:t>
            </w:r>
          </w:p>
        </w:tc>
        <w:tc>
          <w:tcPr>
            <w:tcW w:w="2556" w:type="dxa"/>
          </w:tcPr>
          <w:p w:rsidR="00471BAA" w:rsidRPr="002928F8" w:rsidRDefault="002928F8" w:rsidP="000F4F69">
            <w:pPr>
              <w:spacing w:line="360" w:lineRule="auto"/>
              <w:rPr>
                <w:sz w:val="22"/>
              </w:rPr>
            </w:pPr>
            <w:r w:rsidRPr="002928F8">
              <w:rPr>
                <w:sz w:val="22"/>
              </w:rPr>
              <w:t>Late or incorrect remittance</w:t>
            </w:r>
          </w:p>
        </w:tc>
        <w:tc>
          <w:tcPr>
            <w:tcW w:w="2556" w:type="dxa"/>
          </w:tcPr>
          <w:p w:rsidR="00471BAA" w:rsidRPr="002928F8" w:rsidRDefault="002928F8" w:rsidP="000F4F69">
            <w:pPr>
              <w:spacing w:line="360" w:lineRule="auto"/>
              <w:rPr>
                <w:sz w:val="22"/>
              </w:rPr>
            </w:pPr>
            <w:r w:rsidRPr="002928F8">
              <w:rPr>
                <w:sz w:val="22"/>
              </w:rPr>
              <w:t>Late-remitting penalties and interest may apply</w:t>
            </w:r>
          </w:p>
        </w:tc>
        <w:tc>
          <w:tcPr>
            <w:tcW w:w="2556" w:type="dxa"/>
          </w:tcPr>
          <w:p w:rsidR="00471BAA" w:rsidRPr="002928F8" w:rsidRDefault="002928F8" w:rsidP="000F4F69">
            <w:pPr>
              <w:spacing w:line="360" w:lineRule="auto"/>
              <w:rPr>
                <w:sz w:val="22"/>
              </w:rPr>
            </w:pPr>
            <w:r w:rsidRPr="002928F8">
              <w:rPr>
                <w:sz w:val="22"/>
              </w:rPr>
              <w:t>CRA</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Privacy</w:t>
            </w:r>
          </w:p>
        </w:tc>
        <w:tc>
          <w:tcPr>
            <w:tcW w:w="2556" w:type="dxa"/>
          </w:tcPr>
          <w:p w:rsidR="00471BAA" w:rsidRPr="002928F8" w:rsidRDefault="002928F8" w:rsidP="000F4F69">
            <w:pPr>
              <w:spacing w:line="360" w:lineRule="auto"/>
              <w:rPr>
                <w:sz w:val="22"/>
              </w:rPr>
            </w:pPr>
            <w:r w:rsidRPr="002928F8">
              <w:rPr>
                <w:sz w:val="22"/>
              </w:rPr>
              <w:t>Significant breach or poor controls</w:t>
            </w:r>
          </w:p>
        </w:tc>
        <w:tc>
          <w:tcPr>
            <w:tcW w:w="2556" w:type="dxa"/>
          </w:tcPr>
          <w:p w:rsidR="00471BAA" w:rsidRPr="002928F8" w:rsidRDefault="002928F8" w:rsidP="000F4F69">
            <w:pPr>
              <w:spacing w:line="360" w:lineRule="auto"/>
              <w:rPr>
                <w:sz w:val="22"/>
              </w:rPr>
            </w:pPr>
            <w:r w:rsidRPr="002928F8">
              <w:rPr>
                <w:sz w:val="22"/>
              </w:rPr>
              <w:t>Statutory reporting, investigation, and remediation obligations may arise</w:t>
            </w:r>
          </w:p>
        </w:tc>
        <w:tc>
          <w:tcPr>
            <w:tcW w:w="2556" w:type="dxa"/>
          </w:tcPr>
          <w:p w:rsidR="00471BAA" w:rsidRPr="002928F8" w:rsidRDefault="002928F8" w:rsidP="000F4F69">
            <w:pPr>
              <w:spacing w:line="360" w:lineRule="auto"/>
              <w:rPr>
                <w:sz w:val="22"/>
              </w:rPr>
            </w:pPr>
            <w:r w:rsidRPr="002928F8">
              <w:rPr>
                <w:sz w:val="22"/>
              </w:rPr>
              <w:t>OPC / provincial authorities</w:t>
            </w:r>
          </w:p>
        </w:tc>
      </w:tr>
      <w:tr w:rsidR="00471BAA" w:rsidRPr="002928F8">
        <w:trPr>
          <w:jc w:val="center"/>
        </w:trPr>
        <w:tc>
          <w:tcPr>
            <w:tcW w:w="2556" w:type="dxa"/>
          </w:tcPr>
          <w:p w:rsidR="00471BAA" w:rsidRPr="002928F8" w:rsidRDefault="002928F8" w:rsidP="000F4F69">
            <w:pPr>
              <w:spacing w:line="360" w:lineRule="auto"/>
              <w:rPr>
                <w:sz w:val="22"/>
              </w:rPr>
            </w:pPr>
            <w:r w:rsidRPr="002928F8">
              <w:rPr>
                <w:sz w:val="22"/>
              </w:rPr>
              <w:t>Investment Canada Act</w:t>
            </w:r>
          </w:p>
        </w:tc>
        <w:tc>
          <w:tcPr>
            <w:tcW w:w="2556" w:type="dxa"/>
          </w:tcPr>
          <w:p w:rsidR="00471BAA" w:rsidRPr="002928F8" w:rsidRDefault="002928F8" w:rsidP="000F4F69">
            <w:pPr>
              <w:spacing w:line="360" w:lineRule="auto"/>
              <w:rPr>
                <w:sz w:val="22"/>
              </w:rPr>
            </w:pPr>
            <w:r w:rsidRPr="002928F8">
              <w:rPr>
                <w:sz w:val="22"/>
              </w:rPr>
              <w:t>Non-compliance with review requirements</w:t>
            </w:r>
          </w:p>
        </w:tc>
        <w:tc>
          <w:tcPr>
            <w:tcW w:w="2556" w:type="dxa"/>
          </w:tcPr>
          <w:p w:rsidR="00471BAA" w:rsidRPr="002928F8" w:rsidRDefault="002928F8" w:rsidP="000F4F69">
            <w:pPr>
              <w:spacing w:line="360" w:lineRule="auto"/>
              <w:rPr>
                <w:sz w:val="22"/>
              </w:rPr>
            </w:pPr>
            <w:r w:rsidRPr="002928F8">
              <w:rPr>
                <w:sz w:val="22"/>
              </w:rPr>
              <w:t>Order, penalties, or unwinding risk depending on facts</w:t>
            </w:r>
          </w:p>
        </w:tc>
        <w:tc>
          <w:tcPr>
            <w:tcW w:w="2556" w:type="dxa"/>
          </w:tcPr>
          <w:p w:rsidR="00471BAA" w:rsidRPr="002928F8" w:rsidRDefault="002928F8" w:rsidP="000F4F69">
            <w:pPr>
              <w:spacing w:line="360" w:lineRule="auto"/>
              <w:rPr>
                <w:sz w:val="22"/>
              </w:rPr>
            </w:pPr>
            <w:r w:rsidRPr="002928F8">
              <w:rPr>
                <w:sz w:val="22"/>
              </w:rPr>
              <w:t>Government of Canada</w:t>
            </w:r>
          </w:p>
        </w:tc>
      </w:tr>
    </w:tbl>
    <w:p w:rsidR="00471BAA" w:rsidRPr="002928F8" w:rsidRDefault="00471BAA"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2928F8" w:rsidRPr="002928F8" w:rsidRDefault="002928F8" w:rsidP="000F4F69">
      <w:pPr>
        <w:spacing w:line="360" w:lineRule="auto"/>
        <w:rPr>
          <w:sz w:val="22"/>
        </w:rPr>
      </w:pPr>
    </w:p>
    <w:p w:rsidR="00471BAA" w:rsidRPr="002928F8" w:rsidRDefault="002928F8" w:rsidP="000F4F69">
      <w:pPr>
        <w:pStyle w:val="Heading1"/>
        <w:spacing w:line="360" w:lineRule="auto"/>
      </w:pPr>
      <w:r w:rsidRPr="002928F8">
        <w:lastRenderedPageBreak/>
        <w:t>20. How Comply Globally Supports Entry Canada</w:t>
      </w:r>
    </w:p>
    <w:p w:rsidR="00471BAA" w:rsidRPr="002928F8" w:rsidRDefault="002928F8" w:rsidP="000F4F69">
      <w:pPr>
        <w:spacing w:after="80" w:line="360" w:lineRule="auto"/>
        <w:rPr>
          <w:sz w:val="22"/>
        </w:rPr>
      </w:pPr>
      <w:r w:rsidRPr="002928F8">
        <w:rPr>
          <w:sz w:val="22"/>
        </w:rPr>
        <w:t xml:space="preserve">Comply </w:t>
      </w:r>
      <w:proofErr w:type="gramStart"/>
      <w:r w:rsidRPr="002928F8">
        <w:rPr>
          <w:sz w:val="22"/>
        </w:rPr>
        <w:t>Globally</w:t>
      </w:r>
      <w:proofErr w:type="gramEnd"/>
      <w:r w:rsidRPr="002928F8">
        <w:rPr>
          <w:sz w:val="22"/>
        </w:rPr>
        <w:t xml:space="preserve">, a Connect Ventures Initiative, supports Indian businesses entering Canada with entry strategy, incorporation, tax registrations, payroll setup, privacy and compliance advice, banking support, and ongoing corporate administration. Our integrated model helps align Indian outbound requirements with Canadian inbound compliance so that the Canadian entity is set up correctly from day one. </w:t>
      </w:r>
    </w:p>
    <w:p w:rsidR="00471BAA" w:rsidRPr="002928F8" w:rsidRDefault="002928F8" w:rsidP="000F4F69">
      <w:pPr>
        <w:pStyle w:val="Heading2"/>
        <w:spacing w:line="360" w:lineRule="auto"/>
        <w:rPr>
          <w:sz w:val="22"/>
          <w:szCs w:val="22"/>
        </w:rPr>
      </w:pPr>
      <w:r w:rsidRPr="002928F8">
        <w:rPr>
          <w:sz w:val="22"/>
          <w:szCs w:val="22"/>
        </w:rPr>
        <w:t>20.1 Our Services</w:t>
      </w:r>
    </w:p>
    <w:p w:rsidR="00471BAA" w:rsidRPr="002928F8" w:rsidRDefault="002928F8" w:rsidP="000F4F69">
      <w:pPr>
        <w:pStyle w:val="ListBullet"/>
        <w:spacing w:line="360" w:lineRule="auto"/>
        <w:ind w:left="1134" w:hanging="425"/>
        <w:rPr>
          <w:sz w:val="22"/>
        </w:rPr>
      </w:pPr>
      <w:r w:rsidRPr="002928F8">
        <w:rPr>
          <w:sz w:val="22"/>
        </w:rPr>
        <w:t>Pre-entry advisory and entity-structure planning.</w:t>
      </w:r>
    </w:p>
    <w:p w:rsidR="00471BAA" w:rsidRPr="002928F8" w:rsidRDefault="002928F8" w:rsidP="000F4F69">
      <w:pPr>
        <w:pStyle w:val="ListBullet"/>
        <w:spacing w:line="360" w:lineRule="auto"/>
        <w:ind w:left="1134" w:hanging="425"/>
        <w:rPr>
          <w:sz w:val="22"/>
        </w:rPr>
      </w:pPr>
      <w:r w:rsidRPr="002928F8">
        <w:rPr>
          <w:sz w:val="22"/>
        </w:rPr>
        <w:t>Canadian incorporation and extra-provincial registration support.</w:t>
      </w:r>
    </w:p>
    <w:p w:rsidR="00471BAA" w:rsidRPr="002928F8" w:rsidRDefault="002928F8" w:rsidP="000F4F69">
      <w:pPr>
        <w:pStyle w:val="ListBullet"/>
        <w:spacing w:line="360" w:lineRule="auto"/>
        <w:ind w:left="1134" w:hanging="425"/>
        <w:rPr>
          <w:sz w:val="22"/>
        </w:rPr>
      </w:pPr>
      <w:r w:rsidRPr="002928F8">
        <w:rPr>
          <w:sz w:val="22"/>
        </w:rPr>
        <w:t>BN, GST/HST, payroll, and corporate-tax account setup.</w:t>
      </w:r>
    </w:p>
    <w:p w:rsidR="00471BAA" w:rsidRPr="002928F8" w:rsidRDefault="002928F8" w:rsidP="000F4F69">
      <w:pPr>
        <w:pStyle w:val="ListBullet"/>
        <w:spacing w:line="360" w:lineRule="auto"/>
        <w:ind w:left="1134" w:hanging="425"/>
        <w:rPr>
          <w:sz w:val="22"/>
        </w:rPr>
      </w:pPr>
      <w:r w:rsidRPr="002928F8">
        <w:rPr>
          <w:sz w:val="22"/>
        </w:rPr>
        <w:t>Banking and KYC support.</w:t>
      </w:r>
    </w:p>
    <w:p w:rsidR="00471BAA" w:rsidRPr="002928F8" w:rsidRDefault="002928F8" w:rsidP="000F4F69">
      <w:pPr>
        <w:pStyle w:val="ListBullet"/>
        <w:spacing w:line="360" w:lineRule="auto"/>
        <w:ind w:left="1134" w:hanging="425"/>
        <w:rPr>
          <w:sz w:val="22"/>
        </w:rPr>
      </w:pPr>
      <w:r w:rsidRPr="002928F8">
        <w:rPr>
          <w:sz w:val="22"/>
        </w:rPr>
        <w:t>Immigration and work-authorization coordination.</w:t>
      </w:r>
    </w:p>
    <w:p w:rsidR="00471BAA" w:rsidRPr="002928F8" w:rsidRDefault="002928F8" w:rsidP="000F4F69">
      <w:pPr>
        <w:pStyle w:val="ListBullet"/>
        <w:spacing w:line="360" w:lineRule="auto"/>
        <w:ind w:left="1134" w:hanging="425"/>
        <w:rPr>
          <w:sz w:val="22"/>
        </w:rPr>
      </w:pPr>
      <w:r w:rsidRPr="002928F8">
        <w:rPr>
          <w:sz w:val="22"/>
        </w:rPr>
        <w:t>Ongoing compliance calendars, annual filings, and governance support.</w:t>
      </w:r>
    </w:p>
    <w:p w:rsidR="00471BAA" w:rsidRPr="002928F8" w:rsidRDefault="002928F8" w:rsidP="000F4F69">
      <w:pPr>
        <w:pStyle w:val="Heading2"/>
        <w:spacing w:line="360" w:lineRule="auto"/>
        <w:rPr>
          <w:sz w:val="22"/>
          <w:szCs w:val="22"/>
        </w:rPr>
      </w:pPr>
      <w:r w:rsidRPr="002928F8">
        <w:rPr>
          <w:sz w:val="22"/>
          <w:szCs w:val="22"/>
        </w:rPr>
        <w:t>20.2 Engagement Models</w:t>
      </w:r>
    </w:p>
    <w:p w:rsidR="00471BAA" w:rsidRPr="002928F8" w:rsidRDefault="002928F8" w:rsidP="000F4F69">
      <w:pPr>
        <w:spacing w:after="80" w:line="360" w:lineRule="auto"/>
        <w:rPr>
          <w:sz w:val="22"/>
        </w:rPr>
      </w:pPr>
      <w:r w:rsidRPr="002928F8">
        <w:rPr>
          <w:sz w:val="22"/>
        </w:rPr>
        <w:t>Flexible engagement options can include fixed-fee incorporation packages, monthly retainers, project-based support for transactions or restructuring, and full entry packages covering incorporation, banking, tax registration, and ongoing corporate compliance.</w:t>
      </w:r>
    </w:p>
    <w:p w:rsidR="00471BAA" w:rsidRPr="002928F8" w:rsidRDefault="002928F8" w:rsidP="000F4F69">
      <w:pPr>
        <w:pStyle w:val="Heading2"/>
        <w:spacing w:line="360" w:lineRule="auto"/>
        <w:rPr>
          <w:sz w:val="22"/>
          <w:szCs w:val="22"/>
        </w:rPr>
      </w:pPr>
      <w:r w:rsidRPr="002928F8">
        <w:rPr>
          <w:sz w:val="22"/>
          <w:szCs w:val="22"/>
        </w:rPr>
        <w:t>20.3 Contact Us</w:t>
      </w:r>
    </w:p>
    <w:p w:rsidR="00471BAA" w:rsidRDefault="002928F8" w:rsidP="000F4F69">
      <w:pPr>
        <w:spacing w:after="80" w:line="360" w:lineRule="auto"/>
        <w:rPr>
          <w:sz w:val="22"/>
        </w:rPr>
      </w:pPr>
      <w:r w:rsidRPr="002928F8">
        <w:rPr>
          <w:sz w:val="22"/>
        </w:rPr>
        <w:t>Comply Globally - A Connect Ventures Initiative</w:t>
      </w:r>
      <w:r w:rsidRPr="002928F8">
        <w:rPr>
          <w:sz w:val="22"/>
        </w:rPr>
        <w:br/>
        <w:t xml:space="preserve">Email: </w:t>
      </w:r>
      <w:hyperlink r:id="rId9" w:history="1">
        <w:r w:rsidR="000F4F69" w:rsidRPr="00847525">
          <w:rPr>
            <w:rStyle w:val="Hyperlink"/>
            <w:sz w:val="22"/>
          </w:rPr>
          <w:t>anil.gupta@TheConnectVentures.com</w:t>
        </w:r>
      </w:hyperlink>
      <w:r w:rsidR="000F4F69">
        <w:rPr>
          <w:sz w:val="22"/>
        </w:rPr>
        <w:t xml:space="preserve"> </w:t>
      </w:r>
      <w:r w:rsidRPr="002928F8">
        <w:rPr>
          <w:sz w:val="22"/>
        </w:rPr>
        <w:br/>
        <w:t>Phone: +91 99999 81613 | +1 302 214 1717</w:t>
      </w:r>
    </w:p>
    <w:p w:rsidR="000F4F69" w:rsidRPr="002928F8" w:rsidRDefault="000F4F69" w:rsidP="000F4F69">
      <w:pPr>
        <w:spacing w:after="80" w:line="360" w:lineRule="auto"/>
        <w:rPr>
          <w:sz w:val="22"/>
        </w:rPr>
      </w:pPr>
      <w:r>
        <w:rPr>
          <w:sz w:val="22"/>
        </w:rPr>
        <w:t>Website: www.complyglobally.com</w:t>
      </w:r>
      <w:bookmarkStart w:id="0" w:name="_GoBack"/>
      <w:bookmarkEnd w:id="0"/>
    </w:p>
    <w:p w:rsidR="00471BAA" w:rsidRPr="002928F8" w:rsidRDefault="002928F8" w:rsidP="000F4F69">
      <w:pPr>
        <w:spacing w:after="80" w:line="360" w:lineRule="auto"/>
        <w:rPr>
          <w:sz w:val="22"/>
        </w:rPr>
      </w:pPr>
      <w:r w:rsidRPr="002928F8">
        <w:rPr>
          <w:sz w:val="22"/>
        </w:rPr>
        <w:t>We look forward to supporting your successful entry into the Canada market.</w:t>
      </w:r>
      <w:r w:rsidRPr="002928F8">
        <w:rPr>
          <w:sz w:val="22"/>
        </w:rPr>
        <w:br w:type="page"/>
      </w:r>
    </w:p>
    <w:p w:rsidR="00471BAA" w:rsidRPr="002928F8" w:rsidRDefault="002928F8" w:rsidP="002928F8">
      <w:pPr>
        <w:pStyle w:val="Heading1"/>
      </w:pPr>
      <w:r w:rsidRPr="002928F8">
        <w:lastRenderedPageBreak/>
        <w:t>REFERENCES</w:t>
      </w:r>
    </w:p>
    <w:p w:rsidR="002928F8" w:rsidRPr="002928F8" w:rsidRDefault="002928F8" w:rsidP="002928F8">
      <w:pPr>
        <w:numPr>
          <w:ilvl w:val="0"/>
          <w:numId w:val="10"/>
        </w:numPr>
        <w:spacing w:line="240" w:lineRule="auto"/>
        <w:rPr>
          <w:sz w:val="22"/>
          <w:lang w:val="en-IN"/>
        </w:rPr>
      </w:pPr>
      <w:hyperlink r:id="rId10" w:tgtFrame="_new" w:history="1">
        <w:r w:rsidRPr="002928F8">
          <w:rPr>
            <w:rStyle w:val="Hyperlink"/>
            <w:sz w:val="22"/>
            <w:lang w:val="en-IN"/>
          </w:rPr>
          <w:t>https://www.canada.ca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1" w:tgtFrame="_new" w:history="1">
        <w:r w:rsidRPr="002928F8">
          <w:rPr>
            <w:rStyle w:val="Hyperlink"/>
            <w:sz w:val="22"/>
            <w:lang w:val="en-IN"/>
          </w:rPr>
          <w:t>https://ised-isde.canada.ca/site/corporations-canada/en</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2" w:tgtFrame="_new" w:history="1">
        <w:r w:rsidRPr="002928F8">
          <w:rPr>
            <w:rStyle w:val="Hyperlink"/>
            <w:sz w:val="22"/>
            <w:lang w:val="en-IN"/>
          </w:rPr>
          <w:t>https://www.canada.ca/en/revenue-agency.html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3" w:tgtFrame="_new" w:history="1">
        <w:r w:rsidRPr="002928F8">
          <w:rPr>
            <w:rStyle w:val="Hyperlink"/>
            <w:sz w:val="22"/>
            <w:lang w:val="en-IN"/>
          </w:rPr>
          <w:t>https://www.canada.ca/en/immigration-refugees-citizenship.html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4" w:tgtFrame="_new" w:history="1">
        <w:r w:rsidRPr="002928F8">
          <w:rPr>
            <w:rStyle w:val="Hyperlink"/>
            <w:sz w:val="22"/>
            <w:lang w:val="en-IN"/>
          </w:rPr>
          <w:t>https://ised-isde.canada.ca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5" w:tgtFrame="_new" w:history="1">
        <w:r w:rsidRPr="002928F8">
          <w:rPr>
            <w:rStyle w:val="Hyperlink"/>
            <w:sz w:val="22"/>
            <w:lang w:val="en-IN"/>
          </w:rPr>
          <w:t>https://www.investcanada.ca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6" w:tgtFrame="_new" w:history="1">
        <w:r w:rsidRPr="002928F8">
          <w:rPr>
            <w:rStyle w:val="Hyperlink"/>
            <w:sz w:val="22"/>
            <w:lang w:val="en-IN"/>
          </w:rPr>
          <w:t>https://ised-isde.canada.ca/site/investment-canada-act/en</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7" w:tgtFrame="_new" w:history="1">
        <w:r w:rsidRPr="002928F8">
          <w:rPr>
            <w:rStyle w:val="Hyperlink"/>
            <w:sz w:val="22"/>
            <w:lang w:val="en-IN"/>
          </w:rPr>
          <w:t>https://www.osfi-bsif.gc.ca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8" w:tgtFrame="_new" w:history="1">
        <w:r w:rsidRPr="002928F8">
          <w:rPr>
            <w:rStyle w:val="Hyperlink"/>
            <w:sz w:val="22"/>
            <w:lang w:val="en-IN"/>
          </w:rPr>
          <w:t>https://fintrac-canafe.canada.ca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19" w:tgtFrame="_new" w:history="1">
        <w:r w:rsidRPr="002928F8">
          <w:rPr>
            <w:rStyle w:val="Hyperlink"/>
            <w:sz w:val="22"/>
            <w:lang w:val="en-IN"/>
          </w:rPr>
          <w:t>https://ised-isde.canada.ca/site/canadian-intellectual-property-office/en</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0" w:tgtFrame="_new" w:history="1">
        <w:r w:rsidRPr="002928F8">
          <w:rPr>
            <w:rStyle w:val="Hyperlink"/>
            <w:sz w:val="22"/>
            <w:lang w:val="en-IN"/>
          </w:rPr>
          <w:t>https://www.priv.gc.ca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1" w:tgtFrame="_new" w:history="1">
        <w:r w:rsidRPr="002928F8">
          <w:rPr>
            <w:rStyle w:val="Hyperlink"/>
            <w:sz w:val="22"/>
            <w:lang w:val="en-IN"/>
          </w:rPr>
          <w:t>https://competition-bureau.canada.ca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2" w:tgtFrame="_new" w:history="1">
        <w:r w:rsidRPr="002928F8">
          <w:rPr>
            <w:rStyle w:val="Hyperlink"/>
            <w:sz w:val="22"/>
            <w:lang w:val="en-IN"/>
          </w:rPr>
          <w:t>https://crtc.gc.ca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3" w:tgtFrame="_new" w:history="1">
        <w:r w:rsidRPr="002928F8">
          <w:rPr>
            <w:rStyle w:val="Hyperlink"/>
            <w:sz w:val="22"/>
            <w:lang w:val="en-IN"/>
          </w:rPr>
          <w:t>https://www.canada.ca/en/health-canada.html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4" w:tgtFrame="_new" w:history="1">
        <w:r w:rsidRPr="002928F8">
          <w:rPr>
            <w:rStyle w:val="Hyperlink"/>
            <w:sz w:val="22"/>
            <w:lang w:val="en-IN"/>
          </w:rPr>
          <w:t>https://inspection.canada.ca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5" w:tgtFrame="_new" w:history="1">
        <w:r w:rsidRPr="002928F8">
          <w:rPr>
            <w:rStyle w:val="Hyperlink"/>
            <w:sz w:val="22"/>
            <w:lang w:val="en-IN"/>
          </w:rPr>
          <w:t>https://laws-lois.justice.gc.ca/eng/acts/c-44/</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6" w:tgtFrame="_new" w:history="1">
        <w:r w:rsidRPr="002928F8">
          <w:rPr>
            <w:rStyle w:val="Hyperlink"/>
            <w:sz w:val="22"/>
            <w:lang w:val="en-IN"/>
          </w:rPr>
          <w:t>https://laws-lois.justice.gc.ca/eng/acts/I-3.3/</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7" w:tgtFrame="_new" w:history="1">
        <w:r w:rsidRPr="002928F8">
          <w:rPr>
            <w:rStyle w:val="Hyperlink"/>
            <w:sz w:val="22"/>
            <w:lang w:val="en-IN"/>
          </w:rPr>
          <w:t>https://laws-lois.justice.gc.ca/eng/acts/e-15/</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8" w:tgtFrame="_new" w:history="1">
        <w:r w:rsidRPr="002928F8">
          <w:rPr>
            <w:rStyle w:val="Hyperlink"/>
            <w:sz w:val="22"/>
            <w:lang w:val="en-IN"/>
          </w:rPr>
          <w:t>https://laws-lois.justice.gc.ca/eng/acts/C-34/</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29" w:tgtFrame="_new" w:history="1">
        <w:r w:rsidRPr="002928F8">
          <w:rPr>
            <w:rStyle w:val="Hyperlink"/>
            <w:sz w:val="22"/>
            <w:lang w:val="en-IN"/>
          </w:rPr>
          <w:t>https://laws-lois.justice.gc.ca/eng/acts/P-8.6/</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0" w:tgtFrame="_new" w:history="1">
        <w:r w:rsidRPr="002928F8">
          <w:rPr>
            <w:rStyle w:val="Hyperlink"/>
            <w:sz w:val="22"/>
            <w:lang w:val="en-IN"/>
          </w:rPr>
          <w:t>https://laws-lois.justice.gc.ca/eng/acts/I-21.8/</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1" w:tgtFrame="_new" w:history="1">
        <w:r w:rsidRPr="002928F8">
          <w:rPr>
            <w:rStyle w:val="Hyperlink"/>
            <w:sz w:val="22"/>
            <w:lang w:val="en-IN"/>
          </w:rPr>
          <w:t>https://www.canada.ca/en/services/taxes/income-tax/corporation-income-tax.html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2" w:tgtFrame="_new" w:history="1">
        <w:r w:rsidRPr="002928F8">
          <w:rPr>
            <w:rStyle w:val="Hyperlink"/>
            <w:sz w:val="22"/>
            <w:lang w:val="en-IN"/>
          </w:rPr>
          <w:t>https://www.canada.ca/en/services/taxes/gsthst.html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3" w:tgtFrame="_new" w:history="1">
        <w:r w:rsidRPr="002928F8">
          <w:rPr>
            <w:rStyle w:val="Hyperlink"/>
            <w:sz w:val="22"/>
            <w:lang w:val="en-IN"/>
          </w:rPr>
          <w:t>https://www.canada.ca/en/revenue-agency/services/tax/businesses/topics/payroll.html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4" w:tgtFrame="_new" w:history="1">
        <w:r w:rsidRPr="002928F8">
          <w:rPr>
            <w:rStyle w:val="Hyperlink"/>
            <w:sz w:val="22"/>
            <w:lang w:val="en-IN"/>
          </w:rPr>
          <w:t>https://www.canada.ca/en/services/taxes/business-number.html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5" w:tgtFrame="_new" w:history="1">
        <w:r w:rsidRPr="002928F8">
          <w:rPr>
            <w:rStyle w:val="Hyperlink"/>
            <w:sz w:val="22"/>
            <w:lang w:val="en-IN"/>
          </w:rPr>
          <w:t>https://www.canada.ca/en/revenue-agency/services/scientific-research-experimental-development-tax-incentive-program.html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6" w:tgtFrame="_new" w:history="1">
        <w:r w:rsidRPr="002928F8">
          <w:rPr>
            <w:rStyle w:val="Hyperlink"/>
            <w:sz w:val="22"/>
            <w:lang w:val="en-IN"/>
          </w:rPr>
          <w:t>https://www.canada.ca/en/department-finance/programs/tax-policy/tax-treaties.html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7" w:history="1">
        <w:r w:rsidRPr="002928F8">
          <w:rPr>
            <w:rStyle w:val="Hyperlink"/>
            <w:sz w:val="22"/>
            <w:lang w:val="en-IN"/>
          </w:rPr>
          <w:t>https://www.canada.ca/en/department-finance/programs/tax-policy/tax-treaties/country/india-convention-consolidated-2013.html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8" w:tgtFrame="_new" w:history="1">
        <w:r w:rsidRPr="002928F8">
          <w:rPr>
            <w:rStyle w:val="Hyperlink"/>
            <w:sz w:val="22"/>
            <w:lang w:val="en-IN"/>
          </w:rPr>
          <w:t>https://www.canada.ca/en/immigration-refugees-citizenship/services/work-canada.html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39" w:tgtFrame="_new" w:history="1">
        <w:r w:rsidRPr="002928F8">
          <w:rPr>
            <w:rStyle w:val="Hyperlink"/>
            <w:sz w:val="22"/>
            <w:lang w:val="en-IN"/>
          </w:rPr>
          <w:t>https://www.canada.ca/en/immigration-refugees-citizenship/services/immigrate-canada/start-visa.html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0" w:tgtFrame="_new" w:history="1">
        <w:r w:rsidRPr="002928F8">
          <w:rPr>
            <w:rStyle w:val="Hyperlink"/>
            <w:sz w:val="22"/>
            <w:lang w:val="en-IN"/>
          </w:rPr>
          <w:t>https://www.canada.ca/en/employment-social-development/services/foreign-workers/global-talent.html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1" w:tgtFrame="_new" w:history="1">
        <w:r w:rsidRPr="002928F8">
          <w:rPr>
            <w:rStyle w:val="Hyperlink"/>
            <w:sz w:val="22"/>
            <w:lang w:val="en-IN"/>
          </w:rPr>
          <w:t>https://www.canada.ca/en/immigration-refugees-citizenship/services/immigrate-canada/express-entry.html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2" w:tgtFrame="_new" w:history="1">
        <w:r w:rsidRPr="002928F8">
          <w:rPr>
            <w:rStyle w:val="Hyperlink"/>
            <w:sz w:val="22"/>
            <w:lang w:val="en-IN"/>
          </w:rPr>
          <w:t>https://www.canada.ca/en/services/jobs/workplace/federal-labour-standards.html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3" w:tgtFrame="_new" w:history="1">
        <w:r w:rsidRPr="002928F8">
          <w:rPr>
            <w:rStyle w:val="Hyperlink"/>
            <w:sz w:val="22"/>
            <w:lang w:val="en-IN"/>
          </w:rPr>
          <w:t>https://www.canada.ca/en/services/benefits/publicpensions/cpp.html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4" w:tgtFrame="_new" w:history="1">
        <w:r w:rsidRPr="002928F8">
          <w:rPr>
            <w:rStyle w:val="Hyperlink"/>
            <w:sz w:val="22"/>
            <w:lang w:val="en-IN"/>
          </w:rPr>
          <w:t>https://www.canada.ca/en/services/benefits/ei.html</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5" w:tgtFrame="_new" w:history="1">
        <w:r w:rsidRPr="002928F8">
          <w:rPr>
            <w:rStyle w:val="Hyperlink"/>
            <w:sz w:val="22"/>
            <w:lang w:val="en-IN"/>
          </w:rPr>
          <w:t>https://www.international.gc.ca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6" w:tgtFrame="_new" w:history="1">
        <w:r w:rsidRPr="002928F8">
          <w:rPr>
            <w:rStyle w:val="Hyperlink"/>
            <w:sz w:val="22"/>
            <w:lang w:val="en-IN"/>
          </w:rPr>
          <w:t>https://www.wto.org/english/thewto_e/countries_e/canada_e.htm</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7" w:history="1">
        <w:r w:rsidRPr="002928F8">
          <w:rPr>
            <w:rStyle w:val="Hyperlink"/>
            <w:sz w:val="22"/>
            <w:lang w:val="en-IN"/>
          </w:rPr>
          <w:t>https://www.oecd.org/canada/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8" w:tgtFrame="_new" w:history="1">
        <w:r w:rsidRPr="002928F8">
          <w:rPr>
            <w:rStyle w:val="Hyperlink"/>
            <w:sz w:val="22"/>
            <w:lang w:val="en-IN"/>
          </w:rPr>
          <w:t>https://www.statcan.gc.ca</w:t>
        </w:r>
      </w:hyperlink>
      <w:r w:rsidRPr="002928F8">
        <w:rPr>
          <w:sz w:val="22"/>
          <w:lang w:val="en-IN"/>
        </w:rPr>
        <w:t xml:space="preserve"> </w:t>
      </w:r>
    </w:p>
    <w:p w:rsidR="002928F8" w:rsidRPr="002928F8" w:rsidRDefault="002928F8" w:rsidP="002928F8">
      <w:pPr>
        <w:numPr>
          <w:ilvl w:val="0"/>
          <w:numId w:val="10"/>
        </w:numPr>
        <w:spacing w:line="240" w:lineRule="auto"/>
        <w:rPr>
          <w:sz w:val="22"/>
          <w:lang w:val="en-IN"/>
        </w:rPr>
      </w:pPr>
      <w:hyperlink r:id="rId49" w:tgtFrame="_new" w:history="1">
        <w:r w:rsidRPr="002928F8">
          <w:rPr>
            <w:rStyle w:val="Hyperlink"/>
            <w:sz w:val="22"/>
            <w:lang w:val="en-IN"/>
          </w:rPr>
          <w:t>https://www.bankofcanada.ca</w:t>
        </w:r>
      </w:hyperlink>
      <w:r w:rsidRPr="002928F8">
        <w:rPr>
          <w:sz w:val="22"/>
          <w:lang w:val="en-IN"/>
        </w:rPr>
        <w:t xml:space="preserve"> </w:t>
      </w:r>
    </w:p>
    <w:p w:rsidR="002928F8" w:rsidRPr="002928F8" w:rsidRDefault="002928F8" w:rsidP="002928F8">
      <w:pPr>
        <w:rPr>
          <w:sz w:val="22"/>
        </w:rPr>
      </w:pPr>
    </w:p>
    <w:p w:rsidR="00471BAA" w:rsidRPr="002928F8" w:rsidRDefault="002928F8">
      <w:pPr>
        <w:spacing w:after="20"/>
        <w:rPr>
          <w:sz w:val="22"/>
        </w:rPr>
      </w:pPr>
      <w:r w:rsidRPr="002928F8">
        <w:rPr>
          <w:sz w:val="22"/>
        </w:rPr>
        <w:t>[1] Statistics Canada - population estimates and South Asian population reports.</w:t>
      </w:r>
    </w:p>
    <w:p w:rsidR="00471BAA" w:rsidRPr="002928F8" w:rsidRDefault="002928F8">
      <w:pPr>
        <w:spacing w:after="20"/>
        <w:rPr>
          <w:sz w:val="22"/>
        </w:rPr>
      </w:pPr>
      <w:r w:rsidRPr="002928F8">
        <w:rPr>
          <w:sz w:val="22"/>
        </w:rPr>
        <w:t>[2] Global Affairs Canada - Canada's trade and investment agreements.</w:t>
      </w:r>
    </w:p>
    <w:p w:rsidR="00471BAA" w:rsidRPr="002928F8" w:rsidRDefault="002928F8">
      <w:pPr>
        <w:spacing w:after="20"/>
        <w:rPr>
          <w:sz w:val="22"/>
        </w:rPr>
      </w:pPr>
      <w:r w:rsidRPr="002928F8">
        <w:rPr>
          <w:sz w:val="22"/>
        </w:rPr>
        <w:t>[3] Global Affairs Canada - trade agreements, negotiations and consultations / CPTPP / CUSMA / CETA.</w:t>
      </w:r>
    </w:p>
    <w:p w:rsidR="00471BAA" w:rsidRPr="002928F8" w:rsidRDefault="002928F8">
      <w:pPr>
        <w:spacing w:after="20"/>
        <w:rPr>
          <w:sz w:val="22"/>
        </w:rPr>
      </w:pPr>
      <w:r w:rsidRPr="002928F8">
        <w:rPr>
          <w:sz w:val="22"/>
        </w:rPr>
        <w:t>[4] Corporations Canada - federal incorporation, annual return, ISC filings, and related guidance.</w:t>
      </w:r>
    </w:p>
    <w:p w:rsidR="00471BAA" w:rsidRPr="002928F8" w:rsidRDefault="002928F8">
      <w:pPr>
        <w:spacing w:after="20"/>
        <w:rPr>
          <w:sz w:val="22"/>
        </w:rPr>
      </w:pPr>
      <w:r w:rsidRPr="002928F8">
        <w:rPr>
          <w:sz w:val="22"/>
        </w:rPr>
        <w:t>[5] Canada Revenue Agency - corporation income tax rates and corporation income tax guidance.</w:t>
      </w:r>
    </w:p>
    <w:p w:rsidR="00471BAA" w:rsidRPr="002928F8" w:rsidRDefault="002928F8">
      <w:pPr>
        <w:spacing w:after="20"/>
        <w:rPr>
          <w:sz w:val="22"/>
        </w:rPr>
      </w:pPr>
      <w:r w:rsidRPr="002928F8">
        <w:rPr>
          <w:sz w:val="22"/>
        </w:rPr>
        <w:t>[6] Canada Revenue Agency - GST/HST registration, thresholds, filing, and due dates.</w:t>
      </w:r>
    </w:p>
    <w:p w:rsidR="00471BAA" w:rsidRPr="002928F8" w:rsidRDefault="002928F8">
      <w:pPr>
        <w:spacing w:after="20"/>
        <w:rPr>
          <w:sz w:val="22"/>
        </w:rPr>
      </w:pPr>
      <w:r w:rsidRPr="002928F8">
        <w:rPr>
          <w:sz w:val="22"/>
        </w:rPr>
        <w:t>[7] Canada Revenue Agency - payroll deductions, remittances, CPP and EI guidance.</w:t>
      </w:r>
    </w:p>
    <w:p w:rsidR="00471BAA" w:rsidRPr="002928F8" w:rsidRDefault="002928F8">
      <w:pPr>
        <w:spacing w:after="20"/>
        <w:rPr>
          <w:sz w:val="22"/>
        </w:rPr>
      </w:pPr>
      <w:r w:rsidRPr="002928F8">
        <w:rPr>
          <w:sz w:val="22"/>
        </w:rPr>
        <w:t>[8] Department of Finance Canada / CRA - tax treaties and Canada-India tax treaty resources.</w:t>
      </w:r>
    </w:p>
    <w:p w:rsidR="00471BAA" w:rsidRPr="002928F8" w:rsidRDefault="002928F8">
      <w:pPr>
        <w:spacing w:after="20"/>
        <w:rPr>
          <w:sz w:val="22"/>
        </w:rPr>
      </w:pPr>
      <w:r w:rsidRPr="002928F8">
        <w:rPr>
          <w:sz w:val="22"/>
        </w:rPr>
        <w:t>[9] Innovation, Science and Economic Development Canada - Investment Canada Act.</w:t>
      </w:r>
    </w:p>
    <w:p w:rsidR="00471BAA" w:rsidRPr="002928F8" w:rsidRDefault="002928F8">
      <w:pPr>
        <w:spacing w:after="20"/>
        <w:rPr>
          <w:sz w:val="22"/>
        </w:rPr>
      </w:pPr>
      <w:r w:rsidRPr="002928F8">
        <w:rPr>
          <w:sz w:val="22"/>
        </w:rPr>
        <w:t>[10] Innovation, Science and Economic Development Canada - national security review guidance under the ICA.</w:t>
      </w:r>
    </w:p>
    <w:p w:rsidR="00471BAA" w:rsidRPr="002928F8" w:rsidRDefault="002928F8">
      <w:pPr>
        <w:spacing w:after="20"/>
        <w:rPr>
          <w:sz w:val="22"/>
        </w:rPr>
      </w:pPr>
      <w:r w:rsidRPr="002928F8">
        <w:rPr>
          <w:sz w:val="22"/>
        </w:rPr>
        <w:t>[11] Corporations Canada - annual return and ISC information requirements.</w:t>
      </w:r>
    </w:p>
    <w:p w:rsidR="00471BAA" w:rsidRPr="002928F8" w:rsidRDefault="002928F8">
      <w:pPr>
        <w:spacing w:after="20"/>
        <w:rPr>
          <w:sz w:val="22"/>
        </w:rPr>
      </w:pPr>
      <w:r w:rsidRPr="002928F8">
        <w:rPr>
          <w:sz w:val="22"/>
        </w:rPr>
        <w:t>[12] Office of the Privacy Commissioner of Canada / PIPEDA guidance.</w:t>
      </w:r>
    </w:p>
    <w:p w:rsidR="00471BAA" w:rsidRPr="002928F8" w:rsidRDefault="002928F8">
      <w:pPr>
        <w:spacing w:after="20"/>
        <w:rPr>
          <w:sz w:val="22"/>
        </w:rPr>
      </w:pPr>
      <w:r w:rsidRPr="002928F8">
        <w:rPr>
          <w:sz w:val="22"/>
        </w:rPr>
        <w:t>[13] CRA - Scientific Research and Experimental Development (SR&amp;ED) tax incentives.</w:t>
      </w:r>
    </w:p>
    <w:p w:rsidR="00471BAA" w:rsidRPr="002928F8" w:rsidRDefault="002928F8">
      <w:pPr>
        <w:spacing w:after="20"/>
        <w:rPr>
          <w:sz w:val="22"/>
        </w:rPr>
      </w:pPr>
      <w:r w:rsidRPr="002928F8">
        <w:rPr>
          <w:sz w:val="22"/>
        </w:rPr>
        <w:t>[14] CRA - Clean Technology Investment Tax Credit and clean economy incentives.</w:t>
      </w:r>
    </w:p>
    <w:p w:rsidR="00471BAA" w:rsidRPr="002928F8" w:rsidRDefault="002928F8">
      <w:pPr>
        <w:spacing w:after="20"/>
        <w:rPr>
          <w:sz w:val="22"/>
        </w:rPr>
      </w:pPr>
      <w:r w:rsidRPr="002928F8">
        <w:rPr>
          <w:sz w:val="22"/>
        </w:rPr>
        <w:t>[15] Innovation, Science and Economic Development Canada - innovation funding and support.</w:t>
      </w:r>
    </w:p>
    <w:p w:rsidR="00471BAA" w:rsidRPr="002928F8" w:rsidRDefault="002928F8">
      <w:pPr>
        <w:spacing w:after="20"/>
        <w:rPr>
          <w:sz w:val="22"/>
        </w:rPr>
      </w:pPr>
      <w:r w:rsidRPr="002928F8">
        <w:rPr>
          <w:sz w:val="22"/>
        </w:rPr>
        <w:t>[16] National Research Council of Canada - Industrial Research Assistance Program (NRC IRAP).</w:t>
      </w:r>
    </w:p>
    <w:p w:rsidR="00471BAA" w:rsidRPr="002928F8" w:rsidRDefault="002928F8">
      <w:pPr>
        <w:spacing w:after="20"/>
        <w:rPr>
          <w:sz w:val="22"/>
        </w:rPr>
      </w:pPr>
      <w:r w:rsidRPr="002928F8">
        <w:rPr>
          <w:sz w:val="22"/>
        </w:rPr>
        <w:t>[17] Canada.ca business registration pages for incorporation, BN, and extra-provincial registration.</w:t>
      </w:r>
    </w:p>
    <w:p w:rsidR="00471BAA" w:rsidRPr="002928F8" w:rsidRDefault="002928F8">
      <w:pPr>
        <w:spacing w:after="20"/>
        <w:rPr>
          <w:sz w:val="22"/>
        </w:rPr>
      </w:pPr>
      <w:r w:rsidRPr="002928F8">
        <w:rPr>
          <w:sz w:val="22"/>
        </w:rPr>
        <w:t>[18] CRA / Canada.ca business, corporate tax, and non-resident guidance.</w:t>
      </w:r>
    </w:p>
    <w:p w:rsidR="00471BAA" w:rsidRPr="002928F8" w:rsidRDefault="002928F8">
      <w:pPr>
        <w:spacing w:after="20"/>
        <w:rPr>
          <w:sz w:val="22"/>
        </w:rPr>
      </w:pPr>
      <w:r w:rsidRPr="002928F8">
        <w:rPr>
          <w:sz w:val="22"/>
        </w:rPr>
        <w:t>[19] Canadian Intellectual Property Office (CIPO) - trademarks and IP services.</w:t>
      </w:r>
    </w:p>
    <w:p w:rsidR="00471BAA" w:rsidRPr="002928F8" w:rsidRDefault="002928F8">
      <w:pPr>
        <w:spacing w:after="20"/>
        <w:rPr>
          <w:sz w:val="22"/>
        </w:rPr>
      </w:pPr>
      <w:r w:rsidRPr="002928F8">
        <w:rPr>
          <w:sz w:val="22"/>
        </w:rPr>
        <w:t>[20] CIPO and related intellectual property guidance for trademarks, patents, and designs.</w:t>
      </w:r>
    </w:p>
    <w:p w:rsidR="00471BAA" w:rsidRPr="002928F8" w:rsidRDefault="002928F8">
      <w:pPr>
        <w:spacing w:after="20"/>
        <w:rPr>
          <w:sz w:val="22"/>
        </w:rPr>
      </w:pPr>
      <w:r w:rsidRPr="002928F8">
        <w:rPr>
          <w:sz w:val="22"/>
        </w:rPr>
        <w:t>[21] Corporations Canada - directors, resident Canadian director rules, and post-incorporation requirements.</w:t>
      </w:r>
    </w:p>
    <w:p w:rsidR="00471BAA" w:rsidRPr="002928F8" w:rsidRDefault="002928F8">
      <w:pPr>
        <w:spacing w:after="20"/>
        <w:rPr>
          <w:sz w:val="22"/>
        </w:rPr>
      </w:pPr>
      <w:r w:rsidRPr="002928F8">
        <w:rPr>
          <w:sz w:val="22"/>
        </w:rPr>
        <w:t>[22] Canada Business Corporations Act incorporation forms and instructions.</w:t>
      </w:r>
    </w:p>
    <w:p w:rsidR="00471BAA" w:rsidRPr="002928F8" w:rsidRDefault="002928F8">
      <w:pPr>
        <w:spacing w:after="20"/>
        <w:rPr>
          <w:sz w:val="22"/>
        </w:rPr>
      </w:pPr>
      <w:r w:rsidRPr="002928F8">
        <w:rPr>
          <w:sz w:val="22"/>
        </w:rPr>
        <w:t>[23] CRA - small business deduction rules.</w:t>
      </w:r>
    </w:p>
    <w:p w:rsidR="00471BAA" w:rsidRPr="002928F8" w:rsidRDefault="002928F8">
      <w:pPr>
        <w:spacing w:after="20"/>
        <w:rPr>
          <w:sz w:val="22"/>
        </w:rPr>
      </w:pPr>
      <w:r w:rsidRPr="002928F8">
        <w:rPr>
          <w:sz w:val="22"/>
        </w:rPr>
        <w:lastRenderedPageBreak/>
        <w:t>[24] CRA - T2 corporate income tax return guidance.</w:t>
      </w:r>
    </w:p>
    <w:p w:rsidR="00471BAA" w:rsidRPr="002928F8" w:rsidRDefault="002928F8">
      <w:pPr>
        <w:spacing w:after="20"/>
        <w:rPr>
          <w:sz w:val="22"/>
        </w:rPr>
      </w:pPr>
      <w:r w:rsidRPr="002928F8">
        <w:rPr>
          <w:sz w:val="22"/>
        </w:rPr>
        <w:t>[25] CRA - GST/HST reporting requirements and filing deadlines.</w:t>
      </w:r>
    </w:p>
    <w:p w:rsidR="00471BAA" w:rsidRPr="002928F8" w:rsidRDefault="002928F8">
      <w:pPr>
        <w:spacing w:after="20"/>
        <w:rPr>
          <w:sz w:val="22"/>
        </w:rPr>
      </w:pPr>
      <w:r w:rsidRPr="002928F8">
        <w:rPr>
          <w:sz w:val="22"/>
        </w:rPr>
        <w:t>[26] CRA - register for a GST/HST account.</w:t>
      </w:r>
    </w:p>
    <w:p w:rsidR="00471BAA" w:rsidRPr="002928F8" w:rsidRDefault="002928F8">
      <w:pPr>
        <w:spacing w:after="20"/>
        <w:rPr>
          <w:sz w:val="22"/>
        </w:rPr>
      </w:pPr>
      <w:r w:rsidRPr="002928F8">
        <w:rPr>
          <w:sz w:val="22"/>
        </w:rPr>
        <w:t>[27] Canada Revenue Agency - tax treaties and international/non-resident tax pages.</w:t>
      </w:r>
    </w:p>
    <w:p w:rsidR="00471BAA" w:rsidRPr="002928F8" w:rsidRDefault="002928F8">
      <w:pPr>
        <w:spacing w:after="20"/>
        <w:rPr>
          <w:sz w:val="22"/>
        </w:rPr>
      </w:pPr>
      <w:r w:rsidRPr="002928F8">
        <w:rPr>
          <w:sz w:val="22"/>
        </w:rPr>
        <w:t>[28] Canadian bank onboarding requirements vary by institution and KYC standards.</w:t>
      </w:r>
    </w:p>
    <w:p w:rsidR="00471BAA" w:rsidRPr="002928F8" w:rsidRDefault="002928F8">
      <w:pPr>
        <w:spacing w:after="20"/>
        <w:rPr>
          <w:sz w:val="22"/>
        </w:rPr>
      </w:pPr>
      <w:r w:rsidRPr="002928F8">
        <w:rPr>
          <w:sz w:val="22"/>
        </w:rPr>
        <w:t>[29] Canada Labour Code / federal labour standards.</w:t>
      </w:r>
    </w:p>
    <w:p w:rsidR="00471BAA" w:rsidRPr="002928F8" w:rsidRDefault="002928F8">
      <w:pPr>
        <w:spacing w:after="20"/>
        <w:rPr>
          <w:sz w:val="22"/>
        </w:rPr>
      </w:pPr>
      <w:r w:rsidRPr="002928F8">
        <w:rPr>
          <w:sz w:val="22"/>
        </w:rPr>
        <w:t>[30] Federal and provincial labour standards pages on Canada.ca.</w:t>
      </w:r>
    </w:p>
    <w:p w:rsidR="00471BAA" w:rsidRPr="002928F8" w:rsidRDefault="002928F8">
      <w:pPr>
        <w:spacing w:after="20"/>
        <w:rPr>
          <w:sz w:val="22"/>
        </w:rPr>
      </w:pPr>
      <w:r w:rsidRPr="002928F8">
        <w:rPr>
          <w:sz w:val="22"/>
        </w:rPr>
        <w:t>[31] IRCC - work in Canada temporarily and business visitor guidance.</w:t>
      </w:r>
    </w:p>
    <w:p w:rsidR="00471BAA" w:rsidRPr="002928F8" w:rsidRDefault="002928F8">
      <w:pPr>
        <w:spacing w:after="20"/>
        <w:rPr>
          <w:sz w:val="22"/>
        </w:rPr>
      </w:pPr>
      <w:r w:rsidRPr="002928F8">
        <w:rPr>
          <w:sz w:val="22"/>
        </w:rPr>
        <w:t>[32] IRCC - International Mobility Program.</w:t>
      </w:r>
    </w:p>
    <w:p w:rsidR="00471BAA" w:rsidRPr="002928F8" w:rsidRDefault="002928F8">
      <w:pPr>
        <w:spacing w:after="20"/>
        <w:rPr>
          <w:sz w:val="22"/>
        </w:rPr>
      </w:pPr>
      <w:r w:rsidRPr="002928F8">
        <w:rPr>
          <w:sz w:val="22"/>
        </w:rPr>
        <w:t>[33] Employment and Social Development Canada - Global Skills Strategy.</w:t>
      </w:r>
    </w:p>
    <w:p w:rsidR="00471BAA" w:rsidRPr="002928F8" w:rsidRDefault="002928F8">
      <w:pPr>
        <w:spacing w:after="20"/>
        <w:rPr>
          <w:sz w:val="22"/>
        </w:rPr>
      </w:pPr>
      <w:r w:rsidRPr="002928F8">
        <w:rPr>
          <w:sz w:val="22"/>
        </w:rPr>
        <w:t>[34] IRCC - Start-up Visa Program current status and eligibility.</w:t>
      </w:r>
    </w:p>
    <w:p w:rsidR="00471BAA" w:rsidRPr="002928F8" w:rsidRDefault="002928F8">
      <w:pPr>
        <w:spacing w:after="20"/>
        <w:rPr>
          <w:sz w:val="22"/>
        </w:rPr>
      </w:pPr>
      <w:r w:rsidRPr="002928F8">
        <w:rPr>
          <w:sz w:val="22"/>
        </w:rPr>
        <w:t>[35] CRA - payroll remittance penalties and interest.</w:t>
      </w:r>
    </w:p>
    <w:p w:rsidR="00471BAA" w:rsidRPr="002928F8" w:rsidRDefault="002928F8">
      <w:pPr>
        <w:spacing w:after="20"/>
        <w:rPr>
          <w:sz w:val="22"/>
        </w:rPr>
      </w:pPr>
      <w:r w:rsidRPr="002928F8">
        <w:rPr>
          <w:sz w:val="22"/>
        </w:rPr>
        <w:t>[36] CRA - CPP and EI contribution rate tables.</w:t>
      </w:r>
    </w:p>
    <w:p w:rsidR="00471BAA" w:rsidRPr="002928F8" w:rsidRDefault="002928F8">
      <w:pPr>
        <w:spacing w:after="20"/>
        <w:rPr>
          <w:sz w:val="22"/>
        </w:rPr>
      </w:pPr>
      <w:r w:rsidRPr="002928F8">
        <w:rPr>
          <w:sz w:val="22"/>
        </w:rPr>
        <w:t>[37] PIPEDA and provincial privacy laws.</w:t>
      </w:r>
    </w:p>
    <w:sectPr w:rsidR="00471BAA" w:rsidRPr="002928F8" w:rsidSect="00034616">
      <w:footerReference w:type="default" r:id="rId5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79A6" w:rsidRDefault="004D79A6">
      <w:pPr>
        <w:spacing w:after="0" w:line="240" w:lineRule="auto"/>
      </w:pPr>
      <w:r>
        <w:separator/>
      </w:r>
    </w:p>
  </w:endnote>
  <w:endnote w:type="continuationSeparator" w:id="0">
    <w:p w:rsidR="004D79A6" w:rsidRDefault="004D7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8F8" w:rsidRDefault="002928F8">
    <w:pPr>
      <w:pStyle w:val="Footer"/>
      <w:jc w:val="center"/>
    </w:pPr>
    <w:r>
      <w:rPr>
        <w:sz w:val="16"/>
      </w:rPr>
      <w:t>COMPLY GLOBALLY | Entry Canada Guide | 2026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79A6" w:rsidRDefault="004D79A6">
      <w:pPr>
        <w:spacing w:after="0" w:line="240" w:lineRule="auto"/>
      </w:pPr>
      <w:r>
        <w:separator/>
      </w:r>
    </w:p>
  </w:footnote>
  <w:footnote w:type="continuationSeparator" w:id="0">
    <w:p w:rsidR="004D79A6" w:rsidRDefault="004D79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4820ECC"/>
    <w:multiLevelType w:val="multilevel"/>
    <w:tmpl w:val="D506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4F69"/>
    <w:rsid w:val="0015074B"/>
    <w:rsid w:val="002928F8"/>
    <w:rsid w:val="0029639D"/>
    <w:rsid w:val="00326F90"/>
    <w:rsid w:val="00471BAA"/>
    <w:rsid w:val="004D79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28F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28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840368">
      <w:bodyDiv w:val="1"/>
      <w:marLeft w:val="0"/>
      <w:marRight w:val="0"/>
      <w:marTop w:val="0"/>
      <w:marBottom w:val="0"/>
      <w:divBdr>
        <w:top w:val="none" w:sz="0" w:space="0" w:color="auto"/>
        <w:left w:val="none" w:sz="0" w:space="0" w:color="auto"/>
        <w:bottom w:val="none" w:sz="0" w:space="0" w:color="auto"/>
        <w:right w:val="none" w:sz="0" w:space="0" w:color="auto"/>
      </w:divBdr>
      <w:divsChild>
        <w:div w:id="434595097">
          <w:marLeft w:val="0"/>
          <w:marRight w:val="0"/>
          <w:marTop w:val="0"/>
          <w:marBottom w:val="0"/>
          <w:divBdr>
            <w:top w:val="none" w:sz="0" w:space="0" w:color="auto"/>
            <w:left w:val="none" w:sz="0" w:space="0" w:color="auto"/>
            <w:bottom w:val="none" w:sz="0" w:space="0" w:color="auto"/>
            <w:right w:val="none" w:sz="0" w:space="0" w:color="auto"/>
          </w:divBdr>
          <w:divsChild>
            <w:div w:id="652373537">
              <w:marLeft w:val="0"/>
              <w:marRight w:val="0"/>
              <w:marTop w:val="0"/>
              <w:marBottom w:val="0"/>
              <w:divBdr>
                <w:top w:val="none" w:sz="0" w:space="0" w:color="auto"/>
                <w:left w:val="none" w:sz="0" w:space="0" w:color="auto"/>
                <w:bottom w:val="none" w:sz="0" w:space="0" w:color="auto"/>
                <w:right w:val="none" w:sz="0" w:space="0" w:color="auto"/>
              </w:divBdr>
              <w:divsChild>
                <w:div w:id="1772896945">
                  <w:marLeft w:val="0"/>
                  <w:marRight w:val="0"/>
                  <w:marTop w:val="0"/>
                  <w:marBottom w:val="0"/>
                  <w:divBdr>
                    <w:top w:val="none" w:sz="0" w:space="0" w:color="auto"/>
                    <w:left w:val="none" w:sz="0" w:space="0" w:color="auto"/>
                    <w:bottom w:val="none" w:sz="0" w:space="0" w:color="auto"/>
                    <w:right w:val="none" w:sz="0" w:space="0" w:color="auto"/>
                  </w:divBdr>
                  <w:divsChild>
                    <w:div w:id="1601520657">
                      <w:marLeft w:val="0"/>
                      <w:marRight w:val="0"/>
                      <w:marTop w:val="0"/>
                      <w:marBottom w:val="0"/>
                      <w:divBdr>
                        <w:top w:val="none" w:sz="0" w:space="0" w:color="auto"/>
                        <w:left w:val="none" w:sz="0" w:space="0" w:color="auto"/>
                        <w:bottom w:val="none" w:sz="0" w:space="0" w:color="auto"/>
                        <w:right w:val="none" w:sz="0" w:space="0" w:color="auto"/>
                      </w:divBdr>
                      <w:divsChild>
                        <w:div w:id="1295406098">
                          <w:marLeft w:val="0"/>
                          <w:marRight w:val="0"/>
                          <w:marTop w:val="0"/>
                          <w:marBottom w:val="0"/>
                          <w:divBdr>
                            <w:top w:val="none" w:sz="0" w:space="0" w:color="auto"/>
                            <w:left w:val="none" w:sz="0" w:space="0" w:color="auto"/>
                            <w:bottom w:val="none" w:sz="0" w:space="0" w:color="auto"/>
                            <w:right w:val="none" w:sz="0" w:space="0" w:color="auto"/>
                          </w:divBdr>
                          <w:divsChild>
                            <w:div w:id="1221483718">
                              <w:marLeft w:val="0"/>
                              <w:marRight w:val="0"/>
                              <w:marTop w:val="0"/>
                              <w:marBottom w:val="0"/>
                              <w:divBdr>
                                <w:top w:val="none" w:sz="0" w:space="0" w:color="auto"/>
                                <w:left w:val="none" w:sz="0" w:space="0" w:color="auto"/>
                                <w:bottom w:val="none" w:sz="0" w:space="0" w:color="auto"/>
                                <w:right w:val="none" w:sz="0" w:space="0" w:color="auto"/>
                              </w:divBdr>
                              <w:divsChild>
                                <w:div w:id="472647465">
                                  <w:marLeft w:val="0"/>
                                  <w:marRight w:val="0"/>
                                  <w:marTop w:val="0"/>
                                  <w:marBottom w:val="0"/>
                                  <w:divBdr>
                                    <w:top w:val="none" w:sz="0" w:space="0" w:color="auto"/>
                                    <w:left w:val="none" w:sz="0" w:space="0" w:color="auto"/>
                                    <w:bottom w:val="none" w:sz="0" w:space="0" w:color="auto"/>
                                    <w:right w:val="none" w:sz="0" w:space="0" w:color="auto"/>
                                  </w:divBdr>
                                  <w:divsChild>
                                    <w:div w:id="15345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444303">
      <w:bodyDiv w:val="1"/>
      <w:marLeft w:val="0"/>
      <w:marRight w:val="0"/>
      <w:marTop w:val="0"/>
      <w:marBottom w:val="0"/>
      <w:divBdr>
        <w:top w:val="none" w:sz="0" w:space="0" w:color="auto"/>
        <w:left w:val="none" w:sz="0" w:space="0" w:color="auto"/>
        <w:bottom w:val="none" w:sz="0" w:space="0" w:color="auto"/>
        <w:right w:val="none" w:sz="0" w:space="0" w:color="auto"/>
      </w:divBdr>
      <w:divsChild>
        <w:div w:id="1352488307">
          <w:marLeft w:val="0"/>
          <w:marRight w:val="0"/>
          <w:marTop w:val="0"/>
          <w:marBottom w:val="0"/>
          <w:divBdr>
            <w:top w:val="none" w:sz="0" w:space="0" w:color="auto"/>
            <w:left w:val="none" w:sz="0" w:space="0" w:color="auto"/>
            <w:bottom w:val="none" w:sz="0" w:space="0" w:color="auto"/>
            <w:right w:val="none" w:sz="0" w:space="0" w:color="auto"/>
          </w:divBdr>
          <w:divsChild>
            <w:div w:id="1558131230">
              <w:marLeft w:val="0"/>
              <w:marRight w:val="0"/>
              <w:marTop w:val="0"/>
              <w:marBottom w:val="0"/>
              <w:divBdr>
                <w:top w:val="none" w:sz="0" w:space="0" w:color="auto"/>
                <w:left w:val="none" w:sz="0" w:space="0" w:color="auto"/>
                <w:bottom w:val="none" w:sz="0" w:space="0" w:color="auto"/>
                <w:right w:val="none" w:sz="0" w:space="0" w:color="auto"/>
              </w:divBdr>
              <w:divsChild>
                <w:div w:id="986130030">
                  <w:marLeft w:val="0"/>
                  <w:marRight w:val="0"/>
                  <w:marTop w:val="0"/>
                  <w:marBottom w:val="0"/>
                  <w:divBdr>
                    <w:top w:val="none" w:sz="0" w:space="0" w:color="auto"/>
                    <w:left w:val="none" w:sz="0" w:space="0" w:color="auto"/>
                    <w:bottom w:val="none" w:sz="0" w:space="0" w:color="auto"/>
                    <w:right w:val="none" w:sz="0" w:space="0" w:color="auto"/>
                  </w:divBdr>
                  <w:divsChild>
                    <w:div w:id="1294674575">
                      <w:marLeft w:val="0"/>
                      <w:marRight w:val="0"/>
                      <w:marTop w:val="0"/>
                      <w:marBottom w:val="0"/>
                      <w:divBdr>
                        <w:top w:val="none" w:sz="0" w:space="0" w:color="auto"/>
                        <w:left w:val="none" w:sz="0" w:space="0" w:color="auto"/>
                        <w:bottom w:val="none" w:sz="0" w:space="0" w:color="auto"/>
                        <w:right w:val="none" w:sz="0" w:space="0" w:color="auto"/>
                      </w:divBdr>
                      <w:divsChild>
                        <w:div w:id="790126784">
                          <w:marLeft w:val="0"/>
                          <w:marRight w:val="0"/>
                          <w:marTop w:val="0"/>
                          <w:marBottom w:val="0"/>
                          <w:divBdr>
                            <w:top w:val="none" w:sz="0" w:space="0" w:color="auto"/>
                            <w:left w:val="none" w:sz="0" w:space="0" w:color="auto"/>
                            <w:bottom w:val="none" w:sz="0" w:space="0" w:color="auto"/>
                            <w:right w:val="none" w:sz="0" w:space="0" w:color="auto"/>
                          </w:divBdr>
                          <w:divsChild>
                            <w:div w:id="997029607">
                              <w:marLeft w:val="0"/>
                              <w:marRight w:val="0"/>
                              <w:marTop w:val="0"/>
                              <w:marBottom w:val="0"/>
                              <w:divBdr>
                                <w:top w:val="none" w:sz="0" w:space="0" w:color="auto"/>
                                <w:left w:val="none" w:sz="0" w:space="0" w:color="auto"/>
                                <w:bottom w:val="none" w:sz="0" w:space="0" w:color="auto"/>
                                <w:right w:val="none" w:sz="0" w:space="0" w:color="auto"/>
                              </w:divBdr>
                              <w:divsChild>
                                <w:div w:id="1685352768">
                                  <w:marLeft w:val="0"/>
                                  <w:marRight w:val="0"/>
                                  <w:marTop w:val="0"/>
                                  <w:marBottom w:val="0"/>
                                  <w:divBdr>
                                    <w:top w:val="none" w:sz="0" w:space="0" w:color="auto"/>
                                    <w:left w:val="none" w:sz="0" w:space="0" w:color="auto"/>
                                    <w:bottom w:val="none" w:sz="0" w:space="0" w:color="auto"/>
                                    <w:right w:val="none" w:sz="0" w:space="0" w:color="auto"/>
                                  </w:divBdr>
                                  <w:divsChild>
                                    <w:div w:id="8536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a.ca/en/immigration-refugees-citizenship.html" TargetMode="External"/><Relationship Id="rId18" Type="http://schemas.openxmlformats.org/officeDocument/2006/relationships/hyperlink" Target="https://fintrac-canafe.canada.ca" TargetMode="External"/><Relationship Id="rId26" Type="http://schemas.openxmlformats.org/officeDocument/2006/relationships/hyperlink" Target="https://laws-lois.justice.gc.ca/eng/acts/I-3.3/" TargetMode="External"/><Relationship Id="rId39" Type="http://schemas.openxmlformats.org/officeDocument/2006/relationships/hyperlink" Target="https://www.canada.ca/en/immigration-refugees-citizenship/services/immigrate-canada/start-visa.html?utm_source=chatgpt.com" TargetMode="External"/><Relationship Id="rId3" Type="http://schemas.openxmlformats.org/officeDocument/2006/relationships/styles" Target="styles.xml"/><Relationship Id="rId21" Type="http://schemas.openxmlformats.org/officeDocument/2006/relationships/hyperlink" Target="https://competition-bureau.canada.ca" TargetMode="External"/><Relationship Id="rId34" Type="http://schemas.openxmlformats.org/officeDocument/2006/relationships/hyperlink" Target="https://www.canada.ca/en/services/taxes/business-number.html" TargetMode="External"/><Relationship Id="rId42" Type="http://schemas.openxmlformats.org/officeDocument/2006/relationships/hyperlink" Target="https://www.canada.ca/en/services/jobs/workplace/federal-labour-standards.html?utm_source=chatgpt.com" TargetMode="External"/><Relationship Id="rId47" Type="http://schemas.openxmlformats.org/officeDocument/2006/relationships/hyperlink" Target="https://www.oecd.org/canada/" TargetMode="External"/><Relationship Id="rId50"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canada.ca/en/revenue-agency.html" TargetMode="External"/><Relationship Id="rId17" Type="http://schemas.openxmlformats.org/officeDocument/2006/relationships/hyperlink" Target="https://www.osfi-bsif.gc.ca" TargetMode="External"/><Relationship Id="rId25" Type="http://schemas.openxmlformats.org/officeDocument/2006/relationships/hyperlink" Target="https://laws-lois.justice.gc.ca/eng/acts/c-44/" TargetMode="External"/><Relationship Id="rId33" Type="http://schemas.openxmlformats.org/officeDocument/2006/relationships/hyperlink" Target="https://www.canada.ca/en/revenue-agency/services/tax/businesses/topics/payroll.html?utm_source=chatgpt.com" TargetMode="External"/><Relationship Id="rId38" Type="http://schemas.openxmlformats.org/officeDocument/2006/relationships/hyperlink" Target="https://www.canada.ca/en/immigration-refugees-citizenship/services/work-canada.html?utm_source=chatgpt.com" TargetMode="External"/><Relationship Id="rId46" Type="http://schemas.openxmlformats.org/officeDocument/2006/relationships/hyperlink" Target="https://www.wto.org/english/thewto_e/countries_e/canada_e.htm" TargetMode="External"/><Relationship Id="rId2" Type="http://schemas.openxmlformats.org/officeDocument/2006/relationships/numbering" Target="numbering.xml"/><Relationship Id="rId16" Type="http://schemas.openxmlformats.org/officeDocument/2006/relationships/hyperlink" Target="https://ised-isde.canada.ca/site/investment-canada-act/en?utm_source=chatgpt.com" TargetMode="External"/><Relationship Id="rId20" Type="http://schemas.openxmlformats.org/officeDocument/2006/relationships/hyperlink" Target="https://www.priv.gc.ca" TargetMode="External"/><Relationship Id="rId29" Type="http://schemas.openxmlformats.org/officeDocument/2006/relationships/hyperlink" Target="https://laws-lois.justice.gc.ca/eng/acts/P-8.6/" TargetMode="External"/><Relationship Id="rId41" Type="http://schemas.openxmlformats.org/officeDocument/2006/relationships/hyperlink" Target="https://www.canada.ca/en/immigration-refugees-citizenship/services/immigrate-canada/express-entry.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sed-isde.canada.ca/site/corporations-canada/en" TargetMode="External"/><Relationship Id="rId24" Type="http://schemas.openxmlformats.org/officeDocument/2006/relationships/hyperlink" Target="https://inspection.canada.ca" TargetMode="External"/><Relationship Id="rId32" Type="http://schemas.openxmlformats.org/officeDocument/2006/relationships/hyperlink" Target="https://www.canada.ca/en/services/taxes/gsthst.html" TargetMode="External"/><Relationship Id="rId37" Type="http://schemas.openxmlformats.org/officeDocument/2006/relationships/hyperlink" Target="https://www.canada.ca/en/department-finance/programs/tax-policy/tax-treaties/country/india-convention-consolidated-2013.html" TargetMode="External"/><Relationship Id="rId40" Type="http://schemas.openxmlformats.org/officeDocument/2006/relationships/hyperlink" Target="https://www.canada.ca/en/employment-social-development/services/foreign-workers/global-talent.html?utm_source=chatgpt.com" TargetMode="External"/><Relationship Id="rId45" Type="http://schemas.openxmlformats.org/officeDocument/2006/relationships/hyperlink" Target="https://www.international.gc.ca" TargetMode="External"/><Relationship Id="rId5" Type="http://schemas.openxmlformats.org/officeDocument/2006/relationships/settings" Target="settings.xml"/><Relationship Id="rId15" Type="http://schemas.openxmlformats.org/officeDocument/2006/relationships/hyperlink" Target="https://www.investcanada.ca" TargetMode="External"/><Relationship Id="rId23" Type="http://schemas.openxmlformats.org/officeDocument/2006/relationships/hyperlink" Target="https://www.canada.ca/en/health-canada.html" TargetMode="External"/><Relationship Id="rId28" Type="http://schemas.openxmlformats.org/officeDocument/2006/relationships/hyperlink" Target="https://laws-lois.justice.gc.ca/eng/acts/C-34/" TargetMode="External"/><Relationship Id="rId36" Type="http://schemas.openxmlformats.org/officeDocument/2006/relationships/hyperlink" Target="https://www.canada.ca/en/department-finance/programs/tax-policy/tax-treaties.html?utm_source=chatgpt.com" TargetMode="External"/><Relationship Id="rId49" Type="http://schemas.openxmlformats.org/officeDocument/2006/relationships/hyperlink" Target="https://www.bankofcanada.ca" TargetMode="External"/><Relationship Id="rId10" Type="http://schemas.openxmlformats.org/officeDocument/2006/relationships/hyperlink" Target="https://www.canada.ca" TargetMode="External"/><Relationship Id="rId19" Type="http://schemas.openxmlformats.org/officeDocument/2006/relationships/hyperlink" Target="https://ised-isde.canada.ca/site/canadian-intellectual-property-office/en" TargetMode="External"/><Relationship Id="rId31" Type="http://schemas.openxmlformats.org/officeDocument/2006/relationships/hyperlink" Target="https://www.canada.ca/en/services/taxes/income-tax/corporation-income-tax.html?utm_source=chatgpt.com" TargetMode="External"/><Relationship Id="rId44" Type="http://schemas.openxmlformats.org/officeDocument/2006/relationships/hyperlink" Target="https://www.canada.ca/en/services/benefits/ei.html" TargetMode="Externa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anil.gupta@TheConnectVentures.com" TargetMode="External"/><Relationship Id="rId14" Type="http://schemas.openxmlformats.org/officeDocument/2006/relationships/hyperlink" Target="https://ised-isde.canada.ca" TargetMode="External"/><Relationship Id="rId22" Type="http://schemas.openxmlformats.org/officeDocument/2006/relationships/hyperlink" Target="https://crtc.gc.ca" TargetMode="External"/><Relationship Id="rId27" Type="http://schemas.openxmlformats.org/officeDocument/2006/relationships/hyperlink" Target="https://laws-lois.justice.gc.ca/eng/acts/e-15/" TargetMode="External"/><Relationship Id="rId30" Type="http://schemas.openxmlformats.org/officeDocument/2006/relationships/hyperlink" Target="https://laws-lois.justice.gc.ca/eng/acts/I-21.8/" TargetMode="External"/><Relationship Id="rId35" Type="http://schemas.openxmlformats.org/officeDocument/2006/relationships/hyperlink" Target="https://www.canada.ca/en/revenue-agency/services/scientific-research-experimental-development-tax-incentive-program.html?utm_source=chatgpt.com" TargetMode="External"/><Relationship Id="rId43" Type="http://schemas.openxmlformats.org/officeDocument/2006/relationships/hyperlink" Target="https://www.canada.ca/en/services/benefits/publicpensions/cpp.html" TargetMode="External"/><Relationship Id="rId48" Type="http://schemas.openxmlformats.org/officeDocument/2006/relationships/hyperlink" Target="https://www.statcan.gc.ca" TargetMode="External"/><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3C6FF0-46BC-40D5-8085-54C6FA23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27</Pages>
  <Words>5434</Words>
  <Characters>30977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2026-05-21T12:01:00Z</dcterms:modified>
  <cp:category/>
</cp:coreProperties>
</file>