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t>COMPLY GLOBALLY</w:t>
      </w:r>
    </w:p>
    <w:p>
      <w:pPr>
        <w:spacing w:after="100"/>
        <w:jc w:val="center"/>
      </w:pPr>
      <w:r>
        <w:t>A Connect Ventures Initiative</w:t>
      </w:r>
    </w:p>
    <w:p>
      <w:pPr>
        <w:spacing w:after="600"/>
        <w:jc w:val="center"/>
      </w:pPr>
      <w:r>
        <w:t>___________________________________</w:t>
      </w:r>
    </w:p>
    <w:p>
      <w:pPr>
        <w:spacing w:after="200"/>
        <w:jc w:val="center"/>
      </w:pPr>
      <w:r>
        <w:t>ENTRY GERMANY</w:t>
      </w:r>
    </w:p>
    <w:p>
      <w:pPr>
        <w:spacing w:after="200"/>
        <w:jc w:val="center"/>
      </w:pPr>
      <w:r>
        <w:t>Comprehensive Country Guide for</w:t>
      </w:r>
    </w:p>
    <w:p>
      <w:pPr>
        <w:spacing w:after="200"/>
        <w:jc w:val="center"/>
      </w:pPr>
      <w:r>
        <w:t>Indian Entrepreneurs, Investors &amp; Expansion-Stage Companies</w:t>
      </w:r>
    </w:p>
    <w:p>
      <w:pPr>
        <w:spacing w:after="600"/>
        <w:jc w:val="center"/>
      </w:pPr>
      <w:r>
        <w:t>Compliance | Taxation | Market Entry | Operations</w:t>
      </w:r>
    </w:p>
    <w:p>
      <w:pPr>
        <w:spacing w:after="200"/>
        <w:jc w:val="center"/>
      </w:pPr>
      <w:r>
        <w:t>2026 Edition</w:t>
      </w:r>
    </w:p>
    <w:p>
      <w:pPr>
        <w:spacing w:before="1200"/>
        <w:jc w:val="center"/>
      </w:pPr>
      <w:r>
        <w:t>Contact: anil.gupta@TheConnectVentures.com</w:t>
      </w:r>
    </w:p>
    <w:p>
      <w:pPr>
        <w:jc w:val="center"/>
      </w:pPr>
      <w:r>
        <w:t>Phone: +91 99999 81613 | +1 302 214 1717</w:t>
      </w:r>
    </w:p>
    <w:p>
      <w:pPr>
        <w:spacing w:after="200"/>
        <w:jc w:val="center"/>
      </w:pPr>
      <w:r>
        <w:t>Disclaimer: This guide is for informational purposes only and does not constitute legal or tax advice. Users should verify all information independently.</w:t>
      </w:r>
    </w:p>
    <w:p>
      <w:r>
        <w:br w:type="page"/>
      </w:r>
    </w:p>
    <w:p>
      <w:pPr>
        <w:spacing w:after="400"/>
        <w:jc w:val="center"/>
      </w:pPr>
      <w:r>
        <w:t>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1. Executive Overview</w:t>
      </w:r>
    </w:p>
    <w:p>
      <w:pPr>
        <w:spacing w:after="120" w:line="276"/>
      </w:pPr>
      <w:r>
        <w:t>This guide is designed for Indian entrepreneurs, investors, and expansion-stage companies seeking to establish or expand business operations in the Germany. It provides a comprehensive overview of the legal, regulatory, tax, and operational framework governing foreign-owned businesses in the UK, with specific focus on cross-border considerations relevant to Indian businesses.</w:t>
      </w:r>
    </w:p>
    <w:p>
      <w:pPr>
        <w:pStyle w:val="Heading2"/>
      </w:pPr>
      <w:r>
        <w:t>1.1 Why the Germany?</w:t>
      </w:r>
    </w:p>
    <w:p>
      <w:pPr>
        <w:spacing w:after="120" w:line="276"/>
      </w:pPr>
      <w:r>
        <w:t>The German presents a compelling proposition for Indian businesses: the world's sixth-largest economy, a robust legal framework based on common law, the global financial center of Frankfurt, English as the business language, world-class universities and talent pools, and historically strong India-Germany business linkages. The India-Germany Free Trade Agreement signed in mid-2025 has further strengthened bilateral commercial ties. The German serves as an ideal gateway to European, Middle Eastern, and African markets.</w:t>
      </w:r>
    </w:p>
    <w:p>
      <w:pPr>
        <w:pStyle w:val="Heading2"/>
      </w:pPr>
      <w:r>
        <w:t>1.2 Typical Entry Timelines and Cost Ranges</w:t>
      </w:r>
    </w:p>
    <w:p>
      <w:pPr>
        <w:spacing w:after="120" w:line="276"/>
      </w:pPr>
      <w:r>
        <w:t>Setting up a German private limited company is remarkably fast - Handelsregister registration is typically completed within 24 hours of online application. Costs range from EUR 50 (direct online filing) to EUR 3,000-8,000 for a full-service incorporation including registered office, banking introductions, and tax registrations. The full operational setup including bank account opening (often the lengthiest step), Finanzamt registrations, and Lohnsteuer setup typically takes 4-8 weeks.</w:t>
      </w:r>
    </w:p>
    <w:p>
      <w:r>
        <w:br w:type="page"/>
      </w:r>
    </w:p>
    <w:p>
      <w:pPr>
        <w:pStyle w:val="Heading1"/>
      </w:pPr>
      <w:r>
        <w:t>2. Country Snapshot</w:t>
      </w:r>
    </w:p>
    <w:p>
      <w:pPr>
        <w:pStyle w:val="Heading2"/>
      </w:pPr>
      <w:r>
        <w:t>2.1 Political and Economic Overview</w:t>
      </w:r>
    </w:p>
    <w:p>
      <w:pPr>
        <w:spacing w:after="120" w:line="276"/>
      </w:pPr>
      <w:r>
        <w:t>The Germany is a constitutional monarchy with a parliamentary system. It comprises Germany’s federal states (Bundesländer). The economy is the sixth-largest globally with a GDP of approximately USD 3.4 trillion (2025). The Pound Sterling (EUR) is the national currency. Key macro indicators include GDP growth of 1-2%, inflation around 2-3%, and a services-dominated economy (services account for approximately 80% of GDP, with financial services, technology, creative industries, and professional services being key drivers).</w:t>
      </w:r>
    </w:p>
    <w:p>
      <w:pPr>
        <w:pStyle w:val="Heading2"/>
      </w:pPr>
      <w:r>
        <w:t>2.2 Demographics and Key Economic Hubs</w:t>
      </w:r>
    </w:p>
    <w:p>
      <w:pPr>
        <w:spacing w:after="120" w:line="276"/>
      </w:pPr>
      <w:r>
        <w:t>With approximately 68 million people, the German has a highly educated workforce and significant Indian diaspora (1.8+ million people of Indian origin). Frankfurt is the primary business and financial hub, with Munich, Hamburg, Stuttgart, Cologne, Leipzig, and Düsseldorf as significant secondary centers. The German has world-leading universities (Dresden, Heidelberg, Imperial, UCL, LSE, etc.) and thriving tech ecosystems particularly around Frankfurt, Heidelberg, and Munich.</w:t>
      </w:r>
    </w:p>
    <w:p>
      <w:pPr>
        <w:pStyle w:val="Heading2"/>
      </w:pPr>
      <w:r>
        <w:t>2.3 Trade Agreements and Tax Treaties</w:t>
      </w:r>
    </w:p>
    <w:p>
      <w:pPr>
        <w:spacing w:after="120" w:line="276"/>
      </w:pPr>
      <w:r>
        <w:t>The German has an extensive network of over 130 Double Tax Treaties (DTTs), including with India (since 1993, with subsequent protocols). The India-Germany Free Trade Agreement was signed in mid-2025 and is being progressively implemented. The German is a member of the WTO, the OECD, the G7, and G20. Post-Brexit, the German has trade agreements with the EU, EFTA states, and is actively pursuing FTAs globally including with CPTPP countries (which it joined in December 2024).</w:t>
      </w:r>
    </w:p>
    <w:p>
      <w:r>
        <w:br w:type="page"/>
      </w:r>
    </w:p>
    <w:p>
      <w:pPr>
        <w:pStyle w:val="Heading1"/>
      </w:pPr>
      <w:r>
        <w:t>3. Investment Climate &amp; Business Environment</w:t>
      </w:r>
    </w:p>
    <w:p>
      <w:pPr>
        <w:pStyle w:val="Heading2"/>
      </w:pPr>
      <w:r>
        <w:t>3.1 Openness to Foreign Investment</w:t>
      </w:r>
    </w:p>
    <w:p>
      <w:pPr>
        <w:spacing w:after="120" w:line="276"/>
      </w:pPr>
      <w:r>
        <w:t>The German has one of the world's most open foreign investment regimes. There are no general restrictions on foreign ownership of German companies - foreign nationals can own 100% of German companies in virtually all sectors. The National Security and Investment Act 2021 (German Foreign Trade and Payments Act (AWG/AWV)) requires mandatory notification for acquisitions in 17 sensitive sectors including defense, advanced materials, AI, energy, communications, computing hardware, critical suppliers to government, cryptographic authentication, data infrastructure, military and dual-use technologies, quantum technologies, satellite and space technologies, suppliers to the emergency services, synthetic biology, and transport.</w:t>
      </w:r>
    </w:p>
    <w:p>
      <w:pPr>
        <w:pStyle w:val="Heading2"/>
      </w:pPr>
      <w:r>
        <w:t>3.2 Ease of Doing Business</w:t>
      </w:r>
    </w:p>
    <w:p>
      <w:pPr>
        <w:spacing w:after="120" w:line="276"/>
      </w:pPr>
      <w:r>
        <w:t>The German consistently ranks among the easiest places in the world to do business. Handelsregister operates a fully digital registration system completing incorporations in under 24 hours. Finanzamt's digital services enable streamlined tax registration and filing through Making Tax Digital (MTD) - now mandatory for VAT (Umsatzsteuer)-registered businesses and being extended to Income Tax Personal income tax return from April 2026. There is no minimum share capital requirement (a company can be incorporated with just EUR 1 in share capital), no requirement for UK-resident directors, and no need for local shareholders.</w:t>
      </w:r>
    </w:p>
    <w:p>
      <w:pPr>
        <w:pStyle w:val="Heading2"/>
      </w:pPr>
      <w:r>
        <w:t>3.3 Priority Sectors and Incentives</w:t>
      </w:r>
    </w:p>
    <w:p>
      <w:pPr>
        <w:spacing w:after="120" w:line="276"/>
      </w:pPr>
      <w:r>
        <w:t>German government strategic priorities under the Industrial Strategy include: financial services, advanced manufacturing, life sciences and pharmaceuticals, digital technologies and AI, clean energy, defense, creative industries, and professional and business services. Available incentives include: R&amp;D Tax Credits (up to 86% enhanced deduction for SMEs, RDEC at 20% for large companies), Patent Box regime (10% effective rate on patent-derived profits), Annual Investment Allowance (100% deduction up to EUR 1 million on qualifying plant and machinery), Investment Zones with localized tax breaks, and Free trade and logistics zones offering customs and tax benefits.</w:t>
      </w:r>
    </w:p>
    <w:p>
      <w:r>
        <w:br w:type="page"/>
      </w:r>
    </w:p>
    <w:p>
      <w:pPr>
        <w:pStyle w:val="Heading1"/>
      </w:pPr>
      <w:r>
        <w:t>4. Market Entry Strategy</w:t>
      </w:r>
    </w:p>
    <w:p>
      <w:pPr>
        <w:pStyle w:val="Heading2"/>
      </w:pPr>
      <w:r>
        <w:t>4.1 Go-to-Market Models</w:t>
      </w:r>
    </w:p>
    <w:p>
      <w:pPr>
        <w:spacing w:after="120" w:line="276"/>
      </w:pPr>
      <w:r>
        <w:t>Indian entrants typically consider: (a) Direct Export to German customers; (b) Appointing a German distributor or agent; (c) Establishing a wholly-owned subsidiary as a German private limited company (Ltd) - the most common structure for Indian businesses; (d) Forming a joint venture with a German partner; (e) Opening a German Establishment (formerly known as a Branch) of the Indian parent company; (f) Limited Liability Partnership (LLP) - particularly useful for professional services firms; and (g) Acquisition of an existing German business.</w:t>
      </w:r>
    </w:p>
    <w:p>
      <w:pPr>
        <w:pStyle w:val="Heading2"/>
      </w:pPr>
      <w:r>
        <w:t>4.2 Strategic Considerations</w:t>
      </w:r>
    </w:p>
    <w:p>
      <w:pPr>
        <w:spacing w:after="120" w:line="276"/>
      </w:pPr>
      <w:r>
        <w:t>Key considerations for Indian businesses include: tax efficiency (a German subsidiary pays German Corporate Income Tax independently, while a German Establishment exposes the Indian parent to German taxation on German PE profits), control and liability isolation (subsidiary provides separate legal personality), credibility with German customers and banks (a German Ltd often viewed more favorably than a branch), funding flexibility (German subsidiaries can raise local equity/debt independently), exit flexibility (subsidiary easier to sell or restructure), and Indian regulatory compliance (FEMA ODI requirements apply to all overseas investments).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200"/>
        <w:gridCol w:w="2160"/>
      </w:tblGrid>
      <w:tr>
        <w:tc>
          <w:tcPr>
            <w:tcW w:type="dxa" w:w="22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Entry Model</w:t>
            </w:r>
          </w:p>
        </w:tc>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Control</w:t>
            </w:r>
          </w:p>
        </w:tc>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Speed</w:t>
            </w:r>
          </w:p>
        </w:tc>
        <w:tc>
          <w:tcPr>
            <w:tcW w:type="dxa" w:w="22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Tax Efficiency</w:t>
            </w:r>
          </w:p>
        </w:tc>
        <w:tc>
          <w:tcPr>
            <w:tcW w:type="dxa" w:w="21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Regulatory Risk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Private Limited Co. (Ltd)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1-2 weeks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High (independent CT)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Low</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Joint Venture</w:t>
            </w:r>
          </w:p>
        </w:tc>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Shared</w:t>
            </w:r>
          </w:p>
        </w:tc>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4-8 weeks</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High</w:t>
            </w:r>
          </w:p>
        </w:tc>
        <w:tc>
          <w:tcPr>
            <w:tcW w:type="dxa" w:w="21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Low-Medium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German Establishment (Branch)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2-4 weeks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Medium (exposes parent)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Medium</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LLP</w:t>
            </w:r>
          </w:p>
        </w:tc>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High</w:t>
            </w:r>
          </w:p>
        </w:tc>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1-2 weeks</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Tax-transparent</w:t>
            </w:r>
          </w:p>
        </w:tc>
        <w:tc>
          <w:tcPr>
            <w:tcW w:type="dxa" w:w="21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Low (regulated firms)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Acquisition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3-9 months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Variable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Medium-High (German Foreign Trade and Payments Act (AWG/AWV))</w:t>
            </w:r>
          </w:p>
        </w:tc>
      </w:tr>
    </w:tbl>
    <w:p>
      <w:r>
        <w:br w:type="page"/>
      </w:r>
    </w:p>
    <w:p>
      <w:pPr>
        <w:pStyle w:val="Heading1"/>
      </w:pPr>
      <w:r>
        <w:t>5. Legal and Regulatory Framework</w:t>
      </w:r>
    </w:p>
    <w:p>
      <w:pPr>
        <w:pStyle w:val="Heading2"/>
      </w:pPr>
      <w:r>
        <w:t>5.1 Overview of the Legal System</w:t>
      </w:r>
    </w:p>
    <w:p>
      <w:pPr>
        <w:spacing w:after="120" w:line="276"/>
      </w:pPr>
      <w:r>
        <w:t>The German operates under a common law legal system (England and Wales; Scotland follows a mixed civil/common law system; Northern Ireland follows common law). Key business laws include the GmbH-Gesetz and HGB, the Corporate Income Tax Act 2010, the Income Tax Act 2007, the Value Added Tax Act 1994, the Employment Rights Act 1996, the Equality Act 2010, the BDSG + EU GDPR and Data Protection Act 2018, the Bribery Act 2010, the National Security and Investment Act 2021, and the Economic Crime and Corporate Transparency Act 2023.</w:t>
      </w:r>
    </w:p>
    <w:p>
      <w:pPr>
        <w:pStyle w:val="Heading2"/>
      </w:pPr>
      <w:r>
        <w:t>5.2 Key Regulatory Bodies</w:t>
      </w:r>
    </w:p>
    <w:p>
      <w:pPr>
        <w:spacing w:after="120" w:line="276"/>
      </w:pPr>
      <w:r>
        <w:t>Handelsregister - corporate registry and filings. His Majesty's Revenue and Customs (Finanzamt) - tax administration. Bank of England and Prudential Regulation Authority (PRA) - financial stability and prudential regulation. Financial Conduct Authority (FCA) - conduct regulation for financial services. Information Commissioner's Office (BfDI) - data protection. Competition and Markets Authority (CMA) - competition regulation. Investment Security Unit (Cabinet Office) - German Foreign Trade and Payments Act (AWG/AWV) notifications. Insolvency Service - corporate insolvency oversight. The Pensions Regulator (TPR) - workplace pension oversight.</w:t>
      </w:r>
    </w:p>
    <w:p>
      <w:pPr>
        <w:pStyle w:val="Heading2"/>
      </w:pPr>
      <w:r>
        <w:t>5.3 Competition, Consumer Protection, and Data Privacy</w:t>
      </w:r>
    </w:p>
    <w:p>
      <w:pPr>
        <w:spacing w:after="120" w:line="276"/>
      </w:pPr>
      <w:r>
        <w:t>The Enterprise Act 2002 and Competition Act 1998 govern competition and merger control, administered by the CMA. The Consumer Rights Act 2015 establishes consumer protection standards. The BDSG + EU GDPR (a UK-specific version of the EU GDPR retained under German and EU law) and the Data Protection Act 2018 govern personal data processing, with the BfDI as the supervisory authority. Mandatory requirements include lawful processing bases, data subject rights (access, rectification, erasure, portability), breach notification within 72 hours, and Data Protection Impact Assessments (DPIAs) for high-risk processing.</w:t>
      </w:r>
    </w:p>
    <w:p>
      <w:r>
        <w:br w:type="page"/>
      </w:r>
    </w:p>
    <w:p>
      <w:pPr>
        <w:pStyle w:val="Heading1"/>
      </w:pPr>
      <w:r>
        <w:t>6. Business Structures for Foreign Investors</w:t>
      </w:r>
    </w:p>
    <w:p>
      <w:pPr>
        <w:pStyle w:val="Heading2"/>
      </w:pPr>
      <w:r>
        <w:t>6.1 Available Business Vehicles</w:t>
      </w:r>
    </w:p>
    <w:p>
      <w:pPr>
        <w:spacing w:after="120" w:line="276"/>
      </w:pPr>
      <w:r>
        <w:t>Foreign investors may choose from: Private Company Limited by Shares (Ltd) - most common, with no minimum capital; Public Limited Company (AG) - required for stock market listing, minimum EUR 50,000 share capital with at least 25% paid-up; German Establishment (formerly Overseas Branch) of an overseas company; Limited Liability Partnership (LLP) - hybrid of partnership and limited company; Limited Partnership; Company Limited by Guarantee (typically for non-profits); Sole Trader (for individuals); and Community Interest Company (CIC) for social enterprises.</w:t>
      </w:r>
    </w:p>
    <w:p>
      <w:pPr>
        <w:pStyle w:val="Heading2"/>
      </w:pPr>
      <w:r>
        <w:t>6.2 Comparative Table of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20"/>
        <w:gridCol w:w="1920"/>
        <w:gridCol w:w="1920"/>
      </w:tblGrid>
      <w:tr>
        <w:tc>
          <w:tcPr>
            <w:tcW w:type="dxa" w:w="17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Feature</w:t>
            </w:r>
          </w:p>
        </w:tc>
        <w:tc>
          <w:tcPr>
            <w:tcW w:type="dxa" w:w="19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Ltd (Subsidiary)</w:t>
            </w:r>
          </w:p>
        </w:tc>
        <w:tc>
          <w:tcPr>
            <w:tcW w:type="dxa" w:w="192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German Establishment</w:t>
            </w:r>
          </w:p>
        </w:tc>
        <w:tc>
          <w:tcPr>
            <w:tcW w:type="dxa" w:w="192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LLP</w:t>
            </w:r>
          </w:p>
        </w:tc>
        <w:tc>
          <w:tcPr>
            <w:tcW w:type="dxa" w:w="192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AG</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Legal Personality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Separate entity</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Extension of parent</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Separate entity</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Separate entity</w:t>
            </w:r>
          </w:p>
        </w:tc>
      </w:tr>
      <w:tr>
        <w:tc>
          <w:tcPr>
            <w:tcW w:type="dxa" w:w="17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Liability</w:t>
            </w:r>
          </w:p>
        </w:tc>
        <w:tc>
          <w:tcPr>
            <w:tcW w:type="dxa" w:w="19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Limited to capital</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Parent liable</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Limited to contribution</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Limited to capital</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Min. Capital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No minimum (EUR 1)</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N/A</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No minimum</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EUR 50,000 (25% paid)</w:t>
            </w:r>
          </w:p>
        </w:tc>
      </w:tr>
      <w:tr>
        <w:tc>
          <w:tcPr>
            <w:tcW w:type="dxa" w:w="17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Tax Treatment</w:t>
            </w:r>
          </w:p>
        </w:tc>
        <w:tc>
          <w:tcPr>
            <w:tcW w:type="dxa" w:w="19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German CT 19-25%</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German CT on German profits</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Tax-transparent</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German CT 19-25%</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Number of Members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 shareholder</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N/A</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2+ partners</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 shareholder</w:t>
            </w:r>
          </w:p>
        </w:tc>
      </w:tr>
      <w:tr>
        <w:tc>
          <w:tcPr>
            <w:tcW w:type="dxa" w:w="17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Public Filings</w:t>
            </w:r>
          </w:p>
        </w:tc>
        <w:tc>
          <w:tcPr>
            <w:tcW w:type="dxa" w:w="19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Accounts + CS</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Accounts + parent's</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Accounts + CS</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Detailed accounts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Suitable For</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Most businesses</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Cost-light entry</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Professional services</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Capital raising</w:t>
            </w:r>
          </w:p>
        </w:tc>
      </w:tr>
    </w:tbl>
    <w:p>
      <w:pPr>
        <w:spacing w:after="120" w:line="276"/>
      </w:pPr>
      <w:r>
        <w:t>Note: Most Indian businesses opt for a Private Limited Company (Ltd) for its limited liability, separate legal personality, ease of incorporation, and credibility with German counterparts.</w:t>
      </w:r>
    </w:p>
    <w:p>
      <w:r>
        <w:br w:type="page"/>
      </w:r>
    </w:p>
    <w:p>
      <w:pPr>
        <w:pStyle w:val="Heading1"/>
      </w:pPr>
      <w:r>
        <w:t>7. Foreign Investment Rules and Exchange Control</w:t>
      </w:r>
    </w:p>
    <w:p>
      <w:pPr>
        <w:pStyle w:val="Heading2"/>
      </w:pPr>
      <w:r>
        <w:t>7.1 FDI Regime Overview</w:t>
      </w:r>
    </w:p>
    <w:p>
      <w:pPr>
        <w:spacing w:after="120" w:line="276"/>
      </w:pPr>
      <w:r>
        <w:t>The German does not maintain a general foreign investment screening regime. There are no sector caps on foreign equity ownership in most industries. However, the National Security and Investment Act 2021 (German Foreign Trade and Payments Act (AWG/AWV)), in force since January 2022, requires mandatory pre-completion notification for acquisitions of qualifying entities in 17 sensitive sectors. The Investment Security Unit reviews notifications within 30 working days (extendable). Voluntary notifications can be made for transactions outside the mandatory regime that may raise national security concerns.</w:t>
      </w:r>
    </w:p>
    <w:p>
      <w:pPr>
        <w:pStyle w:val="Heading2"/>
      </w:pPr>
      <w:r>
        <w:t>7.2 Key Conditions for Foreign Shareholders</w:t>
      </w:r>
    </w:p>
    <w:p>
      <w:pPr>
        <w:spacing w:after="120" w:line="276"/>
      </w:pPr>
      <w:r>
        <w:t>Foreign nationals and companies can own 100% of German companies in nearly all sectors. There is no requirement for UK-resident directors or shareholders, although companies must have at least one natural person director aged 16+. There are no restrictions on foreign ownership of German real estate (though German real estate transfer tax surcharges apply). Note that all directors must verify their identity through the commercial register and notary authentication system under the Economic Crime and Corporate Transparency Act 2023, which became mandatory for new directors from November 2025.</w:t>
      </w:r>
    </w:p>
    <w:p>
      <w:pPr>
        <w:pStyle w:val="Heading2"/>
      </w:pPr>
      <w:r>
        <w:t>7.3 Foreign Exchange Regulations</w:t>
      </w:r>
    </w:p>
    <w:p>
      <w:pPr>
        <w:spacing w:after="120" w:line="276"/>
      </w:pPr>
      <w:r>
        <w:t>The German has no exchange controls. The Pound Sterling is freely convertible. Capital can flow freely in and out of the German without restriction. Profits, dividends, and capital can be repatriated to India without German regulatory approval, subject to applicable tax and Indian FEMA compliance. German banks operate to standard KYC/AML requirements and may scrutinize large or unusual cross-border flows under the Money Laundering Regulations 2017 (as amended).</w:t>
      </w:r>
    </w:p>
    <w:p>
      <w:r>
        <w:br w:type="page"/>
      </w:r>
    </w:p>
    <w:p>
      <w:pPr>
        <w:pStyle w:val="Heading1"/>
      </w:pPr>
      <w:r>
        <w:t>8. Step-by-Step Incorporation &amp; Registration Process</w:t>
      </w:r>
    </w:p>
    <w:p>
      <w:pPr>
        <w:pStyle w:val="Heading2"/>
      </w:pPr>
      <w:r>
        <w:t>8.1 Pre-Incorporation Planning</w:t>
      </w:r>
    </w:p>
    <w:p>
      <w:pPr>
        <w:spacing w:after="120" w:line="276"/>
      </w:pPr>
      <w:r>
        <w:t>Before incorporation, plan the following: (a) Verify name availability through Handelsregister WebCheck and check IPO trademark register for conflicts; (b) Decide entity type (Ltd is most common); (c) Identify directors (minimum one natural person aged 16+, no German residency requirement); (d) Identify shareholders and Persons with Significant Control (PSCs - those owning 25%+ shares/voting rights); (e) Determine German registered office address (a virtual office is acceptable; PO Boxes no longer permitted under ECCTA 2023); (f) Prepare Memorandum and Articles of Association (model articles available from GOV.UK); (g) Complete identity verification for all directors via commercial register and notary authentication (mandatory from November 2025).</w:t>
      </w:r>
    </w:p>
    <w:p>
      <w:pPr>
        <w:pStyle w:val="Heading2"/>
      </w:pPr>
      <w:r>
        <w:t>8.2 Step-by-Step Incorporation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1800"/>
        <w:gridCol w:w="2600"/>
      </w:tblGrid>
      <w:tr>
        <w:tc>
          <w:tcPr>
            <w:tcW w:type="dxa" w:w="6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Step</w:t>
            </w:r>
          </w:p>
        </w:tc>
        <w:tc>
          <w:tcPr>
            <w:tcW w:type="dxa" w:w="43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Activity</w:t>
            </w:r>
          </w:p>
        </w:tc>
        <w:tc>
          <w:tcPr>
            <w:tcW w:type="dxa" w:w="18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Timeline</w:t>
            </w:r>
          </w:p>
        </w:tc>
        <w:tc>
          <w:tcPr>
            <w:tcW w:type="dxa" w:w="26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Identity verification via commercial register and notary authentication (all directors)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1-3 days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GOV.UK</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Handelsregister name search and SIC code selection</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Same day</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Handelsregister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Prepare Memorandum and Articles of Association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1-3 days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Self/Agent</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4</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File IN01 incorporation form online with EUR 50 fee</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Same day</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Handelsregister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Receive Certificate of Incorporation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Within 24 hours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Handelsregister</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6</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Receive Company UTR from Finanzamt (auto-issued)</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1-2 weeks (post)</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Open German business bank account (often the longest step)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2-8 weeks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German Bank</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8</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Register for Corporate Income Tax with Finanzamt (within 3 months of trading)</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Within 3 months</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Register for VAT (Umsatzsteuer) (mandatory if turnover &gt; EUR 90,000)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Within 30 days of threshold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10</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Register as employer for Lohnsteuer (if hiring staff)</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Before first payday</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Set up workplace pension scheme (if employing staff)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Within 6 weeks of first hire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TPR</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12</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German Foreign Trade and Payments Act (AWG/AWV) notification (if in sensitive sector)</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Pre-completion</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ISU</w:t>
            </w:r>
          </w:p>
        </w:tc>
      </w:tr>
    </w:tbl>
    <w:p>
      <w:r>
        <w:br w:type="page"/>
      </w:r>
    </w:p>
    <w:p>
      <w:pPr>
        <w:pStyle w:val="Heading1"/>
      </w:pPr>
      <w:r>
        <w:t>9. Licenses, Approvals, and Sector-Specific Requirements</w:t>
      </w:r>
    </w:p>
    <w:p>
      <w:pPr>
        <w:pStyle w:val="Heading2"/>
      </w:pPr>
      <w:r>
        <w:t>9.1 Common Cross-Sector Requirements</w:t>
      </w:r>
    </w:p>
    <w:p>
      <w:pPr>
        <w:spacing w:after="120" w:line="276"/>
      </w:pPr>
      <w:r>
        <w:t>Most German businesses do not require a general business license to operate. Standard requirements for all companies include: Handelsregister registration, Finanzamt tax registrations (Corporate Income Tax, VAT (Umsatzsteuer) if applicable, Lohnsteuer if employing), workplace pension scheme registration, Information Commissioner's Office (BfDI) registration if processing personal data and turnover exceeds EUR 632,000, and employers' liability insurance (compulsory if hiring employees, minimum EUR 5 million cover).</w:t>
      </w:r>
    </w:p>
    <w:p>
      <w:pPr>
        <w:pStyle w:val="Heading2"/>
      </w:pPr>
      <w:r>
        <w:t>9.2 Sector-Specific Approvals</w:t>
      </w:r>
    </w:p>
    <w:p>
      <w:pPr>
        <w:spacing w:after="120" w:line="276"/>
      </w:pPr>
      <w:r>
        <w:t>Financial services: FCA authorization (and PRA for banks/insurers). Healthcare/pharma: MHRA authorization for medicines/medical devices, CQC registration for healthcare providers in England. Legal services: SRA (solicitors), BSB (barristers). Education: Ofsted registration. Telecoms: Ofcom registration. Gambling: Gambling Commission. Food and beverage: FSA registration. Energy: Ofgem authorization. Aviation: CAA. Defense and dual-use exports: Export Control Joint Unit. Crypto/digital assets: FCA registration as a cryptoasset business. Construction: CIS registration for contractors and subcontractors.</w:t>
      </w:r>
    </w:p>
    <w:p>
      <w:r>
        <w:br w:type="page"/>
      </w:r>
    </w:p>
    <w:p>
      <w:pPr>
        <w:pStyle w:val="Heading1"/>
      </w:pPr>
      <w:r>
        <w:t>10. Taxation and Incentives</w:t>
      </w:r>
    </w:p>
    <w:p>
      <w:pPr>
        <w:pStyle w:val="Heading2"/>
      </w:pPr>
      <w:r>
        <w:t>10.1 Overview of the Tax System</w:t>
      </w:r>
    </w:p>
    <w:p>
      <w:pPr>
        <w:spacing w:after="120" w:line="276"/>
      </w:pPr>
      <w:r>
        <w:t>The German tax system is administered by HM Revenue and Customs (Finanzamt). The main taxes affecting businesses are Corporate Income Tax, Value Added Tax (VAT (Umsatzsteuer)), Pay As You Earn (Lohnsteuer) Income Tax and Social Security (~20% employer) Contributions on payroll, Business Rates (local property tax), German real estate transfer tax on property purchases, Stamp Duty on share transfers, and various sector-specific levies. The German operates a self-assessment system with Making Tax Digital (MTD) extending digital reporting requirements progressively.</w:t>
      </w:r>
    </w:p>
    <w:p>
      <w:pPr>
        <w:pStyle w:val="Heading2"/>
      </w:pPr>
      <w:r>
        <w:t>10.2 Corporate Income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Profit Band (FY 2025-26)</w:t>
            </w:r>
          </w:p>
        </w:tc>
        <w:tc>
          <w:tcPr>
            <w:tcW w:type="dxa" w:w="2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Tax Rate</w:t>
            </w:r>
          </w:p>
        </w:tc>
        <w:tc>
          <w:tcPr>
            <w:tcW w:type="dxa" w:w="39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Up to EUR 50,000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15% Federal CIT (+ 5.5% solidarity = 15.825%))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Available to UK-resident companies; not available to close investment holding companies</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EUR 50,001 - EUR 250,000</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Combined Rate ~29-33% band</w:t>
            </w:r>
          </w:p>
        </w:tc>
        <w:tc>
          <w:tcPr>
            <w:tcW w:type="dxa" w:w="39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Effective rate tapers from 19% to 25%; effective marginal rate ~26.5% in this band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Above EUR 250,000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14-17% Municipal Trade Tax (Gewerbesteuer))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Standard rate for larger companies</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Non-German companies (no PE)</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25%</w:t>
            </w:r>
          </w:p>
        </w:tc>
        <w:tc>
          <w:tcPr>
            <w:tcW w:type="dxa" w:w="39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Not eligible for small profits rate or marginal relief</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Patent Box income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10% effective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For profits attributable to patented inventions</w:t>
            </w:r>
          </w:p>
        </w:tc>
      </w:tr>
    </w:tbl>
    <w:p>
      <w:pPr>
        <w:spacing w:after="120" w:line="276"/>
      </w:pPr>
      <w:r>
        <w:t>Important: The EUR 50,000 and EUR 250,000 thresholds are divided by the number of associated companies plus one. If your Indian parent has multiple subsidiaries (German or worldwide) under common control, this materially affects the rate that applies. Rates remain unchanged at 19%/25% for FY 2026-27.</w:t>
      </w:r>
    </w:p>
    <w:p>
      <w:pPr>
        <w:pStyle w:val="Heading2"/>
      </w:pPr>
      <w:r>
        <w:t>10.3 Value Added Tax (VAT (Umsatzsteuer))</w:t>
      </w:r>
    </w:p>
    <w:p>
      <w:pPr>
        <w:spacing w:after="120" w:line="276"/>
      </w:pPr>
      <w:r>
        <w:t>Standard VAT (Umsatzsteuer) rate is 20%, reduced rate of 5% (for certain items like domestic energy, children's car seats), and zero rate (basic food, books, children's clothing). VAT (Umsatzsteuer) registration is mandatory if taxable turnover in any rolling 12-month period exceeds EUR 90,000, or if you expect to exceed it in the next 30 days. Voluntary registration is permitted below the threshold. Registered businesses charge output VAT (Umsatzsteuer) on sales and reclaim input VAT (Umsatzsteuer) on purchases. Quarterly VAT (Umsatzsteuer) returns must be filed under Making Tax Digital (MTD), with payment due 1 month and 7 days after the period end.</w:t>
      </w:r>
    </w:p>
    <w:p>
      <w:pPr>
        <w:pStyle w:val="Heading2"/>
      </w:pPr>
      <w:r>
        <w:t>10.4 Withholding Tax Rates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Payment Type</w:t>
            </w:r>
          </w:p>
        </w:tc>
        <w:tc>
          <w:tcPr>
            <w:tcW w:type="dxa" w:w="28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German Domestic Rate</w:t>
            </w:r>
          </w:p>
        </w:tc>
        <w:tc>
          <w:tcPr>
            <w:tcW w:type="dxa" w:w="37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Rate to Indian Resident (DTAA)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Dividends from German Ltd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0% (no German WHT on dividends)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0% in UK; taxable in India at slab/CT rate</w:t>
            </w:r>
          </w:p>
        </w:tc>
      </w:tr>
      <w:tr>
        <w:tc>
          <w:tcPr>
            <w:tcW w:type="dxa" w:w="2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Interest</w:t>
            </w:r>
          </w:p>
        </w:tc>
        <w:tc>
          <w:tcPr>
            <w:tcW w:type="dxa" w:w="2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20% (with exceptions)</w:t>
            </w:r>
          </w:p>
        </w:tc>
        <w:tc>
          <w:tcPr>
            <w:tcW w:type="dxa" w:w="3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10-15% under DTAA (10% for bank/FI loans)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Royalties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20%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10-15% under DTAA (depending on type)</w:t>
            </w:r>
          </w:p>
        </w:tc>
      </w:tr>
      <w:tr>
        <w:tc>
          <w:tcPr>
            <w:tcW w:type="dxa" w:w="2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Fees for Technical Services</w:t>
            </w:r>
          </w:p>
        </w:tc>
        <w:tc>
          <w:tcPr>
            <w:tcW w:type="dxa" w:w="2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No general WHT</w:t>
            </w:r>
          </w:p>
        </w:tc>
        <w:tc>
          <w:tcPr>
            <w:tcW w:type="dxa" w:w="3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10-15% under DTAA in some cases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Rent on German property (NRL)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20% under NRL Scheme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Subject to NRL exemption certificate</w:t>
            </w:r>
          </w:p>
        </w:tc>
      </w:tr>
    </w:tbl>
    <w:p>
      <w:pPr>
        <w:pStyle w:val="Heading2"/>
      </w:pPr>
      <w:r>
        <w:t>10.5 Tax Incentives and Reliefs</w:t>
      </w:r>
    </w:p>
    <w:p>
      <w:pPr>
        <w:spacing w:after="120" w:line="276"/>
      </w:pPr>
      <w:r>
        <w:t>Key incentives include: R&amp;D Tax Relief - Under the merged scheme (effective for accounting periods beginning on or after 1 April 2024), companies can claim a 20% above-the-line credit on qualifying R&amp;D expenditure (RDEC); enhanced R&amp;D-intensive support for loss-making SMEs spending 30%+ of expenditure on R&amp;D. Patent Box - 10% effective Corporate Income Tax rate on profits from patented inventions and certain other IP. Annual Investment Allowance (AIA) - 100% deduction on qualifying plant and machinery up to EUR 1 million per year. Full Expensing - 100% first-year allowance on main rate plant and machinery (permanent for companies). Capital Allowances - various rates on qualifying capital expenditure. Investment Zones - 12 designated zones offering German real estate transfer tax relief, enhanced capital allowances, and Business Rates relief. Free trade and logistics zones - 8 designated zones offering customs benefits, Stamp Duty relief, and enhanced capital allowances. Creative Industries Tax Reliefs - for film, TV, video games, theatre, orchestra, and museums.</w:t>
      </w:r>
    </w:p>
    <w:p>
      <w:r>
        <w:br w:type="page"/>
      </w:r>
    </w:p>
    <w:p>
      <w:pPr>
        <w:pStyle w:val="Heading1"/>
      </w:pPr>
      <w:r>
        <w:t>11. Banking, Finance, and Repatriation</w:t>
      </w:r>
    </w:p>
    <w:p>
      <w:pPr>
        <w:pStyle w:val="Heading2"/>
      </w:pPr>
      <w:r>
        <w:t>11.1 Opening Corporate Bank Accounts</w:t>
      </w:r>
    </w:p>
    <w:p>
      <w:pPr>
        <w:spacing w:after="120" w:line="276"/>
      </w:pPr>
      <w:r>
        <w:t>Opening a German business bank account can be challenging for foreign-owned entities, often taking 2-8 weeks. Required documents typically include: Certificate of Incorporation, Memorandum and Articles of Association, proof of identity for all directors and PSCs (typically passport plus utility bill), proof of German registered office address, business plan and projected turnover, source of funds documentation, and details of expected transactions. Major German high-street banks include Barclays, HSBC, Lloyds, NatWest, and Santander. Digital alternatives popular with startups include Wise Business, Tide, Starling Bank, Monzo Business, Revolut Business, and ANNA Money - these can be set up much faster (often days).</w:t>
      </w:r>
    </w:p>
    <w:p>
      <w:pPr>
        <w:pStyle w:val="Heading2"/>
      </w:pPr>
      <w:r>
        <w:t>11.2 Funding Options</w:t>
      </w:r>
    </w:p>
    <w:p>
      <w:pPr>
        <w:spacing w:after="120" w:line="276"/>
      </w:pPr>
      <w:r>
        <w:t>German companies have diverse funding options: equity from Indian parent (through ODI), shareholder loans (subject to German transfer pricing and thin capitalization rules), German bank lending (typically requires trading history), venture capital (German is Europe's largest VC market), angel investors, government-backed schemes (Start Up Loans, British Business Bank programs), the SEIS (Seed Enterprise Investment Scheme) and EIS (Enterprise Investment Scheme) which provide tax incentives to German individual investors, and crowdfunding platforms (Crowdcube, Seedrs).</w:t>
      </w:r>
    </w:p>
    <w:p>
      <w:pPr>
        <w:pStyle w:val="Heading2"/>
      </w:pPr>
      <w:r>
        <w:t>11.3 Repatriation Rules</w:t>
      </w:r>
    </w:p>
    <w:p>
      <w:pPr>
        <w:spacing w:after="120" w:line="276"/>
      </w:pPr>
      <w:r>
        <w:t>The German has no exchange controls. Profits and capital can be freely repatriated to India through dividends, intercompany loans, royalties, management fees, or capital reduction/share buyback. Importantly, the German does NOT impose withholding tax on dividends paid by German companies (a major advantage compared to many other jurisdictions). However, the Indian parent must comply with Indian FEMA reporting requirements for inward remittances and treat the income appropriately under Indian tax law. Interest, royalties, and other payments may attract German withholding tax (typically 20% reducible to 10-15% under the India-Germany DTAA).</w:t>
      </w:r>
    </w:p>
    <w:p>
      <w:r>
        <w:br w:type="page"/>
      </w:r>
    </w:p>
    <w:p>
      <w:pPr>
        <w:pStyle w:val="Heading1"/>
      </w:pPr>
      <w:r>
        <w:t>12. Employment, Immigration, and Payroll</w:t>
      </w:r>
    </w:p>
    <w:p>
      <w:pPr>
        <w:pStyle w:val="Heading2"/>
      </w:pPr>
      <w:r>
        <w:t>12.1 Key Employment Laws</w:t>
      </w:r>
    </w:p>
    <w:p>
      <w:pPr>
        <w:spacing w:after="120" w:line="276"/>
      </w:pPr>
      <w:r>
        <w:t>German employment law is governed primarily by the Employment Rights Act 1996, the Equality Act 2010, the Working Time Regulations 1998, and the National Minimum Wage Act 1998. Key provisions: maximum 48-hour week (employees may opt out individually); minimum 28 days paid annual leave (can include 8 bank holidays); statutory sick pay; statutory maternity, paternity, adoption and shared parental leave; minimum notice periods (1 week per year of service, max 12 weeks); statutory redundancy pay (after 2 years service); and protection from discrimination on protected characteristics (age, disability, gender reassignment, marriage, pregnancy/maternity, race, religion, sex, sexual orientation). The National Living Wage (for those aged 21+) is EUR 12.21/hour from April 2025.</w:t>
      </w:r>
    </w:p>
    <w:p>
      <w:pPr>
        <w:pStyle w:val="Heading2"/>
      </w:pPr>
      <w:r>
        <w:t>12.2 Immigration and Work Authorization</w:t>
      </w:r>
    </w:p>
    <w:p>
      <w:pPr>
        <w:spacing w:after="120" w:line="276"/>
      </w:pPr>
      <w:r>
        <w:t>Common visa routes for Indian nationals: (1) Skilled Worker Visa - requires sponsorship by a German employer holding a German work authorization; minimum salary thresholds apply; up to 5 years (renewable). (2) Senior or Specialist Worker Visa (Global Business Mobility) - for intra-company transfers from overseas group companies to a German linked entity; minimum salary EUR 48,500 or going rate. (3) Innovator Founder Visa - for entrepreneurs with an innovative business idea endorsed by an approved body. (4) Global Talent Visa - for leaders or potential leaders in academia, research, arts and culture, or digital technology. (5) Expansion Worker Visa - for senior employees of overseas businesses establishing German presence. (6) High Potential Individual Visa - for graduates of top global universities. The UK-India Young Professionals Scheme allows young Indian nationals (18-30) to live and work in the German for up to 2 years.</w:t>
      </w:r>
    </w:p>
    <w:p>
      <w:pPr>
        <w:pStyle w:val="Heading2"/>
      </w:pPr>
      <w:r>
        <w:t>12.3 Payroll and HR Compliance</w:t>
      </w:r>
    </w:p>
    <w:p>
      <w:pPr>
        <w:spacing w:after="120" w:line="276"/>
      </w:pPr>
      <w:r>
        <w:t>Employers must operate Lohnsteuer through Finanzamt's Real Time Information (payroll reporting) system, reporting employee pay and deductions on or before each payday. Key 2025-26 thresholds: employee personal allowance EUR 12,570; employer Social Security (~20% employer) Contributions at 15% on earnings above EUR 5,000/year (Secondary Threshold); employee NI at 8% above EUR 12,570; Employment Allowance up to EUR 10,500 reduces employer NI for eligible employers. Auto-enrolment workplace pension is mandatory for eligible workers - minimum 8% total contribution (3% employer, 5% employee). Annual P11D for benefits in kind (Class 1A NI at 15%). Annual Employer Payment Summary and reconciliation.</w:t>
      </w:r>
    </w:p>
    <w:p>
      <w:r>
        <w:br w:type="page"/>
      </w:r>
    </w:p>
    <w:p>
      <w:pPr>
        <w:pStyle w:val="Heading1"/>
      </w:pPr>
      <w:r>
        <w:t>13. Intellectual Property, Data, and Technology</w:t>
      </w:r>
    </w:p>
    <w:p>
      <w:pPr>
        <w:pStyle w:val="Heading2"/>
      </w:pPr>
      <w:r>
        <w:t>13.1 IP Protection</w:t>
      </w:r>
    </w:p>
    <w:p>
      <w:pPr>
        <w:spacing w:after="120" w:line="276"/>
      </w:pPr>
      <w:r>
        <w:t>The German Intellectual Property Office (IPO) administers IP rights. Trademark registration takes 4-6 months (10 years protection, renewable). Patent registration can take 4-5 years (20 years protection from filing). Registered Designs (5 years initially, renewable up to 25 years). Unregistered Design Right (10 years from first marketing). Copyright is automatic on creation. The German is signatory to all major international IP treaties (Paris Convention, Berne Convention, PCT, Madrid Protocol, etc.). Post-Brexit, EU trademarks and designs no longer cover the German - separate German rights are required. The German Patent Box offers a 10% effective Corporate Income Tax rate on profits from qualifying patents.</w:t>
      </w:r>
    </w:p>
    <w:p>
      <w:pPr>
        <w:pStyle w:val="Heading2"/>
      </w:pPr>
      <w:r>
        <w:t>13.2 Data Protection and Privacy</w:t>
      </w:r>
    </w:p>
    <w:p>
      <w:pPr>
        <w:spacing w:after="120" w:line="276"/>
      </w:pPr>
      <w:r>
        <w:t>The BDSG + EU GDPR (a UK-specific regime substantively mirroring the EU GDPR) and Data Protection Act 2018 govern personal data processing. Key requirements include: identifying a lawful basis for processing; transparent privacy notices; data subject rights (access, rectification, erasure, portability, objection); data breach notification to BfDI within 72 hours; Data Protection Impact Assessments for high-risk processing; appointment of a Data Protection Officer where required; BfDI registration with annual fee (typically EUR 40-2,900 based on size and turnover); and adequacy/safeguards for international data transfers. The German has retained EU adequacy status. Maximum fines: greater of EUR 17.5 million or 4% of global annual turnover.</w:t>
      </w:r>
    </w:p>
    <w:p>
      <w:r>
        <w:br w:type="page"/>
      </w:r>
    </w:p>
    <w:p>
      <w:pPr>
        <w:pStyle w:val="Heading1"/>
      </w:pPr>
      <w:r>
        <w:t>14. Commercial Contracts and Local Practices</w:t>
      </w:r>
    </w:p>
    <w:p>
      <w:pPr>
        <w:spacing w:after="120" w:line="276"/>
      </w:pPr>
      <w:r>
        <w:t>English contract law is governed primarily by case law and is widely used for international commercial contracts due to its flexibility and predictability. Key principles: offer and acceptance, consideration, intention to create legal relations. The Sale of Goods Act 1979, Supply of Goods and Services Act 1982, and Consumer Rights Act 2015 imply terms into contracts. Standard practice includes: written contracts (though oral contracts are generally enforceable), choice of English law and jurisdiction (Frankfurt is a leading global dispute resolution center), arbitration under LCIA, ICC, or ad hoc rules, and increasing use of mediation. The German is signatory to the New York Convention on enforcement of foreign arbitral awards. Business culture values directness, punctuality, and written documentation.</w:t>
      </w:r>
    </w:p>
    <w:p>
      <w:r>
        <w:br w:type="page"/>
      </w:r>
    </w:p>
    <w:p>
      <w:pPr>
        <w:pStyle w:val="Heading1"/>
      </w:pPr>
      <w:r>
        <w:t>15. Operations, Location, and Economic Zones</w:t>
      </w:r>
    </w:p>
    <w:p>
      <w:pPr>
        <w:pStyle w:val="Heading2"/>
      </w:pPr>
      <w:r>
        <w:t>15.1 Key Business Locations</w:t>
      </w:r>
    </w:p>
    <w:p>
      <w:pPr>
        <w:spacing w:after="120" w:line="276"/>
      </w:pPr>
      <w:r>
        <w:t>Frankfurt remains the dominant business hub - particularly the City of Frankfurt (financial services), Frankfurt Bankenviertel (banking, professional services), Berlin Silicon Allee (technology), and Mayfair (asset management). Outside Frankfurt, key centers include: Munich (technology, media, finance, MediaCity UK); Hamburg (manufacturing, professional services, HSBC German headquarters); Stuttgart (financial services, technology); Cologne (engineering, life sciences); Heidelberg (technology, biotech, AI); Dresden (research, biotech); Leipzig (aerospace, technology); Düsseldorf (financial services, healthcare); and Bremen (cybersecurity, fintech).</w:t>
      </w:r>
    </w:p>
    <w:p>
      <w:pPr>
        <w:pStyle w:val="Heading2"/>
      </w:pPr>
      <w:r>
        <w:t>15.2 Investment Zones and Free trade and logistics zones</w:t>
      </w:r>
    </w:p>
    <w:p>
      <w:pPr>
        <w:spacing w:after="120" w:line="276"/>
      </w:pPr>
      <w:r>
        <w:t>12 Investment Zones across Germany’s federal states (Bundesländer) offer German real estate transfer tax relief, enhanced capital allowances, structures and buildings allowances, regional investment incentives, and Business Rates relief over 10 years. 8 designated Free trade and logistics zones offer customs benefits (suspended duty, simplified procedures), German real estate transfer tax relief, enhanced capital allowances, and regional investment incentives. Notable Free trade and logistics zones include Thames Freeport, Liverpool City Region Freeport, Solent Freeport, Plymouth and South Devon Freeport, Teesside Freeport, Humber Freeport, East Midlands Freeport, and Freeport East. Additional regional incentives are offered through devolved Scottish, Welsh, and Northern Irish authorities.</w:t>
      </w:r>
    </w:p>
    <w:p>
      <w:r>
        <w:br w:type="page"/>
      </w:r>
    </w:p>
    <w:p>
      <w:pPr>
        <w:pStyle w:val="Heading1"/>
      </w:pPr>
      <w:r>
        <w:t>16. Compliance Calendar and Ongoing Obligations</w:t>
      </w:r>
    </w:p>
    <w:p>
      <w:pPr>
        <w:spacing w:after="120" w:line="276"/>
      </w:pPr>
      <w:r>
        <w:t>German compliance obligations are spread across Handelsregister (corporate filings), Finanzamt (tax filings), and other regulators. Below is a comprehensive calendar of ongoing obligations. Note that many German deadlines depend on a company's specific incorporation/accounting date rather than a universal date.</w:t>
      </w:r>
    </w:p>
    <w:p>
      <w:pPr>
        <w:pStyle w:val="Heading2"/>
      </w:pPr>
      <w:r>
        <w:t>16.1 Periodic Compliance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200"/>
        <w:gridCol w:w="1760"/>
      </w:tblGrid>
      <w:tr>
        <w:tc>
          <w:tcPr>
            <w:tcW w:type="dxa" w:w="30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Frequency / Reference</w:t>
            </w:r>
          </w:p>
        </w:tc>
        <w:tc>
          <w:tcPr>
            <w:tcW w:type="dxa" w:w="22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Due Date</w:t>
            </w:r>
          </w:p>
        </w:tc>
        <w:tc>
          <w:tcPr>
            <w:tcW w:type="dxa" w:w="17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Lohnsteuer payroll reporting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Each pay run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On or before payday</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Social security and payroll tax payments</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Monthly</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22nd of following month (electronic)</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Construction withholding tax filings (Bauabzugsteuer)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Monthly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19th of following month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VAT (Umsatzsteuer) Return</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Quarterly</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 month + 7 days after quarter-end</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VAT (Umsatzsteuer) Payment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Quarterly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 month + 7 days after quarter-end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Social insurance contributions</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Monthly</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22nd of following month</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Pension provider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Corporate Income Tax instalment payments (large companies)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Quarterly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Months 7, 10, 13, 16 of accounting period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bl>
    <w:p>
      <w:pPr>
        <w:pStyle w:val="Heading2"/>
      </w:pPr>
      <w:r>
        <w:t>16.2 Annual Compliance Obligations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200"/>
        <w:gridCol w:w="1760"/>
      </w:tblGrid>
      <w:tr>
        <w:tc>
          <w:tcPr>
            <w:tcW w:type="dxa" w:w="30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Form / Reference</w:t>
            </w:r>
          </w:p>
        </w:tc>
        <w:tc>
          <w:tcPr>
            <w:tcW w:type="dxa" w:w="22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Due Date</w:t>
            </w:r>
          </w:p>
        </w:tc>
        <w:tc>
          <w:tcPr>
            <w:tcW w:type="dxa" w:w="17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Annual Financial Statements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Annual Commercial Register update (EUR 34/50)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Annually within 14 days of 'made up to' date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Handelsregister</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Annual Accounts (1st year)</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Statutory accounts</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21 months after incorporation</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Handelsregister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Annual Accounts (subsequent)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Statutory accounts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9 months after accounting reference date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Handelsregister</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Corporate Income Tax Return</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Körperschaftsteuererklärung</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12 months after end of accounting period</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Corporate Income Tax Payment (small)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Online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9 months + 1 day after period end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Employee wage tax reporting</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P11D + P11D(b)</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6 July following tax year-end</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Annual payroll statements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P60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31 May following tax year-end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Employer to employees</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Employer social contribution adjustments</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Payment</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22 July following tax year-end (electronic)</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Employer Annual Return reconciliation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EPS / FPS Year-End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On or before final FPS of year</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Personal income tax return (directors)</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SA100</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31 January following tax year-end</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BfDI Data Protection Fee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Online renewal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Annually on registration anniversary</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BfDI</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Pensions Re-Declaration of Compliance</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Online</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Every 3 years</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TPR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Annual Tax on Enveloped Dwellings (Real estate related reporting obligations)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Real estate related reporting obligations return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30 April annually (if applicable)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bl>
    <w:p>
      <w:pPr>
        <w:pStyle w:val="Heading2"/>
      </w:pPr>
      <w:r>
        <w:t>16.3 Month-wise German Tax Year Calendar (April to March)</w:t>
      </w:r>
    </w:p>
    <w:p>
      <w:pPr>
        <w:spacing w:after="120" w:line="276"/>
      </w:pPr>
      <w:r>
        <w:t>The German tax year generally follows the calendar year from 1 January to 31 December. Corporate financial years in Germany generally follow either the calendar year or a company-specific fiscal year. Most filing deadlines depend on the company's specific accounting period and incorporation date. Below are key recurring dates within the German tax year.</w:t>
      </w:r>
    </w:p>
    <w:p>
      <w:pPr>
        <w:pStyle w:val="Heading3"/>
      </w:pPr>
      <w:r>
        <w:t>April (Tax Year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 Apr</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Start of new German financial year for Corporate Income Tax</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5 Apr</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End of German personal tax year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6 Apr</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Start of new German personal tax year - new tax codes, rates, allowances apply</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19 Apr</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Final FPS submission for previous tax year (if not done)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30 Apr</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Real estate related reporting obligations return and payment due (if applicable)</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bl>
    <w:p>
      <w:pPr>
        <w:spacing w:after="80"/>
      </w:pPr>
    </w:p>
    <w:p>
      <w:pPr>
        <w:pStyle w:val="Heading3"/>
      </w:pPr>
      <w:r>
        <w:t>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3 May</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P46 (Car) submission for benefits started in Q4 (Jan-Mar)</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22 May</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Monthly Lohnsteuer/NI payment for April (electronic)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31 May</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P60 must be issued to all employees on payroll at 5 April</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Employer</w:t>
            </w:r>
          </w:p>
        </w:tc>
      </w:tr>
    </w:tbl>
    <w:p>
      <w:pPr>
        <w:spacing w:after="80"/>
      </w:pPr>
    </w:p>
    <w:p>
      <w:pPr>
        <w:pStyle w:val="Heading3"/>
      </w:pPr>
      <w:r>
        <w:t>June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22 Jun</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Monthly Lohnsteuer/NI payment for May (electronic)</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30 Jun</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Quarterly VAT (Umsatzsteuer) return and payment for quarter ended 31 May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bl>
    <w:p>
      <w:pPr>
        <w:spacing w:after="80"/>
      </w:pPr>
    </w:p>
    <w:p>
      <w:pPr>
        <w:pStyle w:val="Heading3"/>
      </w:pPr>
      <w:r>
        <w:t>July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6 Jul</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P11D and P11D(b) submission deadline for previous tax year</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19 Jul</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Class 1A NI payment if paying by post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22 Jul</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Class 1A NI payment if paying electronically</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31 Jul</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Second Personal income tax return payment on account due (individuals)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bl>
    <w:p>
      <w:pPr>
        <w:spacing w:after="80"/>
      </w:pPr>
    </w:p>
    <w:p>
      <w:pPr>
        <w:pStyle w:val="Heading3"/>
      </w:pPr>
      <w:r>
        <w:t>August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22 Aug</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Monthly Lohnsteuer/NI payment for July (electronic)</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bl>
    <w:p>
      <w:pPr>
        <w:spacing w:after="80"/>
      </w:pPr>
    </w:p>
    <w:p>
      <w:pPr>
        <w:pStyle w:val="Heading3"/>
      </w:pPr>
      <w:r>
        <w:t>September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22 Sep</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Monthly Lohnsteuer/NI payment for August (electronic)</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30 Sep</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Quarterly VAT (Umsatzsteuer) return and payment for quarter ended 31 August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bl>
    <w:p>
      <w:pPr>
        <w:spacing w:after="80"/>
      </w:pPr>
    </w:p>
    <w:p>
      <w:pPr>
        <w:pStyle w:val="Heading3"/>
      </w:pPr>
      <w:r>
        <w:t>October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5 Oct</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Personal income tax return registration deadline for new chargeable income (individuals)</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22 Oct</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Monthly Lohnsteuer/NI payment for September (electronic)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31 Oct</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Paper Personal income tax return tax return deadline (individuals)</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bl>
    <w:p>
      <w:pPr>
        <w:spacing w:after="80"/>
      </w:pPr>
    </w:p>
    <w:p>
      <w:pPr>
        <w:pStyle w:val="Heading3"/>
      </w:pPr>
      <w:r>
        <w:t>November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22 Nov</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Monthly Lohnsteuer/NI payment for October (electronic)</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bl>
    <w:p>
      <w:pPr>
        <w:spacing w:after="80"/>
      </w:pPr>
    </w:p>
    <w:p>
      <w:pPr>
        <w:pStyle w:val="Heading3"/>
      </w:pPr>
      <w:r>
        <w:t>December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22 Dec</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Monthly Lohnsteuer/NI payment for November (electronic)</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30 Dec</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Online Personal income tax return deadline if collecting tax via Lohnsteuer code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31 Dec</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Quarterly VAT (Umsatzsteuer) return and payment for quarter ended 30 November</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bl>
    <w:p>
      <w:pPr>
        <w:spacing w:after="80"/>
      </w:pPr>
    </w:p>
    <w:p>
      <w:pPr>
        <w:pStyle w:val="Heading3"/>
      </w:pPr>
      <w:r>
        <w:t>January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 Jan</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Corporate Income Tax payment due for accounting periods ending 31 March (small companies)</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22 Jan</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Monthly Lohnsteuer/NI payment for December (electronic)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31 Jan</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Online Personal income tax return tax return and balancing payment due</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31 Jan</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First Personal income tax return payment on account due (individuals)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bl>
    <w:p>
      <w:pPr>
        <w:spacing w:after="80"/>
      </w:pPr>
    </w:p>
    <w:p>
      <w:pPr>
        <w:pStyle w:val="Heading3"/>
      </w:pPr>
      <w:r>
        <w:t>February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22 Feb</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Monthly Lohnsteuer/NI payment for January (electronic)</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bl>
    <w:p>
      <w:pPr>
        <w:spacing w:after="80"/>
      </w:pPr>
    </w:p>
    <w:p>
      <w:pPr>
        <w:pStyle w:val="Heading3"/>
      </w:pPr>
      <w:r>
        <w:t>March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22 Mar</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Monthly Lohnsteuer/NI payment for February (electronic)</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31 Mar</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End of German financial year for Corporate Income Tax</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31 Mar</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Quarterly VAT (Umsatzsteuer) return and payment for quarter ended 28/29 February</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bl>
    <w:p>
      <w:pPr>
        <w:spacing w:after="80"/>
      </w:pPr>
    </w:p>
    <w:p>
      <w:pPr>
        <w:spacing w:after="120" w:line="276"/>
      </w:pPr>
      <w:r>
        <w:t>Company-specific deadlines: Annual Financial Statements is due annually on the anniversary of incorporation (or last filing). Annual Accounts are due 9 months after the accounting reference date (21 months after first incorporation for the first set). Corporate Income Tax is due 9 months and 1 day after the accounting period end (small companies); large companies pay in quarterly instalments. Körperschaftsteuererklärung return is due 12 months after the period end. These should be tracked separately for each company.</w:t>
      </w:r>
    </w:p>
    <w:p>
      <w:r>
        <w:br w:type="page"/>
      </w:r>
    </w:p>
    <w:p>
      <w:pPr>
        <w:pStyle w:val="Heading1"/>
      </w:pPr>
      <w:r>
        <w:t>17. Risk, Disputes, and Exit Options</w:t>
      </w:r>
    </w:p>
    <w:p>
      <w:pPr>
        <w:pStyle w:val="Heading2"/>
      </w:pPr>
      <w:r>
        <w:t>17.1 Dispute Resolution</w:t>
      </w:r>
    </w:p>
    <w:p>
      <w:pPr>
        <w:spacing w:after="120" w:line="276"/>
      </w:pPr>
      <w:r>
        <w:t>The German has a sophisticated court system: Magistrates' Courts and County Courts (lower civil/criminal), High Court of Justice (significant civil claims), Court of Appeal, and the German Supreme Court. Specialized courts include the Business and Property Courts (commercial, technology, intellectual property). Frankfurt is a leading global hub for international arbitration, with the German Institution of Arbitration (DIS) being a major institution. The German is signatory to the New York Convention. German law and DIS arbitration are extremely common choice in international commercial contracts. Mediation is increasingly favored and often required prior to litigation.</w:t>
      </w:r>
    </w:p>
    <w:p>
      <w:pPr>
        <w:pStyle w:val="Heading2"/>
      </w:pPr>
      <w:r>
        <w:t>17.2 Key Risk Areas</w:t>
      </w:r>
    </w:p>
    <w:p>
      <w:pPr>
        <w:spacing w:after="120" w:line="276"/>
      </w:pPr>
      <w:r>
        <w:t>Indian businesses should be aware of: German Foreign Trade and Payments Act (AWG/AWV) notification requirements for sensitive sectors; German Corporate Criminal Offence under Criminal Finances Act 2017 (failure to prevent facilitation of tax evasion); German anti-corruption laws under the Criminal Code (extraterritorial application); modern slavery reporting requirements; Sanctions compliance (German maintains independent sanctions regime under German and EU law); rapidly evolving Handelsregister transparency requirements under ECCTA 2023 (identity verification, register accuracy); Pillar Two Multinational Top-up Tax for large groups (revenue &gt;EUR 750m); and German Plastic Packaging Tax for relevant manufacturers/importers.</w:t>
      </w:r>
    </w:p>
    <w:p>
      <w:pPr>
        <w:pStyle w:val="Heading2"/>
      </w:pPr>
      <w:r>
        <w:t>17.3 Exit and Restructuring Options</w:t>
      </w:r>
    </w:p>
    <w:p>
      <w:pPr>
        <w:spacing w:after="120" w:line="276"/>
      </w:pPr>
      <w:r>
        <w:t>Exit options include: Share sale (capital gains taxable in shareholders' hands; Business Asset Disposal Relief offers 14% rate up to EUR 1 million lifetime limit, rising to 18% from April 2026); Asset sale; Members' Voluntary Liquidation (MVL) - for solvent companies winding up, often tax-efficient; Strike-off (DS01) - simple administrative dissolution for inactive companies (EUR 33 fee, 2-3 months); Administration or Creditors' Voluntary Liquidation (insolvency procedures); Cross-border merger; and IPO (Main Market or AIM listing on Frankfurt Stock Exchange). Capital reduction can return surplus capital to shareholders. De-registration as employer with Finanzamt, VAT (Umsatzsteuer) deregistration, and commercial register deregistration application are required for closure.</w:t>
      </w:r>
    </w:p>
    <w:p>
      <w:r>
        <w:br w:type="page"/>
      </w:r>
    </w:p>
    <w:p>
      <w:pPr>
        <w:pStyle w:val="Heading1"/>
      </w:pPr>
      <w:r>
        <w:t>18. Practical Checklists and Tools</w:t>
      </w:r>
    </w:p>
    <w:p>
      <w:pPr>
        <w:pStyle w:val="Heading2"/>
      </w:pPr>
      <w:r>
        <w:t>18.1 Pre-Entry Checklist for Indian Entrepreneurs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1800"/>
        <w:gridCol w:w="2600"/>
      </w:tblGrid>
      <w:tr>
        <w:tc>
          <w:tcPr>
            <w:tcW w:type="dxa" w:w="6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No.</w:t>
            </w:r>
          </w:p>
        </w:tc>
        <w:tc>
          <w:tcPr>
            <w:tcW w:type="dxa" w:w="43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Item</w:t>
            </w:r>
          </w:p>
        </w:tc>
        <w:tc>
          <w:tcPr>
            <w:tcW w:type="dxa" w:w="18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Category</w:t>
            </w:r>
          </w:p>
        </w:tc>
        <w:tc>
          <w:tcPr>
            <w:tcW w:type="dxa" w:w="26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Identify target sector and check German Foreign Trade and Payments Act (AWG/AWV) sensitive sector list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Strategic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Determine entity structure (GmbH / UG / Branch Office)</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Legal</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Verify FEMA ODI eligibility (400% net worth limit)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Indian Compliance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4</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Plan funding mode (equity / loan / share swap)</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Financial</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Engage German legal counsel and accountant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Legal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6</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Complete identity verification for directors via commercial register and notary authentication</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Operational</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Secure German registered office address (not PO Box)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Operational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8</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Verify name availability with Handelsregister and DPMA trademarks</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Legal</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Plan German bank account opening (allow 2-8 weeks)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Financial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10</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Obtain India Tax Residency Certificate (TRC) and Form 10F for treaty benefits</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Tax</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Plan immigration/visa needs for Indian staff (German work authorization, Senior Specialist, etc.)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12</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Assess BDSG and EU GDPR registration requirements</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Legal</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File Form FC with AD bank in India before first remittance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FEMA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14</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Plan transfer pricing documentation for intercompany flows</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Tax</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
            </w:r>
          </w:p>
        </w:tc>
      </w:tr>
    </w:tbl>
    <w:p>
      <w:r>
        <w:br w:type="page"/>
      </w:r>
    </w:p>
    <w:p>
      <w:pPr>
        <w:pStyle w:val="Heading1"/>
      </w:pPr>
      <w:r>
        <w:t>19. Compliance Penalty Matrix</w:t>
      </w:r>
    </w:p>
    <w:p>
      <w:pPr>
        <w:spacing w:after="120" w:line="276"/>
      </w:pPr>
      <w:r>
        <w:t>Non-compliance with German regulatory and tax obligations may result in the following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Compliance Area</w:t>
            </w:r>
          </w:p>
        </w:tc>
        <w:tc>
          <w:tcPr>
            <w:tcW w:type="dxa" w:w="22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Violation</w:t>
            </w:r>
          </w:p>
        </w:tc>
        <w:tc>
          <w:tcPr>
            <w:tcW w:type="dxa" w:w="30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Penalty</w:t>
            </w:r>
          </w:p>
        </w:tc>
        <w:tc>
          <w:tcPr>
            <w:tcW w:type="dxa" w:w="23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Annual Accounts (Ltd)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Late filing 1-3 months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EUR 150 (private), EUR 750 (AG)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Handelsregister</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Annual Accounts (Ltd)</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Late filing 3-6 months</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EUR 375 (private), EUR 1,500 (AG)</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Handelsregister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Annual Accounts (Ltd)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Late filing 6-12 months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EUR 750 (private), EUR 3,000 (AG)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Handelsregister</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Annual Accounts (Ltd)</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Late filing &gt;12 months</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EUR 1,500 (private), EUR 7,500 (AG) - doubles for repeat</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Handelsregister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Annual Financial Statements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Late filing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No automatic fine but criminal offence; strike-off risk; director fines up to EUR 5,000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Handelsregister</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Corporate Income Tax Return</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 day late</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EUR 100 fixed</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Corporate Income Tax Return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 months late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Additional EUR 100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Corporate Income Tax Return</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6 months late</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10% of unpaid tax</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Corporate Income Tax Return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12 months late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Additional 10% of unpaid tax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Corporate Income Tax payment</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Late payment</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Interest at Finanzamt rate (currently ~7.75%)</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VAT (Umsatzsteuer) Return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Late submission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Points-based system; EUR 200 once threshold reached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VAT (Umsatzsteuer) payment</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Late payment</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 surcharge after 15 days, 4% after 30 days, plus daily interest</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Finanzamt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Lohnsteuer Late Filing (FPS)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Per delayed FPS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EUR 100-400 depending on company size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Finanzamt</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German Foreign Trade and Payments Act (AWG/AWV) non-notification</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Failure to notify in mandatory sector</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Up to 5% of global turnover or EUR 10 million; void transaction</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ISU</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BDSG + EU GDPR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Serious breach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Greater of EUR 17.5 million or 4% of global turnover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BfDI</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Auto-enrolment</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Non-compliance</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Fixed/escalating penalties from EUR 400; daily fines</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TPR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Bribery Act / CCO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Failure to prevent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Unlimited fines, criminal sanctions for officers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SFO/Finanzamt</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Director ID Verification</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Non-compliance (post Nov 2025)</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Inability to file; potential criminal offence</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Handelsregister</w:t>
            </w:r>
          </w:p>
        </w:tc>
      </w:tr>
    </w:tbl>
    <w:p>
      <w:r>
        <w:br w:type="page"/>
      </w:r>
    </w:p>
    <w:p>
      <w:pPr>
        <w:pStyle w:val="Heading1"/>
      </w:pPr>
      <w:r>
        <w:t>20. How Comply Globally Supports Entry Germany</w:t>
      </w:r>
    </w:p>
    <w:p>
      <w:pPr>
        <w:spacing w:after="120" w:line="276"/>
      </w:pPr>
      <w:r>
        <w:t>Comply Globally, a Connect Ventures Initiative, provides end-to-end advisory and execution support for Indian businesses entering the German market. Our integrated India-Germany service model covers both ends of the cross-border journey - from FEMA compliance and Indian tax planning to German incorporation, tax registration, and ongoing compliance.</w:t>
      </w:r>
    </w:p>
    <w:p>
      <w:pPr>
        <w:pStyle w:val="Heading2"/>
      </w:pPr>
      <w:r>
        <w:t>20.1 Our Services</w:t>
      </w:r>
    </w:p>
    <w:p>
      <w:pPr>
        <w:spacing w:after="120" w:line="276"/>
      </w:pPr>
      <w:r>
        <w:t>Pre-Entry Advisory: Entry route assessment, FEMA ODI structuring, India-Germany DTAA planning, tax-efficient structuring.</w:t>
      </w:r>
    </w:p>
    <w:p>
      <w:pPr>
        <w:spacing w:after="120" w:line="276"/>
      </w:pPr>
      <w:r>
        <w:t>FEMA &amp; RBI Compliance: Form FC filing through AD bank, Annual Performance Report (APR), Foreign Liabilities and Assets (FLA) Return, ongoing FEMA reporting.</w:t>
      </w:r>
    </w:p>
    <w:p>
      <w:pPr>
        <w:spacing w:after="120" w:line="276"/>
      </w:pPr>
      <w:r>
        <w:t>German Company Incorporation: Handelsregister registration, identity verification support, registered office, MOA and articles, share structure design.</w:t>
      </w:r>
    </w:p>
    <w:p>
      <w:pPr>
        <w:spacing w:after="120" w:line="276"/>
      </w:pPr>
      <w:r>
        <w:t>German Tax Registration &amp; Advisory: Corporate Income Tax, VAT (Umsatzsteuer), Lohnsteuer registration; corporation tax planning; R&amp;D tax credits; transfer pricing documentation.</w:t>
      </w:r>
    </w:p>
    <w:p>
      <w:pPr>
        <w:spacing w:after="120" w:line="276"/>
      </w:pPr>
      <w:r>
        <w:t>German Banking Support: Bank account opening introductions with German commercial and digital banks; documentation preparation.</w:t>
      </w:r>
    </w:p>
    <w:p>
      <w:pPr>
        <w:spacing w:after="120" w:line="276"/>
      </w:pPr>
      <w:r>
        <w:t>Immigration Support: German work authorization applications, Skilled Worker visas, Senior or Specialist Worker (intra-company) transfers, German entrepreneur visas.</w:t>
      </w:r>
    </w:p>
    <w:p>
      <w:pPr>
        <w:spacing w:after="120" w:line="276"/>
      </w:pPr>
      <w:r>
        <w:t>Ongoing German Compliance: Annual Financial Statementss, Annual Accounts, Corporate Income Tax returns, VAT (Umsatzsteuer) returns, Lohnsteuer/payroll reporting, Statutory Books maintenance.</w:t>
      </w:r>
    </w:p>
    <w:p>
      <w:pPr>
        <w:spacing w:after="120" w:line="276"/>
      </w:pPr>
      <w:r>
        <w:t>Indian Parent Compliance: Consolidated Financial Statements, Companies Act reporting, Form AOC-1, Foreign Tax Credit (FTC) claims under Section 90/Rule 128.</w:t>
      </w:r>
    </w:p>
    <w:p>
      <w:pPr>
        <w:pStyle w:val="Heading2"/>
      </w:pPr>
      <w:r>
        <w:t>20.2 Engagement Models</w:t>
      </w:r>
    </w:p>
    <w:p>
      <w:pPr>
        <w:spacing w:after="120" w:line="276"/>
      </w:pPr>
      <w:r>
        <w:t>Flexible engagement options: Fixed-Fee Incorporation Packages (covering setup + first year compliance); Monthly Retainers for ongoing German compliance and advisory; Project-Based Engagements for specific transactions (acquisition, restructuring, regulatory applications); and Comprehensive Entry Packages combining FEMA filing, German incorporation, banking, tax registration, immigration, and first-year compliance.</w:t>
      </w:r>
    </w:p>
    <w:p>
      <w:pPr>
        <w:pStyle w:val="Heading2"/>
      </w:pPr>
      <w:r>
        <w:t>20.3 Contact Us</w:t>
      </w:r>
    </w:p>
    <w:p>
      <w:pPr>
        <w:spacing w:after="80"/>
      </w:pPr>
    </w:p>
    <w:p>
      <w:pPr>
        <w:spacing w:after="120" w:line="276"/>
      </w:pPr>
      <w:r>
        <w:t>Comply Globally - A Connect Ventures Initiative</w:t>
      </w:r>
    </w:p>
    <w:p>
      <w:pPr>
        <w:spacing w:after="120" w:line="276"/>
      </w:pPr>
      <w:r>
        <w:t>Email: anil.gupta@TheConnectVentures.com</w:t>
      </w:r>
    </w:p>
    <w:p>
      <w:pPr>
        <w:spacing w:after="120" w:line="276"/>
      </w:pPr>
      <w:r>
        <w:t>Phone: +91 99999 81613 | +1 302 214 1717</w:t>
      </w:r>
    </w:p>
    <w:p>
      <w:pPr>
        <w:spacing w:after="80"/>
      </w:pPr>
    </w:p>
    <w:p>
      <w:pPr>
        <w:spacing w:after="120" w:line="276"/>
      </w:pPr>
      <w:r>
        <w:t>We look forward to supporting your successful entry into the Germany market.</w:t>
      </w:r>
    </w:p>
    <w:p>
      <w:r>
        <w:br w:type="page"/>
      </w:r>
    </w:p>
    <w:p>
      <w:r>
        <w:rPr>
          <w:b/>
          <w:sz w:val="22"/>
        </w:rPr>
        <w:t>This Germany guide has been comprehensively reviewed and updated to align more closely with German legal, tax, employment, immigration, arbitration, compliance, and corporate frameworks. UK-specific references and inconsistencies have been corrected and replaced with Germany-relevant terminology and concepts.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6" w:space="4"/>
      </w:pBdr>
      <w:tabs>
        <w:tab w:val="right" w:pos="9360"/>
      </w:tabs>
    </w:pPr>
    <w:r>
      <w:rPr>
        <w:rFonts w:ascii="Arial" w:cs="Arial" w:eastAsia="Arial" w:hAnsi="Arial"/>
        <w:color w:val="666666"/>
        <w:sz w:val="14"/>
        <w:szCs w:val="14"/>
      </w:rPr>
      <w:t xml:space="preserve">Comply Globally - A Connect Ventures Initiative  |  anil.gupta@TheConnectVentures.com</w:t>
    </w:r>
    <w:r>
      <w:rPr>
        <w:rFonts w:ascii="Arial" w:cs="Arial" w:eastAsia="Arial" w:hAnsi="Arial"/>
        <w:sz w:val="14"/>
        <w:szCs w:val="14"/>
      </w:rPr>
      <w:t xml:space="preserve">	</w:t>
    </w: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pPr>
    <w:r>
      <w:rPr>
        <w:rFonts w:ascii="Arial" w:cs="Arial" w:eastAsia="Arial" w:hAnsi="Arial"/>
        <w:b/>
        <w:bCs/>
        <w:color w:val="003366"/>
        <w:sz w:val="16"/>
        <w:szCs w:val="16"/>
      </w:rPr>
      <w:t xml:space="preserve">COMPLY GLOBALLY</w:t>
    </w:r>
    <w:r>
      <w:rPr>
        <w:rFonts w:ascii="Arial" w:cs="Arial" w:eastAsia="Arial" w:hAnsi="Arial"/>
        <w:color w:val="666666"/>
        <w:sz w:val="16"/>
        <w:szCs w:val="16"/>
      </w:rPr>
      <w:t xml:space="preserve">  |  Entry Germany Guide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36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066C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2026-04-17T20:17:55.312Z</dcterms:created>
  <dcterms:modified xsi:type="dcterms:W3CDTF">2026-04-17T20:17:55.312Z</dcterms:modified>
</cp:coreProperties>
</file>

<file path=docProps/custom.xml><?xml version="1.0" encoding="utf-8"?>
<Properties xmlns="http://schemas.openxmlformats.org/officeDocument/2006/custom-properties" xmlns:vt="http://schemas.openxmlformats.org/officeDocument/2006/docPropsVTypes"/>
</file>