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3005" w:rsidRDefault="00253005">
      <w:pPr>
        <w:spacing w:before="2400"/>
      </w:pPr>
      <w:bookmarkStart w:id="0" w:name="_GoBack"/>
      <w:bookmarkEnd w:id="0"/>
    </w:p>
    <w:p w:rsidR="00253005" w:rsidRDefault="008575F9">
      <w:pPr>
        <w:spacing w:after="200"/>
        <w:jc w:val="center"/>
      </w:pPr>
      <w:r>
        <w:rPr>
          <w:b/>
          <w:bCs/>
          <w:color w:val="003366"/>
          <w:sz w:val="48"/>
          <w:szCs w:val="48"/>
        </w:rPr>
        <w:t>COMPLY GLOBALLY</w:t>
      </w:r>
    </w:p>
    <w:p w:rsidR="00253005" w:rsidRDefault="008575F9">
      <w:pPr>
        <w:spacing w:after="100"/>
        <w:jc w:val="center"/>
      </w:pPr>
      <w:r>
        <w:rPr>
          <w:color w:val="666666"/>
          <w:sz w:val="24"/>
          <w:szCs w:val="24"/>
        </w:rPr>
        <w:t>A Connect Ventures Initiative</w:t>
      </w:r>
    </w:p>
    <w:p w:rsidR="00253005" w:rsidRDefault="008575F9">
      <w:pPr>
        <w:spacing w:after="600"/>
        <w:jc w:val="center"/>
      </w:pPr>
      <w:r>
        <w:rPr>
          <w:color w:val="FF6600"/>
          <w:sz w:val="24"/>
          <w:szCs w:val="24"/>
        </w:rPr>
        <w:t>___________________________________</w:t>
      </w:r>
    </w:p>
    <w:p w:rsidR="00253005" w:rsidRDefault="008575F9">
      <w:pPr>
        <w:spacing w:after="200"/>
        <w:jc w:val="center"/>
      </w:pPr>
      <w:r>
        <w:rPr>
          <w:b/>
          <w:bCs/>
          <w:color w:val="1A1A2E"/>
          <w:sz w:val="52"/>
          <w:szCs w:val="52"/>
        </w:rPr>
        <w:t>ENTRY NETHERLANDS</w:t>
      </w:r>
    </w:p>
    <w:p w:rsidR="00253005" w:rsidRDefault="008575F9">
      <w:pPr>
        <w:spacing w:after="200"/>
        <w:jc w:val="center"/>
      </w:pPr>
      <w:r>
        <w:rPr>
          <w:color w:val="666666"/>
          <w:sz w:val="28"/>
          <w:szCs w:val="28"/>
        </w:rPr>
        <w:t>Comprehensive Country Guide for</w:t>
      </w:r>
    </w:p>
    <w:p w:rsidR="00253005" w:rsidRDefault="008575F9">
      <w:pPr>
        <w:spacing w:after="200"/>
        <w:jc w:val="center"/>
      </w:pPr>
      <w:r>
        <w:rPr>
          <w:color w:val="0066CC"/>
          <w:sz w:val="28"/>
          <w:szCs w:val="28"/>
        </w:rPr>
        <w:t>Indian Entrepreneurs, Investors &amp; Expansion-Stage Companies</w:t>
      </w:r>
    </w:p>
    <w:p w:rsidR="00253005" w:rsidRDefault="008575F9">
      <w:pPr>
        <w:spacing w:after="600"/>
        <w:jc w:val="center"/>
      </w:pPr>
      <w:r>
        <w:rPr>
          <w:color w:val="666666"/>
        </w:rPr>
        <w:t>Compliance | Taxation | Market Entry | Operations</w:t>
      </w:r>
    </w:p>
    <w:p w:rsidR="00253005" w:rsidRDefault="008575F9">
      <w:pPr>
        <w:spacing w:after="200"/>
        <w:jc w:val="center"/>
      </w:pPr>
      <w:r>
        <w:rPr>
          <w:b/>
          <w:bCs/>
          <w:color w:val="FF6600"/>
          <w:sz w:val="28"/>
          <w:szCs w:val="28"/>
        </w:rPr>
        <w:t>2026 Edition</w:t>
      </w:r>
    </w:p>
    <w:p w:rsidR="00253005" w:rsidRDefault="008575F9">
      <w:pPr>
        <w:spacing w:before="1200"/>
        <w:jc w:val="center"/>
      </w:pPr>
      <w:r>
        <w:rPr>
          <w:color w:val="666666"/>
          <w:sz w:val="20"/>
          <w:szCs w:val="20"/>
        </w:rPr>
        <w:t>Contact: anil.gupta@TheConnectVentures.com</w:t>
      </w:r>
    </w:p>
    <w:p w:rsidR="00253005" w:rsidRDefault="008575F9">
      <w:pPr>
        <w:jc w:val="center"/>
      </w:pPr>
      <w:r>
        <w:rPr>
          <w:color w:val="666666"/>
          <w:sz w:val="20"/>
          <w:szCs w:val="20"/>
        </w:rPr>
        <w:t>Phone: +91 99999 81613 | +1 302 214 1717</w:t>
      </w:r>
    </w:p>
    <w:p w:rsidR="00253005" w:rsidRDefault="008575F9">
      <w:pPr>
        <w:spacing w:after="200"/>
        <w:jc w:val="center"/>
      </w:pPr>
      <w:r>
        <w:rPr>
          <w:color w:val="999999"/>
          <w:sz w:val="16"/>
          <w:szCs w:val="16"/>
        </w:rPr>
        <w:t>Disclaimer: This guide is for informational purposes only and does not constitute legal or tax advice. Users should verify all information independently.</w:t>
      </w:r>
    </w:p>
    <w:p w:rsidR="00253005" w:rsidRDefault="008575F9">
      <w:r>
        <w:br w:type="page"/>
      </w:r>
    </w:p>
    <w:p w:rsidR="00253005" w:rsidRDefault="008575F9">
      <w:pPr>
        <w:spacing w:after="400"/>
        <w:jc w:val="center"/>
      </w:pPr>
      <w:r>
        <w:rPr>
          <w:b/>
          <w:bCs/>
          <w:color w:val="003366"/>
          <w:sz w:val="36"/>
          <w:szCs w:val="36"/>
        </w:rPr>
        <w:lastRenderedPageBreak/>
        <w:t>TABLE OF CONTEN</w:t>
      </w:r>
      <w:r>
        <w:rPr>
          <w:b/>
          <w:bCs/>
          <w:color w:val="003366"/>
          <w:sz w:val="36"/>
          <w:szCs w:val="36"/>
        </w:rPr>
        <w:t>TS</w:t>
      </w:r>
    </w:p>
    <w:sdt>
      <w:sdtPr>
        <w:alias w:val="Table of Contents"/>
        <w:id w:val="1283852420"/>
      </w:sdtPr>
      <w:sdtEndPr/>
      <w:sdtContent>
        <w:p w:rsidR="005F1919" w:rsidRDefault="008575F9">
          <w:pPr>
            <w:pStyle w:val="TOC1"/>
            <w:tabs>
              <w:tab w:val="right" w:leader="dot" w:pos="9350"/>
            </w:tabs>
            <w:rPr>
              <w:noProof/>
            </w:rPr>
          </w:pPr>
          <w:r>
            <w:fldChar w:fldCharType="begin"/>
          </w:r>
          <w:r>
            <w:instrText>TOC \h \o "1-3"</w:instrText>
          </w:r>
          <w:r>
            <w:fldChar w:fldCharType="separate"/>
          </w:r>
          <w:hyperlink w:anchor="_Toc230445952" w:history="1">
            <w:r w:rsidR="005F1919" w:rsidRPr="00BF09CB">
              <w:rPr>
                <w:rStyle w:val="Hyperlink"/>
                <w:noProof/>
              </w:rPr>
              <w:t>1. Executive Overview</w:t>
            </w:r>
            <w:r w:rsidR="005F1919">
              <w:rPr>
                <w:noProof/>
              </w:rPr>
              <w:tab/>
            </w:r>
            <w:r w:rsidR="005F1919">
              <w:rPr>
                <w:noProof/>
              </w:rPr>
              <w:fldChar w:fldCharType="begin"/>
            </w:r>
            <w:r w:rsidR="005F1919">
              <w:rPr>
                <w:noProof/>
              </w:rPr>
              <w:instrText xml:space="preserve"> PAGEREF _Toc230445952 \h </w:instrText>
            </w:r>
            <w:r w:rsidR="005F1919">
              <w:rPr>
                <w:noProof/>
              </w:rPr>
            </w:r>
            <w:r w:rsidR="005F1919">
              <w:rPr>
                <w:noProof/>
              </w:rPr>
              <w:fldChar w:fldCharType="separate"/>
            </w:r>
            <w:r w:rsidR="005F1919">
              <w:rPr>
                <w:noProof/>
              </w:rPr>
              <w:t>5</w:t>
            </w:r>
            <w:r w:rsidR="005F1919">
              <w:rPr>
                <w:noProof/>
              </w:rPr>
              <w:fldChar w:fldCharType="end"/>
            </w:r>
          </w:hyperlink>
        </w:p>
        <w:p w:rsidR="005F1919" w:rsidRDefault="005F1919">
          <w:pPr>
            <w:pStyle w:val="TOC2"/>
            <w:tabs>
              <w:tab w:val="right" w:leader="dot" w:pos="9350"/>
            </w:tabs>
            <w:rPr>
              <w:noProof/>
            </w:rPr>
          </w:pPr>
          <w:hyperlink w:anchor="_Toc230445953" w:history="1">
            <w:r w:rsidRPr="00BF09CB">
              <w:rPr>
                <w:rStyle w:val="Hyperlink"/>
                <w:noProof/>
              </w:rPr>
              <w:t>1.1 Why the Netherlands?</w:t>
            </w:r>
            <w:r>
              <w:rPr>
                <w:noProof/>
              </w:rPr>
              <w:tab/>
            </w:r>
            <w:r>
              <w:rPr>
                <w:noProof/>
              </w:rPr>
              <w:fldChar w:fldCharType="begin"/>
            </w:r>
            <w:r>
              <w:rPr>
                <w:noProof/>
              </w:rPr>
              <w:instrText xml:space="preserve"> PAGEREF _Toc230445953 \h </w:instrText>
            </w:r>
            <w:r>
              <w:rPr>
                <w:noProof/>
              </w:rPr>
            </w:r>
            <w:r>
              <w:rPr>
                <w:noProof/>
              </w:rPr>
              <w:fldChar w:fldCharType="separate"/>
            </w:r>
            <w:r>
              <w:rPr>
                <w:noProof/>
              </w:rPr>
              <w:t>5</w:t>
            </w:r>
            <w:r>
              <w:rPr>
                <w:noProof/>
              </w:rPr>
              <w:fldChar w:fldCharType="end"/>
            </w:r>
          </w:hyperlink>
        </w:p>
        <w:p w:rsidR="005F1919" w:rsidRDefault="005F1919">
          <w:pPr>
            <w:pStyle w:val="TOC2"/>
            <w:tabs>
              <w:tab w:val="right" w:leader="dot" w:pos="9350"/>
            </w:tabs>
            <w:rPr>
              <w:noProof/>
            </w:rPr>
          </w:pPr>
          <w:hyperlink w:anchor="_Toc230445954" w:history="1">
            <w:r w:rsidRPr="00BF09CB">
              <w:rPr>
                <w:rStyle w:val="Hyperlink"/>
                <w:noProof/>
              </w:rPr>
              <w:t>1.2 Typical Entry Timelines and Cost Ranges</w:t>
            </w:r>
            <w:r>
              <w:rPr>
                <w:noProof/>
              </w:rPr>
              <w:tab/>
            </w:r>
            <w:r>
              <w:rPr>
                <w:noProof/>
              </w:rPr>
              <w:fldChar w:fldCharType="begin"/>
            </w:r>
            <w:r>
              <w:rPr>
                <w:noProof/>
              </w:rPr>
              <w:instrText xml:space="preserve"> PAGEREF _Toc230445954 \h </w:instrText>
            </w:r>
            <w:r>
              <w:rPr>
                <w:noProof/>
              </w:rPr>
            </w:r>
            <w:r>
              <w:rPr>
                <w:noProof/>
              </w:rPr>
              <w:fldChar w:fldCharType="separate"/>
            </w:r>
            <w:r>
              <w:rPr>
                <w:noProof/>
              </w:rPr>
              <w:t>5</w:t>
            </w:r>
            <w:r>
              <w:rPr>
                <w:noProof/>
              </w:rPr>
              <w:fldChar w:fldCharType="end"/>
            </w:r>
          </w:hyperlink>
        </w:p>
        <w:p w:rsidR="005F1919" w:rsidRDefault="005F1919">
          <w:pPr>
            <w:pStyle w:val="TOC1"/>
            <w:tabs>
              <w:tab w:val="right" w:leader="dot" w:pos="9350"/>
            </w:tabs>
            <w:rPr>
              <w:noProof/>
            </w:rPr>
          </w:pPr>
          <w:hyperlink w:anchor="_Toc230445955" w:history="1">
            <w:r w:rsidRPr="00BF09CB">
              <w:rPr>
                <w:rStyle w:val="Hyperlink"/>
                <w:noProof/>
              </w:rPr>
              <w:t>2. Country Snapshot</w:t>
            </w:r>
            <w:r>
              <w:rPr>
                <w:noProof/>
              </w:rPr>
              <w:tab/>
            </w:r>
            <w:r>
              <w:rPr>
                <w:noProof/>
              </w:rPr>
              <w:fldChar w:fldCharType="begin"/>
            </w:r>
            <w:r>
              <w:rPr>
                <w:noProof/>
              </w:rPr>
              <w:instrText xml:space="preserve"> PAGEREF _Toc230445955 \h </w:instrText>
            </w:r>
            <w:r>
              <w:rPr>
                <w:noProof/>
              </w:rPr>
            </w:r>
            <w:r>
              <w:rPr>
                <w:noProof/>
              </w:rPr>
              <w:fldChar w:fldCharType="separate"/>
            </w:r>
            <w:r>
              <w:rPr>
                <w:noProof/>
              </w:rPr>
              <w:t>6</w:t>
            </w:r>
            <w:r>
              <w:rPr>
                <w:noProof/>
              </w:rPr>
              <w:fldChar w:fldCharType="end"/>
            </w:r>
          </w:hyperlink>
        </w:p>
        <w:p w:rsidR="005F1919" w:rsidRDefault="005F1919">
          <w:pPr>
            <w:pStyle w:val="TOC2"/>
            <w:tabs>
              <w:tab w:val="right" w:leader="dot" w:pos="9350"/>
            </w:tabs>
            <w:rPr>
              <w:noProof/>
            </w:rPr>
          </w:pPr>
          <w:hyperlink w:anchor="_Toc230445956" w:history="1">
            <w:r w:rsidRPr="00BF09CB">
              <w:rPr>
                <w:rStyle w:val="Hyperlink"/>
                <w:noProof/>
              </w:rPr>
              <w:t>2.1 Political and Economic Overview</w:t>
            </w:r>
            <w:r>
              <w:rPr>
                <w:noProof/>
              </w:rPr>
              <w:tab/>
            </w:r>
            <w:r>
              <w:rPr>
                <w:noProof/>
              </w:rPr>
              <w:fldChar w:fldCharType="begin"/>
            </w:r>
            <w:r>
              <w:rPr>
                <w:noProof/>
              </w:rPr>
              <w:instrText xml:space="preserve"> PAGEREF _Toc230445956 \h </w:instrText>
            </w:r>
            <w:r>
              <w:rPr>
                <w:noProof/>
              </w:rPr>
            </w:r>
            <w:r>
              <w:rPr>
                <w:noProof/>
              </w:rPr>
              <w:fldChar w:fldCharType="separate"/>
            </w:r>
            <w:r>
              <w:rPr>
                <w:noProof/>
              </w:rPr>
              <w:t>6</w:t>
            </w:r>
            <w:r>
              <w:rPr>
                <w:noProof/>
              </w:rPr>
              <w:fldChar w:fldCharType="end"/>
            </w:r>
          </w:hyperlink>
        </w:p>
        <w:p w:rsidR="005F1919" w:rsidRDefault="005F1919">
          <w:pPr>
            <w:pStyle w:val="TOC2"/>
            <w:tabs>
              <w:tab w:val="right" w:leader="dot" w:pos="9350"/>
            </w:tabs>
            <w:rPr>
              <w:noProof/>
            </w:rPr>
          </w:pPr>
          <w:hyperlink w:anchor="_Toc230445957" w:history="1">
            <w:r w:rsidRPr="00BF09CB">
              <w:rPr>
                <w:rStyle w:val="Hyperlink"/>
                <w:noProof/>
              </w:rPr>
              <w:t>2.2 Demographics and Key Economic Hubs</w:t>
            </w:r>
            <w:r>
              <w:rPr>
                <w:noProof/>
              </w:rPr>
              <w:tab/>
            </w:r>
            <w:r>
              <w:rPr>
                <w:noProof/>
              </w:rPr>
              <w:fldChar w:fldCharType="begin"/>
            </w:r>
            <w:r>
              <w:rPr>
                <w:noProof/>
              </w:rPr>
              <w:instrText xml:space="preserve"> PAGEREF _Toc230445957 \h </w:instrText>
            </w:r>
            <w:r>
              <w:rPr>
                <w:noProof/>
              </w:rPr>
            </w:r>
            <w:r>
              <w:rPr>
                <w:noProof/>
              </w:rPr>
              <w:fldChar w:fldCharType="separate"/>
            </w:r>
            <w:r>
              <w:rPr>
                <w:noProof/>
              </w:rPr>
              <w:t>6</w:t>
            </w:r>
            <w:r>
              <w:rPr>
                <w:noProof/>
              </w:rPr>
              <w:fldChar w:fldCharType="end"/>
            </w:r>
          </w:hyperlink>
        </w:p>
        <w:p w:rsidR="005F1919" w:rsidRDefault="005F1919">
          <w:pPr>
            <w:pStyle w:val="TOC2"/>
            <w:tabs>
              <w:tab w:val="right" w:leader="dot" w:pos="9350"/>
            </w:tabs>
            <w:rPr>
              <w:noProof/>
            </w:rPr>
          </w:pPr>
          <w:hyperlink w:anchor="_Toc230445958" w:history="1">
            <w:r w:rsidRPr="00BF09CB">
              <w:rPr>
                <w:rStyle w:val="Hyperlink"/>
                <w:noProof/>
              </w:rPr>
              <w:t>2.3 Trade Agreements and Tax Treaties</w:t>
            </w:r>
            <w:r>
              <w:rPr>
                <w:noProof/>
              </w:rPr>
              <w:tab/>
            </w:r>
            <w:r>
              <w:rPr>
                <w:noProof/>
              </w:rPr>
              <w:fldChar w:fldCharType="begin"/>
            </w:r>
            <w:r>
              <w:rPr>
                <w:noProof/>
              </w:rPr>
              <w:instrText xml:space="preserve"> PAGEREF _Toc230445958 \h </w:instrText>
            </w:r>
            <w:r>
              <w:rPr>
                <w:noProof/>
              </w:rPr>
            </w:r>
            <w:r>
              <w:rPr>
                <w:noProof/>
              </w:rPr>
              <w:fldChar w:fldCharType="separate"/>
            </w:r>
            <w:r>
              <w:rPr>
                <w:noProof/>
              </w:rPr>
              <w:t>6</w:t>
            </w:r>
            <w:r>
              <w:rPr>
                <w:noProof/>
              </w:rPr>
              <w:fldChar w:fldCharType="end"/>
            </w:r>
          </w:hyperlink>
        </w:p>
        <w:p w:rsidR="005F1919" w:rsidRDefault="005F1919">
          <w:pPr>
            <w:pStyle w:val="TOC1"/>
            <w:tabs>
              <w:tab w:val="right" w:leader="dot" w:pos="9350"/>
            </w:tabs>
            <w:rPr>
              <w:noProof/>
            </w:rPr>
          </w:pPr>
          <w:hyperlink w:anchor="_Toc230445959" w:history="1">
            <w:r w:rsidRPr="00BF09CB">
              <w:rPr>
                <w:rStyle w:val="Hyperlink"/>
                <w:noProof/>
              </w:rPr>
              <w:t>3. Investment Climate &amp; Business Environment</w:t>
            </w:r>
            <w:r>
              <w:rPr>
                <w:noProof/>
              </w:rPr>
              <w:tab/>
            </w:r>
            <w:r>
              <w:rPr>
                <w:noProof/>
              </w:rPr>
              <w:fldChar w:fldCharType="begin"/>
            </w:r>
            <w:r>
              <w:rPr>
                <w:noProof/>
              </w:rPr>
              <w:instrText xml:space="preserve"> PAGEREF _Toc230445959 \h </w:instrText>
            </w:r>
            <w:r>
              <w:rPr>
                <w:noProof/>
              </w:rPr>
            </w:r>
            <w:r>
              <w:rPr>
                <w:noProof/>
              </w:rPr>
              <w:fldChar w:fldCharType="separate"/>
            </w:r>
            <w:r>
              <w:rPr>
                <w:noProof/>
              </w:rPr>
              <w:t>7</w:t>
            </w:r>
            <w:r>
              <w:rPr>
                <w:noProof/>
              </w:rPr>
              <w:fldChar w:fldCharType="end"/>
            </w:r>
          </w:hyperlink>
        </w:p>
        <w:p w:rsidR="005F1919" w:rsidRDefault="005F1919">
          <w:pPr>
            <w:pStyle w:val="TOC2"/>
            <w:tabs>
              <w:tab w:val="right" w:leader="dot" w:pos="9350"/>
            </w:tabs>
            <w:rPr>
              <w:noProof/>
            </w:rPr>
          </w:pPr>
          <w:hyperlink w:anchor="_Toc230445960" w:history="1">
            <w:r w:rsidRPr="00BF09CB">
              <w:rPr>
                <w:rStyle w:val="Hyperlink"/>
                <w:noProof/>
              </w:rPr>
              <w:t>3.1 Openness to Foreign Investment</w:t>
            </w:r>
            <w:r>
              <w:rPr>
                <w:noProof/>
              </w:rPr>
              <w:tab/>
            </w:r>
            <w:r>
              <w:rPr>
                <w:noProof/>
              </w:rPr>
              <w:fldChar w:fldCharType="begin"/>
            </w:r>
            <w:r>
              <w:rPr>
                <w:noProof/>
              </w:rPr>
              <w:instrText xml:space="preserve"> PAGEREF _Toc230445960 \h </w:instrText>
            </w:r>
            <w:r>
              <w:rPr>
                <w:noProof/>
              </w:rPr>
            </w:r>
            <w:r>
              <w:rPr>
                <w:noProof/>
              </w:rPr>
              <w:fldChar w:fldCharType="separate"/>
            </w:r>
            <w:r>
              <w:rPr>
                <w:noProof/>
              </w:rPr>
              <w:t>7</w:t>
            </w:r>
            <w:r>
              <w:rPr>
                <w:noProof/>
              </w:rPr>
              <w:fldChar w:fldCharType="end"/>
            </w:r>
          </w:hyperlink>
        </w:p>
        <w:p w:rsidR="005F1919" w:rsidRDefault="005F1919">
          <w:pPr>
            <w:pStyle w:val="TOC2"/>
            <w:tabs>
              <w:tab w:val="right" w:leader="dot" w:pos="9350"/>
            </w:tabs>
            <w:rPr>
              <w:noProof/>
            </w:rPr>
          </w:pPr>
          <w:hyperlink w:anchor="_Toc230445961" w:history="1">
            <w:r w:rsidRPr="00BF09CB">
              <w:rPr>
                <w:rStyle w:val="Hyperlink"/>
                <w:noProof/>
              </w:rPr>
              <w:t>3.2 Ease of Doing Business</w:t>
            </w:r>
            <w:r>
              <w:rPr>
                <w:noProof/>
              </w:rPr>
              <w:tab/>
            </w:r>
            <w:r>
              <w:rPr>
                <w:noProof/>
              </w:rPr>
              <w:fldChar w:fldCharType="begin"/>
            </w:r>
            <w:r>
              <w:rPr>
                <w:noProof/>
              </w:rPr>
              <w:instrText xml:space="preserve"> PAGEREF _Toc230445961 \h </w:instrText>
            </w:r>
            <w:r>
              <w:rPr>
                <w:noProof/>
              </w:rPr>
            </w:r>
            <w:r>
              <w:rPr>
                <w:noProof/>
              </w:rPr>
              <w:fldChar w:fldCharType="separate"/>
            </w:r>
            <w:r>
              <w:rPr>
                <w:noProof/>
              </w:rPr>
              <w:t>7</w:t>
            </w:r>
            <w:r>
              <w:rPr>
                <w:noProof/>
              </w:rPr>
              <w:fldChar w:fldCharType="end"/>
            </w:r>
          </w:hyperlink>
        </w:p>
        <w:p w:rsidR="005F1919" w:rsidRDefault="005F1919">
          <w:pPr>
            <w:pStyle w:val="TOC2"/>
            <w:tabs>
              <w:tab w:val="right" w:leader="dot" w:pos="9350"/>
            </w:tabs>
            <w:rPr>
              <w:noProof/>
            </w:rPr>
          </w:pPr>
          <w:hyperlink w:anchor="_Toc230445962" w:history="1">
            <w:r w:rsidRPr="00BF09CB">
              <w:rPr>
                <w:rStyle w:val="Hyperlink"/>
                <w:noProof/>
              </w:rPr>
              <w:t>3.3 Priority Sectors and Incentives</w:t>
            </w:r>
            <w:r>
              <w:rPr>
                <w:noProof/>
              </w:rPr>
              <w:tab/>
            </w:r>
            <w:r>
              <w:rPr>
                <w:noProof/>
              </w:rPr>
              <w:fldChar w:fldCharType="begin"/>
            </w:r>
            <w:r>
              <w:rPr>
                <w:noProof/>
              </w:rPr>
              <w:instrText xml:space="preserve"> PAGEREF _Toc230445962 \h </w:instrText>
            </w:r>
            <w:r>
              <w:rPr>
                <w:noProof/>
              </w:rPr>
            </w:r>
            <w:r>
              <w:rPr>
                <w:noProof/>
              </w:rPr>
              <w:fldChar w:fldCharType="separate"/>
            </w:r>
            <w:r>
              <w:rPr>
                <w:noProof/>
              </w:rPr>
              <w:t>7</w:t>
            </w:r>
            <w:r>
              <w:rPr>
                <w:noProof/>
              </w:rPr>
              <w:fldChar w:fldCharType="end"/>
            </w:r>
          </w:hyperlink>
        </w:p>
        <w:p w:rsidR="005F1919" w:rsidRDefault="005F1919">
          <w:pPr>
            <w:pStyle w:val="TOC1"/>
            <w:tabs>
              <w:tab w:val="right" w:leader="dot" w:pos="9350"/>
            </w:tabs>
            <w:rPr>
              <w:noProof/>
            </w:rPr>
          </w:pPr>
          <w:hyperlink w:anchor="_Toc230445963" w:history="1">
            <w:r w:rsidRPr="00BF09CB">
              <w:rPr>
                <w:rStyle w:val="Hyperlink"/>
                <w:noProof/>
              </w:rPr>
              <w:t>4. Market Entry Strategy</w:t>
            </w:r>
            <w:r>
              <w:rPr>
                <w:noProof/>
              </w:rPr>
              <w:tab/>
            </w:r>
            <w:r>
              <w:rPr>
                <w:noProof/>
              </w:rPr>
              <w:fldChar w:fldCharType="begin"/>
            </w:r>
            <w:r>
              <w:rPr>
                <w:noProof/>
              </w:rPr>
              <w:instrText xml:space="preserve"> PAGEREF _Toc230445963 \h </w:instrText>
            </w:r>
            <w:r>
              <w:rPr>
                <w:noProof/>
              </w:rPr>
            </w:r>
            <w:r>
              <w:rPr>
                <w:noProof/>
              </w:rPr>
              <w:fldChar w:fldCharType="separate"/>
            </w:r>
            <w:r>
              <w:rPr>
                <w:noProof/>
              </w:rPr>
              <w:t>8</w:t>
            </w:r>
            <w:r>
              <w:rPr>
                <w:noProof/>
              </w:rPr>
              <w:fldChar w:fldCharType="end"/>
            </w:r>
          </w:hyperlink>
        </w:p>
        <w:p w:rsidR="005F1919" w:rsidRDefault="005F1919">
          <w:pPr>
            <w:pStyle w:val="TOC2"/>
            <w:tabs>
              <w:tab w:val="right" w:leader="dot" w:pos="9350"/>
            </w:tabs>
            <w:rPr>
              <w:noProof/>
            </w:rPr>
          </w:pPr>
          <w:hyperlink w:anchor="_Toc230445964" w:history="1">
            <w:r w:rsidRPr="00BF09CB">
              <w:rPr>
                <w:rStyle w:val="Hyperlink"/>
                <w:noProof/>
              </w:rPr>
              <w:t>4.1 Go-to-Market Models</w:t>
            </w:r>
            <w:r>
              <w:rPr>
                <w:noProof/>
              </w:rPr>
              <w:tab/>
            </w:r>
            <w:r>
              <w:rPr>
                <w:noProof/>
              </w:rPr>
              <w:fldChar w:fldCharType="begin"/>
            </w:r>
            <w:r>
              <w:rPr>
                <w:noProof/>
              </w:rPr>
              <w:instrText xml:space="preserve"> PAGEREF _Toc230445964 \h </w:instrText>
            </w:r>
            <w:r>
              <w:rPr>
                <w:noProof/>
              </w:rPr>
            </w:r>
            <w:r>
              <w:rPr>
                <w:noProof/>
              </w:rPr>
              <w:fldChar w:fldCharType="separate"/>
            </w:r>
            <w:r>
              <w:rPr>
                <w:noProof/>
              </w:rPr>
              <w:t>8</w:t>
            </w:r>
            <w:r>
              <w:rPr>
                <w:noProof/>
              </w:rPr>
              <w:fldChar w:fldCharType="end"/>
            </w:r>
          </w:hyperlink>
        </w:p>
        <w:p w:rsidR="005F1919" w:rsidRDefault="005F1919">
          <w:pPr>
            <w:pStyle w:val="TOC2"/>
            <w:tabs>
              <w:tab w:val="right" w:leader="dot" w:pos="9350"/>
            </w:tabs>
            <w:rPr>
              <w:noProof/>
            </w:rPr>
          </w:pPr>
          <w:hyperlink w:anchor="_Toc230445965" w:history="1">
            <w:r w:rsidRPr="00BF09CB">
              <w:rPr>
                <w:rStyle w:val="Hyperlink"/>
                <w:noProof/>
              </w:rPr>
              <w:t>4.2 Strategic Considerations</w:t>
            </w:r>
            <w:r>
              <w:rPr>
                <w:noProof/>
              </w:rPr>
              <w:tab/>
            </w:r>
            <w:r>
              <w:rPr>
                <w:noProof/>
              </w:rPr>
              <w:fldChar w:fldCharType="begin"/>
            </w:r>
            <w:r>
              <w:rPr>
                <w:noProof/>
              </w:rPr>
              <w:instrText xml:space="preserve"> PAGEREF _Toc230445965 \h </w:instrText>
            </w:r>
            <w:r>
              <w:rPr>
                <w:noProof/>
              </w:rPr>
            </w:r>
            <w:r>
              <w:rPr>
                <w:noProof/>
              </w:rPr>
              <w:fldChar w:fldCharType="separate"/>
            </w:r>
            <w:r>
              <w:rPr>
                <w:noProof/>
              </w:rPr>
              <w:t>8</w:t>
            </w:r>
            <w:r>
              <w:rPr>
                <w:noProof/>
              </w:rPr>
              <w:fldChar w:fldCharType="end"/>
            </w:r>
          </w:hyperlink>
        </w:p>
        <w:p w:rsidR="005F1919" w:rsidRDefault="005F1919">
          <w:pPr>
            <w:pStyle w:val="TOC1"/>
            <w:tabs>
              <w:tab w:val="right" w:leader="dot" w:pos="9350"/>
            </w:tabs>
            <w:rPr>
              <w:noProof/>
            </w:rPr>
          </w:pPr>
          <w:hyperlink w:anchor="_Toc230445966" w:history="1">
            <w:r w:rsidRPr="00BF09CB">
              <w:rPr>
                <w:rStyle w:val="Hyperlink"/>
                <w:noProof/>
              </w:rPr>
              <w:t>5. Legal and Regulatory Framework</w:t>
            </w:r>
            <w:r>
              <w:rPr>
                <w:noProof/>
              </w:rPr>
              <w:tab/>
            </w:r>
            <w:r>
              <w:rPr>
                <w:noProof/>
              </w:rPr>
              <w:fldChar w:fldCharType="begin"/>
            </w:r>
            <w:r>
              <w:rPr>
                <w:noProof/>
              </w:rPr>
              <w:instrText xml:space="preserve"> PAGEREF _Toc230445966 \h </w:instrText>
            </w:r>
            <w:r>
              <w:rPr>
                <w:noProof/>
              </w:rPr>
            </w:r>
            <w:r>
              <w:rPr>
                <w:noProof/>
              </w:rPr>
              <w:fldChar w:fldCharType="separate"/>
            </w:r>
            <w:r>
              <w:rPr>
                <w:noProof/>
              </w:rPr>
              <w:t>9</w:t>
            </w:r>
            <w:r>
              <w:rPr>
                <w:noProof/>
              </w:rPr>
              <w:fldChar w:fldCharType="end"/>
            </w:r>
          </w:hyperlink>
        </w:p>
        <w:p w:rsidR="005F1919" w:rsidRDefault="005F1919">
          <w:pPr>
            <w:pStyle w:val="TOC2"/>
            <w:tabs>
              <w:tab w:val="right" w:leader="dot" w:pos="9350"/>
            </w:tabs>
            <w:rPr>
              <w:noProof/>
            </w:rPr>
          </w:pPr>
          <w:hyperlink w:anchor="_Toc230445967" w:history="1">
            <w:r w:rsidRPr="00BF09CB">
              <w:rPr>
                <w:rStyle w:val="Hyperlink"/>
                <w:noProof/>
              </w:rPr>
              <w:t>5.1 Overview of the Legal System</w:t>
            </w:r>
            <w:r>
              <w:rPr>
                <w:noProof/>
              </w:rPr>
              <w:tab/>
            </w:r>
            <w:r>
              <w:rPr>
                <w:noProof/>
              </w:rPr>
              <w:fldChar w:fldCharType="begin"/>
            </w:r>
            <w:r>
              <w:rPr>
                <w:noProof/>
              </w:rPr>
              <w:instrText xml:space="preserve"> PAGEREF _Toc230445967 \h </w:instrText>
            </w:r>
            <w:r>
              <w:rPr>
                <w:noProof/>
              </w:rPr>
            </w:r>
            <w:r>
              <w:rPr>
                <w:noProof/>
              </w:rPr>
              <w:fldChar w:fldCharType="separate"/>
            </w:r>
            <w:r>
              <w:rPr>
                <w:noProof/>
              </w:rPr>
              <w:t>9</w:t>
            </w:r>
            <w:r>
              <w:rPr>
                <w:noProof/>
              </w:rPr>
              <w:fldChar w:fldCharType="end"/>
            </w:r>
          </w:hyperlink>
        </w:p>
        <w:p w:rsidR="005F1919" w:rsidRDefault="005F1919">
          <w:pPr>
            <w:pStyle w:val="TOC2"/>
            <w:tabs>
              <w:tab w:val="right" w:leader="dot" w:pos="9350"/>
            </w:tabs>
            <w:rPr>
              <w:noProof/>
            </w:rPr>
          </w:pPr>
          <w:hyperlink w:anchor="_Toc230445968" w:history="1">
            <w:r w:rsidRPr="00BF09CB">
              <w:rPr>
                <w:rStyle w:val="Hyperlink"/>
                <w:noProof/>
              </w:rPr>
              <w:t>5.2 Key Regulatory Bodies</w:t>
            </w:r>
            <w:r>
              <w:rPr>
                <w:noProof/>
              </w:rPr>
              <w:tab/>
            </w:r>
            <w:r>
              <w:rPr>
                <w:noProof/>
              </w:rPr>
              <w:fldChar w:fldCharType="begin"/>
            </w:r>
            <w:r>
              <w:rPr>
                <w:noProof/>
              </w:rPr>
              <w:instrText xml:space="preserve"> PAGEREF _Toc230445968 \h </w:instrText>
            </w:r>
            <w:r>
              <w:rPr>
                <w:noProof/>
              </w:rPr>
            </w:r>
            <w:r>
              <w:rPr>
                <w:noProof/>
              </w:rPr>
              <w:fldChar w:fldCharType="separate"/>
            </w:r>
            <w:r>
              <w:rPr>
                <w:noProof/>
              </w:rPr>
              <w:t>9</w:t>
            </w:r>
            <w:r>
              <w:rPr>
                <w:noProof/>
              </w:rPr>
              <w:fldChar w:fldCharType="end"/>
            </w:r>
          </w:hyperlink>
        </w:p>
        <w:p w:rsidR="005F1919" w:rsidRDefault="005F1919">
          <w:pPr>
            <w:pStyle w:val="TOC2"/>
            <w:tabs>
              <w:tab w:val="right" w:leader="dot" w:pos="9350"/>
            </w:tabs>
            <w:rPr>
              <w:noProof/>
            </w:rPr>
          </w:pPr>
          <w:hyperlink w:anchor="_Toc230445969" w:history="1">
            <w:r w:rsidRPr="00BF09CB">
              <w:rPr>
                <w:rStyle w:val="Hyperlink"/>
                <w:noProof/>
              </w:rPr>
              <w:t>5.3 Competition, Consumer Protection, and Data Privacy</w:t>
            </w:r>
            <w:r>
              <w:rPr>
                <w:noProof/>
              </w:rPr>
              <w:tab/>
            </w:r>
            <w:r>
              <w:rPr>
                <w:noProof/>
              </w:rPr>
              <w:fldChar w:fldCharType="begin"/>
            </w:r>
            <w:r>
              <w:rPr>
                <w:noProof/>
              </w:rPr>
              <w:instrText xml:space="preserve"> PAGEREF _Toc230445969 \h </w:instrText>
            </w:r>
            <w:r>
              <w:rPr>
                <w:noProof/>
              </w:rPr>
            </w:r>
            <w:r>
              <w:rPr>
                <w:noProof/>
              </w:rPr>
              <w:fldChar w:fldCharType="separate"/>
            </w:r>
            <w:r>
              <w:rPr>
                <w:noProof/>
              </w:rPr>
              <w:t>9</w:t>
            </w:r>
            <w:r>
              <w:rPr>
                <w:noProof/>
              </w:rPr>
              <w:fldChar w:fldCharType="end"/>
            </w:r>
          </w:hyperlink>
        </w:p>
        <w:p w:rsidR="005F1919" w:rsidRDefault="005F1919">
          <w:pPr>
            <w:pStyle w:val="TOC1"/>
            <w:tabs>
              <w:tab w:val="right" w:leader="dot" w:pos="9350"/>
            </w:tabs>
            <w:rPr>
              <w:noProof/>
            </w:rPr>
          </w:pPr>
          <w:hyperlink w:anchor="_Toc230445970" w:history="1">
            <w:r w:rsidRPr="00BF09CB">
              <w:rPr>
                <w:rStyle w:val="Hyperlink"/>
                <w:noProof/>
              </w:rPr>
              <w:t>6. Business Structures for Foreign Investors</w:t>
            </w:r>
            <w:r>
              <w:rPr>
                <w:noProof/>
              </w:rPr>
              <w:tab/>
            </w:r>
            <w:r>
              <w:rPr>
                <w:noProof/>
              </w:rPr>
              <w:fldChar w:fldCharType="begin"/>
            </w:r>
            <w:r>
              <w:rPr>
                <w:noProof/>
              </w:rPr>
              <w:instrText xml:space="preserve"> PAGEREF _Toc230445970 \h </w:instrText>
            </w:r>
            <w:r>
              <w:rPr>
                <w:noProof/>
              </w:rPr>
            </w:r>
            <w:r>
              <w:rPr>
                <w:noProof/>
              </w:rPr>
              <w:fldChar w:fldCharType="separate"/>
            </w:r>
            <w:r>
              <w:rPr>
                <w:noProof/>
              </w:rPr>
              <w:t>10</w:t>
            </w:r>
            <w:r>
              <w:rPr>
                <w:noProof/>
              </w:rPr>
              <w:fldChar w:fldCharType="end"/>
            </w:r>
          </w:hyperlink>
        </w:p>
        <w:p w:rsidR="005F1919" w:rsidRDefault="005F1919">
          <w:pPr>
            <w:pStyle w:val="TOC2"/>
            <w:tabs>
              <w:tab w:val="right" w:leader="dot" w:pos="9350"/>
            </w:tabs>
            <w:rPr>
              <w:noProof/>
            </w:rPr>
          </w:pPr>
          <w:hyperlink w:anchor="_Toc230445971" w:history="1">
            <w:r w:rsidRPr="00BF09CB">
              <w:rPr>
                <w:rStyle w:val="Hyperlink"/>
                <w:noProof/>
              </w:rPr>
              <w:t>6.1 Available Business Vehicles</w:t>
            </w:r>
            <w:r>
              <w:rPr>
                <w:noProof/>
              </w:rPr>
              <w:tab/>
            </w:r>
            <w:r>
              <w:rPr>
                <w:noProof/>
              </w:rPr>
              <w:fldChar w:fldCharType="begin"/>
            </w:r>
            <w:r>
              <w:rPr>
                <w:noProof/>
              </w:rPr>
              <w:instrText xml:space="preserve"> PAGEREF _Toc230445971 \h </w:instrText>
            </w:r>
            <w:r>
              <w:rPr>
                <w:noProof/>
              </w:rPr>
            </w:r>
            <w:r>
              <w:rPr>
                <w:noProof/>
              </w:rPr>
              <w:fldChar w:fldCharType="separate"/>
            </w:r>
            <w:r>
              <w:rPr>
                <w:noProof/>
              </w:rPr>
              <w:t>10</w:t>
            </w:r>
            <w:r>
              <w:rPr>
                <w:noProof/>
              </w:rPr>
              <w:fldChar w:fldCharType="end"/>
            </w:r>
          </w:hyperlink>
        </w:p>
        <w:p w:rsidR="005F1919" w:rsidRDefault="005F1919">
          <w:pPr>
            <w:pStyle w:val="TOC2"/>
            <w:tabs>
              <w:tab w:val="right" w:leader="dot" w:pos="9350"/>
            </w:tabs>
            <w:rPr>
              <w:noProof/>
            </w:rPr>
          </w:pPr>
          <w:hyperlink w:anchor="_Toc230445972" w:history="1">
            <w:r w:rsidRPr="00BF09CB">
              <w:rPr>
                <w:rStyle w:val="Hyperlink"/>
                <w:noProof/>
              </w:rPr>
              <w:t>6.2 Comparative Table of Structures</w:t>
            </w:r>
            <w:r>
              <w:rPr>
                <w:noProof/>
              </w:rPr>
              <w:tab/>
            </w:r>
            <w:r>
              <w:rPr>
                <w:noProof/>
              </w:rPr>
              <w:fldChar w:fldCharType="begin"/>
            </w:r>
            <w:r>
              <w:rPr>
                <w:noProof/>
              </w:rPr>
              <w:instrText xml:space="preserve"> PAGEREF _Toc230445972 \h </w:instrText>
            </w:r>
            <w:r>
              <w:rPr>
                <w:noProof/>
              </w:rPr>
            </w:r>
            <w:r>
              <w:rPr>
                <w:noProof/>
              </w:rPr>
              <w:fldChar w:fldCharType="separate"/>
            </w:r>
            <w:r>
              <w:rPr>
                <w:noProof/>
              </w:rPr>
              <w:t>10</w:t>
            </w:r>
            <w:r>
              <w:rPr>
                <w:noProof/>
              </w:rPr>
              <w:fldChar w:fldCharType="end"/>
            </w:r>
          </w:hyperlink>
        </w:p>
        <w:p w:rsidR="005F1919" w:rsidRDefault="005F1919">
          <w:pPr>
            <w:pStyle w:val="TOC1"/>
            <w:tabs>
              <w:tab w:val="right" w:leader="dot" w:pos="9350"/>
            </w:tabs>
            <w:rPr>
              <w:noProof/>
            </w:rPr>
          </w:pPr>
          <w:hyperlink w:anchor="_Toc230445973" w:history="1">
            <w:r w:rsidRPr="00BF09CB">
              <w:rPr>
                <w:rStyle w:val="Hyperlink"/>
                <w:noProof/>
              </w:rPr>
              <w:t>7. Foreign Investment Rules and Exchange Control</w:t>
            </w:r>
            <w:r>
              <w:rPr>
                <w:noProof/>
              </w:rPr>
              <w:tab/>
            </w:r>
            <w:r>
              <w:rPr>
                <w:noProof/>
              </w:rPr>
              <w:fldChar w:fldCharType="begin"/>
            </w:r>
            <w:r>
              <w:rPr>
                <w:noProof/>
              </w:rPr>
              <w:instrText xml:space="preserve"> PAGEREF _Toc230445973 \h </w:instrText>
            </w:r>
            <w:r>
              <w:rPr>
                <w:noProof/>
              </w:rPr>
            </w:r>
            <w:r>
              <w:rPr>
                <w:noProof/>
              </w:rPr>
              <w:fldChar w:fldCharType="separate"/>
            </w:r>
            <w:r>
              <w:rPr>
                <w:noProof/>
              </w:rPr>
              <w:t>11</w:t>
            </w:r>
            <w:r>
              <w:rPr>
                <w:noProof/>
              </w:rPr>
              <w:fldChar w:fldCharType="end"/>
            </w:r>
          </w:hyperlink>
        </w:p>
        <w:p w:rsidR="005F1919" w:rsidRDefault="005F1919">
          <w:pPr>
            <w:pStyle w:val="TOC2"/>
            <w:tabs>
              <w:tab w:val="right" w:leader="dot" w:pos="9350"/>
            </w:tabs>
            <w:rPr>
              <w:noProof/>
            </w:rPr>
          </w:pPr>
          <w:hyperlink w:anchor="_Toc230445974" w:history="1">
            <w:r w:rsidRPr="00BF09CB">
              <w:rPr>
                <w:rStyle w:val="Hyperlink"/>
                <w:noProof/>
              </w:rPr>
              <w:t>7.1 FDI Regime Overview</w:t>
            </w:r>
            <w:r>
              <w:rPr>
                <w:noProof/>
              </w:rPr>
              <w:tab/>
            </w:r>
            <w:r>
              <w:rPr>
                <w:noProof/>
              </w:rPr>
              <w:fldChar w:fldCharType="begin"/>
            </w:r>
            <w:r>
              <w:rPr>
                <w:noProof/>
              </w:rPr>
              <w:instrText xml:space="preserve"> PAGEREF _Toc230445974 \h </w:instrText>
            </w:r>
            <w:r>
              <w:rPr>
                <w:noProof/>
              </w:rPr>
            </w:r>
            <w:r>
              <w:rPr>
                <w:noProof/>
              </w:rPr>
              <w:fldChar w:fldCharType="separate"/>
            </w:r>
            <w:r>
              <w:rPr>
                <w:noProof/>
              </w:rPr>
              <w:t>11</w:t>
            </w:r>
            <w:r>
              <w:rPr>
                <w:noProof/>
              </w:rPr>
              <w:fldChar w:fldCharType="end"/>
            </w:r>
          </w:hyperlink>
        </w:p>
        <w:p w:rsidR="005F1919" w:rsidRDefault="005F1919">
          <w:pPr>
            <w:pStyle w:val="TOC2"/>
            <w:tabs>
              <w:tab w:val="right" w:leader="dot" w:pos="9350"/>
            </w:tabs>
            <w:rPr>
              <w:noProof/>
            </w:rPr>
          </w:pPr>
          <w:hyperlink w:anchor="_Toc230445975" w:history="1">
            <w:r w:rsidRPr="00BF09CB">
              <w:rPr>
                <w:rStyle w:val="Hyperlink"/>
                <w:noProof/>
              </w:rPr>
              <w:t>7.2 Key Conditions for Foreign Shareholders</w:t>
            </w:r>
            <w:r>
              <w:rPr>
                <w:noProof/>
              </w:rPr>
              <w:tab/>
            </w:r>
            <w:r>
              <w:rPr>
                <w:noProof/>
              </w:rPr>
              <w:fldChar w:fldCharType="begin"/>
            </w:r>
            <w:r>
              <w:rPr>
                <w:noProof/>
              </w:rPr>
              <w:instrText xml:space="preserve"> PAGEREF _Toc230445975 \h </w:instrText>
            </w:r>
            <w:r>
              <w:rPr>
                <w:noProof/>
              </w:rPr>
            </w:r>
            <w:r>
              <w:rPr>
                <w:noProof/>
              </w:rPr>
              <w:fldChar w:fldCharType="separate"/>
            </w:r>
            <w:r>
              <w:rPr>
                <w:noProof/>
              </w:rPr>
              <w:t>11</w:t>
            </w:r>
            <w:r>
              <w:rPr>
                <w:noProof/>
              </w:rPr>
              <w:fldChar w:fldCharType="end"/>
            </w:r>
          </w:hyperlink>
        </w:p>
        <w:p w:rsidR="005F1919" w:rsidRDefault="005F1919">
          <w:pPr>
            <w:pStyle w:val="TOC2"/>
            <w:tabs>
              <w:tab w:val="right" w:leader="dot" w:pos="9350"/>
            </w:tabs>
            <w:rPr>
              <w:noProof/>
            </w:rPr>
          </w:pPr>
          <w:hyperlink w:anchor="_Toc230445976" w:history="1">
            <w:r w:rsidRPr="00BF09CB">
              <w:rPr>
                <w:rStyle w:val="Hyperlink"/>
                <w:noProof/>
              </w:rPr>
              <w:t>7.3 Foreign Exchange Regulations</w:t>
            </w:r>
            <w:r>
              <w:rPr>
                <w:noProof/>
              </w:rPr>
              <w:tab/>
            </w:r>
            <w:r>
              <w:rPr>
                <w:noProof/>
              </w:rPr>
              <w:fldChar w:fldCharType="begin"/>
            </w:r>
            <w:r>
              <w:rPr>
                <w:noProof/>
              </w:rPr>
              <w:instrText xml:space="preserve"> PAGEREF _Toc230445976 \h </w:instrText>
            </w:r>
            <w:r>
              <w:rPr>
                <w:noProof/>
              </w:rPr>
            </w:r>
            <w:r>
              <w:rPr>
                <w:noProof/>
              </w:rPr>
              <w:fldChar w:fldCharType="separate"/>
            </w:r>
            <w:r>
              <w:rPr>
                <w:noProof/>
              </w:rPr>
              <w:t>11</w:t>
            </w:r>
            <w:r>
              <w:rPr>
                <w:noProof/>
              </w:rPr>
              <w:fldChar w:fldCharType="end"/>
            </w:r>
          </w:hyperlink>
        </w:p>
        <w:p w:rsidR="005F1919" w:rsidRDefault="005F1919">
          <w:pPr>
            <w:pStyle w:val="TOC1"/>
            <w:tabs>
              <w:tab w:val="right" w:leader="dot" w:pos="9350"/>
            </w:tabs>
            <w:rPr>
              <w:noProof/>
            </w:rPr>
          </w:pPr>
          <w:hyperlink w:anchor="_Toc230445977" w:history="1">
            <w:r w:rsidRPr="00BF09CB">
              <w:rPr>
                <w:rStyle w:val="Hyperlink"/>
                <w:noProof/>
              </w:rPr>
              <w:t>8. Step-by-Step Incorporation &amp; Registration Process</w:t>
            </w:r>
            <w:r>
              <w:rPr>
                <w:noProof/>
              </w:rPr>
              <w:tab/>
            </w:r>
            <w:r>
              <w:rPr>
                <w:noProof/>
              </w:rPr>
              <w:fldChar w:fldCharType="begin"/>
            </w:r>
            <w:r>
              <w:rPr>
                <w:noProof/>
              </w:rPr>
              <w:instrText xml:space="preserve"> PAGEREF _Toc230445977 \h </w:instrText>
            </w:r>
            <w:r>
              <w:rPr>
                <w:noProof/>
              </w:rPr>
            </w:r>
            <w:r>
              <w:rPr>
                <w:noProof/>
              </w:rPr>
              <w:fldChar w:fldCharType="separate"/>
            </w:r>
            <w:r>
              <w:rPr>
                <w:noProof/>
              </w:rPr>
              <w:t>12</w:t>
            </w:r>
            <w:r>
              <w:rPr>
                <w:noProof/>
              </w:rPr>
              <w:fldChar w:fldCharType="end"/>
            </w:r>
          </w:hyperlink>
        </w:p>
        <w:p w:rsidR="005F1919" w:rsidRDefault="005F1919">
          <w:pPr>
            <w:pStyle w:val="TOC2"/>
            <w:tabs>
              <w:tab w:val="right" w:leader="dot" w:pos="9350"/>
            </w:tabs>
            <w:rPr>
              <w:noProof/>
            </w:rPr>
          </w:pPr>
          <w:hyperlink w:anchor="_Toc230445978" w:history="1">
            <w:r w:rsidRPr="00BF09CB">
              <w:rPr>
                <w:rStyle w:val="Hyperlink"/>
                <w:noProof/>
              </w:rPr>
              <w:t>8.1 Pre-Incorporation Planning</w:t>
            </w:r>
            <w:r>
              <w:rPr>
                <w:noProof/>
              </w:rPr>
              <w:tab/>
            </w:r>
            <w:r>
              <w:rPr>
                <w:noProof/>
              </w:rPr>
              <w:fldChar w:fldCharType="begin"/>
            </w:r>
            <w:r>
              <w:rPr>
                <w:noProof/>
              </w:rPr>
              <w:instrText xml:space="preserve"> PAGEREF _Toc230445978 \h </w:instrText>
            </w:r>
            <w:r>
              <w:rPr>
                <w:noProof/>
              </w:rPr>
            </w:r>
            <w:r>
              <w:rPr>
                <w:noProof/>
              </w:rPr>
              <w:fldChar w:fldCharType="separate"/>
            </w:r>
            <w:r>
              <w:rPr>
                <w:noProof/>
              </w:rPr>
              <w:t>12</w:t>
            </w:r>
            <w:r>
              <w:rPr>
                <w:noProof/>
              </w:rPr>
              <w:fldChar w:fldCharType="end"/>
            </w:r>
          </w:hyperlink>
        </w:p>
        <w:p w:rsidR="005F1919" w:rsidRDefault="005F1919">
          <w:pPr>
            <w:pStyle w:val="TOC2"/>
            <w:tabs>
              <w:tab w:val="right" w:leader="dot" w:pos="9350"/>
            </w:tabs>
            <w:rPr>
              <w:noProof/>
            </w:rPr>
          </w:pPr>
          <w:hyperlink w:anchor="_Toc230445979" w:history="1">
            <w:r w:rsidRPr="00BF09CB">
              <w:rPr>
                <w:rStyle w:val="Hyperlink"/>
                <w:noProof/>
              </w:rPr>
              <w:t>8.2 Step-by-Step Incorporation Workflow</w:t>
            </w:r>
            <w:r>
              <w:rPr>
                <w:noProof/>
              </w:rPr>
              <w:tab/>
            </w:r>
            <w:r>
              <w:rPr>
                <w:noProof/>
              </w:rPr>
              <w:fldChar w:fldCharType="begin"/>
            </w:r>
            <w:r>
              <w:rPr>
                <w:noProof/>
              </w:rPr>
              <w:instrText xml:space="preserve"> PAGEREF _Toc230445979 \h </w:instrText>
            </w:r>
            <w:r>
              <w:rPr>
                <w:noProof/>
              </w:rPr>
            </w:r>
            <w:r>
              <w:rPr>
                <w:noProof/>
              </w:rPr>
              <w:fldChar w:fldCharType="separate"/>
            </w:r>
            <w:r>
              <w:rPr>
                <w:noProof/>
              </w:rPr>
              <w:t>12</w:t>
            </w:r>
            <w:r>
              <w:rPr>
                <w:noProof/>
              </w:rPr>
              <w:fldChar w:fldCharType="end"/>
            </w:r>
          </w:hyperlink>
        </w:p>
        <w:p w:rsidR="005F1919" w:rsidRDefault="005F1919">
          <w:pPr>
            <w:pStyle w:val="TOC1"/>
            <w:tabs>
              <w:tab w:val="right" w:leader="dot" w:pos="9350"/>
            </w:tabs>
            <w:rPr>
              <w:noProof/>
            </w:rPr>
          </w:pPr>
          <w:hyperlink w:anchor="_Toc230445980" w:history="1">
            <w:r w:rsidRPr="00BF09CB">
              <w:rPr>
                <w:rStyle w:val="Hyperlink"/>
                <w:noProof/>
              </w:rPr>
              <w:t>9. Licenses, Approvals, and Sector-Specific Requirements</w:t>
            </w:r>
            <w:r>
              <w:rPr>
                <w:noProof/>
              </w:rPr>
              <w:tab/>
            </w:r>
            <w:r>
              <w:rPr>
                <w:noProof/>
              </w:rPr>
              <w:fldChar w:fldCharType="begin"/>
            </w:r>
            <w:r>
              <w:rPr>
                <w:noProof/>
              </w:rPr>
              <w:instrText xml:space="preserve"> PAGEREF _Toc230445980 \h </w:instrText>
            </w:r>
            <w:r>
              <w:rPr>
                <w:noProof/>
              </w:rPr>
            </w:r>
            <w:r>
              <w:rPr>
                <w:noProof/>
              </w:rPr>
              <w:fldChar w:fldCharType="separate"/>
            </w:r>
            <w:r>
              <w:rPr>
                <w:noProof/>
              </w:rPr>
              <w:t>13</w:t>
            </w:r>
            <w:r>
              <w:rPr>
                <w:noProof/>
              </w:rPr>
              <w:fldChar w:fldCharType="end"/>
            </w:r>
          </w:hyperlink>
        </w:p>
        <w:p w:rsidR="005F1919" w:rsidRDefault="005F1919">
          <w:pPr>
            <w:pStyle w:val="TOC2"/>
            <w:tabs>
              <w:tab w:val="right" w:leader="dot" w:pos="9350"/>
            </w:tabs>
            <w:rPr>
              <w:noProof/>
            </w:rPr>
          </w:pPr>
          <w:hyperlink w:anchor="_Toc230445981" w:history="1">
            <w:r w:rsidRPr="00BF09CB">
              <w:rPr>
                <w:rStyle w:val="Hyperlink"/>
                <w:noProof/>
              </w:rPr>
              <w:t>9.1 Common Cross-Sector Requirements</w:t>
            </w:r>
            <w:r>
              <w:rPr>
                <w:noProof/>
              </w:rPr>
              <w:tab/>
            </w:r>
            <w:r>
              <w:rPr>
                <w:noProof/>
              </w:rPr>
              <w:fldChar w:fldCharType="begin"/>
            </w:r>
            <w:r>
              <w:rPr>
                <w:noProof/>
              </w:rPr>
              <w:instrText xml:space="preserve"> PAGEREF _Toc230445981 \h </w:instrText>
            </w:r>
            <w:r>
              <w:rPr>
                <w:noProof/>
              </w:rPr>
            </w:r>
            <w:r>
              <w:rPr>
                <w:noProof/>
              </w:rPr>
              <w:fldChar w:fldCharType="separate"/>
            </w:r>
            <w:r>
              <w:rPr>
                <w:noProof/>
              </w:rPr>
              <w:t>13</w:t>
            </w:r>
            <w:r>
              <w:rPr>
                <w:noProof/>
              </w:rPr>
              <w:fldChar w:fldCharType="end"/>
            </w:r>
          </w:hyperlink>
        </w:p>
        <w:p w:rsidR="005F1919" w:rsidRDefault="005F1919">
          <w:pPr>
            <w:pStyle w:val="TOC2"/>
            <w:tabs>
              <w:tab w:val="right" w:leader="dot" w:pos="9350"/>
            </w:tabs>
            <w:rPr>
              <w:noProof/>
            </w:rPr>
          </w:pPr>
          <w:hyperlink w:anchor="_Toc230445982" w:history="1">
            <w:r w:rsidRPr="00BF09CB">
              <w:rPr>
                <w:rStyle w:val="Hyperlink"/>
                <w:noProof/>
              </w:rPr>
              <w:t>9.2 Sector-Specific Approvals</w:t>
            </w:r>
            <w:r>
              <w:rPr>
                <w:noProof/>
              </w:rPr>
              <w:tab/>
            </w:r>
            <w:r>
              <w:rPr>
                <w:noProof/>
              </w:rPr>
              <w:fldChar w:fldCharType="begin"/>
            </w:r>
            <w:r>
              <w:rPr>
                <w:noProof/>
              </w:rPr>
              <w:instrText xml:space="preserve"> PAGEREF _Toc230445982 \h </w:instrText>
            </w:r>
            <w:r>
              <w:rPr>
                <w:noProof/>
              </w:rPr>
            </w:r>
            <w:r>
              <w:rPr>
                <w:noProof/>
              </w:rPr>
              <w:fldChar w:fldCharType="separate"/>
            </w:r>
            <w:r>
              <w:rPr>
                <w:noProof/>
              </w:rPr>
              <w:t>13</w:t>
            </w:r>
            <w:r>
              <w:rPr>
                <w:noProof/>
              </w:rPr>
              <w:fldChar w:fldCharType="end"/>
            </w:r>
          </w:hyperlink>
        </w:p>
        <w:p w:rsidR="005F1919" w:rsidRDefault="005F1919">
          <w:pPr>
            <w:pStyle w:val="TOC1"/>
            <w:tabs>
              <w:tab w:val="right" w:leader="dot" w:pos="9350"/>
            </w:tabs>
            <w:rPr>
              <w:noProof/>
            </w:rPr>
          </w:pPr>
          <w:hyperlink w:anchor="_Toc230445983" w:history="1">
            <w:r w:rsidRPr="00BF09CB">
              <w:rPr>
                <w:rStyle w:val="Hyperlink"/>
                <w:noProof/>
              </w:rPr>
              <w:t>10. Taxation and Incentives</w:t>
            </w:r>
            <w:r>
              <w:rPr>
                <w:noProof/>
              </w:rPr>
              <w:tab/>
            </w:r>
            <w:r>
              <w:rPr>
                <w:noProof/>
              </w:rPr>
              <w:fldChar w:fldCharType="begin"/>
            </w:r>
            <w:r>
              <w:rPr>
                <w:noProof/>
              </w:rPr>
              <w:instrText xml:space="preserve"> PAGEREF _Toc230445983 \h </w:instrText>
            </w:r>
            <w:r>
              <w:rPr>
                <w:noProof/>
              </w:rPr>
            </w:r>
            <w:r>
              <w:rPr>
                <w:noProof/>
              </w:rPr>
              <w:fldChar w:fldCharType="separate"/>
            </w:r>
            <w:r>
              <w:rPr>
                <w:noProof/>
              </w:rPr>
              <w:t>14</w:t>
            </w:r>
            <w:r>
              <w:rPr>
                <w:noProof/>
              </w:rPr>
              <w:fldChar w:fldCharType="end"/>
            </w:r>
          </w:hyperlink>
        </w:p>
        <w:p w:rsidR="005F1919" w:rsidRDefault="005F1919">
          <w:pPr>
            <w:pStyle w:val="TOC2"/>
            <w:tabs>
              <w:tab w:val="right" w:leader="dot" w:pos="9350"/>
            </w:tabs>
            <w:rPr>
              <w:noProof/>
            </w:rPr>
          </w:pPr>
          <w:hyperlink w:anchor="_Toc230445984" w:history="1">
            <w:r w:rsidRPr="00BF09CB">
              <w:rPr>
                <w:rStyle w:val="Hyperlink"/>
                <w:noProof/>
              </w:rPr>
              <w:t>10.1 Overview of the Tax System</w:t>
            </w:r>
            <w:r>
              <w:rPr>
                <w:noProof/>
              </w:rPr>
              <w:tab/>
            </w:r>
            <w:r>
              <w:rPr>
                <w:noProof/>
              </w:rPr>
              <w:fldChar w:fldCharType="begin"/>
            </w:r>
            <w:r>
              <w:rPr>
                <w:noProof/>
              </w:rPr>
              <w:instrText xml:space="preserve"> PAGEREF _Toc230445984 \h </w:instrText>
            </w:r>
            <w:r>
              <w:rPr>
                <w:noProof/>
              </w:rPr>
            </w:r>
            <w:r>
              <w:rPr>
                <w:noProof/>
              </w:rPr>
              <w:fldChar w:fldCharType="separate"/>
            </w:r>
            <w:r>
              <w:rPr>
                <w:noProof/>
              </w:rPr>
              <w:t>14</w:t>
            </w:r>
            <w:r>
              <w:rPr>
                <w:noProof/>
              </w:rPr>
              <w:fldChar w:fldCharType="end"/>
            </w:r>
          </w:hyperlink>
        </w:p>
        <w:p w:rsidR="005F1919" w:rsidRDefault="005F1919">
          <w:pPr>
            <w:pStyle w:val="TOC2"/>
            <w:tabs>
              <w:tab w:val="right" w:leader="dot" w:pos="9350"/>
            </w:tabs>
            <w:rPr>
              <w:noProof/>
            </w:rPr>
          </w:pPr>
          <w:hyperlink w:anchor="_Toc230445985" w:history="1">
            <w:r w:rsidRPr="00BF09CB">
              <w:rPr>
                <w:rStyle w:val="Hyperlink"/>
                <w:noProof/>
              </w:rPr>
              <w:t>10.2 Corporate Income Tax</w:t>
            </w:r>
            <w:r>
              <w:rPr>
                <w:noProof/>
              </w:rPr>
              <w:tab/>
            </w:r>
            <w:r>
              <w:rPr>
                <w:noProof/>
              </w:rPr>
              <w:fldChar w:fldCharType="begin"/>
            </w:r>
            <w:r>
              <w:rPr>
                <w:noProof/>
              </w:rPr>
              <w:instrText xml:space="preserve"> PAGEREF _Toc230445985 \h </w:instrText>
            </w:r>
            <w:r>
              <w:rPr>
                <w:noProof/>
              </w:rPr>
            </w:r>
            <w:r>
              <w:rPr>
                <w:noProof/>
              </w:rPr>
              <w:fldChar w:fldCharType="separate"/>
            </w:r>
            <w:r>
              <w:rPr>
                <w:noProof/>
              </w:rPr>
              <w:t>14</w:t>
            </w:r>
            <w:r>
              <w:rPr>
                <w:noProof/>
              </w:rPr>
              <w:fldChar w:fldCharType="end"/>
            </w:r>
          </w:hyperlink>
        </w:p>
        <w:p w:rsidR="005F1919" w:rsidRDefault="005F1919">
          <w:pPr>
            <w:pStyle w:val="TOC2"/>
            <w:tabs>
              <w:tab w:val="right" w:leader="dot" w:pos="9350"/>
            </w:tabs>
            <w:rPr>
              <w:noProof/>
            </w:rPr>
          </w:pPr>
          <w:hyperlink w:anchor="_Toc230445986" w:history="1">
            <w:r w:rsidRPr="00BF09CB">
              <w:rPr>
                <w:rStyle w:val="Hyperlink"/>
                <w:noProof/>
              </w:rPr>
              <w:t>10.3 Value Added Tax (BTW)</w:t>
            </w:r>
            <w:r>
              <w:rPr>
                <w:noProof/>
              </w:rPr>
              <w:tab/>
            </w:r>
            <w:r>
              <w:rPr>
                <w:noProof/>
              </w:rPr>
              <w:fldChar w:fldCharType="begin"/>
            </w:r>
            <w:r>
              <w:rPr>
                <w:noProof/>
              </w:rPr>
              <w:instrText xml:space="preserve"> PAGEREF _Toc230445986 \h </w:instrText>
            </w:r>
            <w:r>
              <w:rPr>
                <w:noProof/>
              </w:rPr>
            </w:r>
            <w:r>
              <w:rPr>
                <w:noProof/>
              </w:rPr>
              <w:fldChar w:fldCharType="separate"/>
            </w:r>
            <w:r>
              <w:rPr>
                <w:noProof/>
              </w:rPr>
              <w:t>14</w:t>
            </w:r>
            <w:r>
              <w:rPr>
                <w:noProof/>
              </w:rPr>
              <w:fldChar w:fldCharType="end"/>
            </w:r>
          </w:hyperlink>
        </w:p>
        <w:p w:rsidR="005F1919" w:rsidRDefault="005F1919">
          <w:pPr>
            <w:pStyle w:val="TOC2"/>
            <w:tabs>
              <w:tab w:val="right" w:leader="dot" w:pos="9350"/>
            </w:tabs>
            <w:rPr>
              <w:noProof/>
            </w:rPr>
          </w:pPr>
          <w:hyperlink w:anchor="_Toc230445987" w:history="1">
            <w:r w:rsidRPr="00BF09CB">
              <w:rPr>
                <w:rStyle w:val="Hyperlink"/>
                <w:noProof/>
              </w:rPr>
              <w:t>10.4 Withholding Tax Rates</w:t>
            </w:r>
            <w:r>
              <w:rPr>
                <w:noProof/>
              </w:rPr>
              <w:tab/>
            </w:r>
            <w:r>
              <w:rPr>
                <w:noProof/>
              </w:rPr>
              <w:fldChar w:fldCharType="begin"/>
            </w:r>
            <w:r>
              <w:rPr>
                <w:noProof/>
              </w:rPr>
              <w:instrText xml:space="preserve"> PAGEREF _Toc230445987 \h </w:instrText>
            </w:r>
            <w:r>
              <w:rPr>
                <w:noProof/>
              </w:rPr>
            </w:r>
            <w:r>
              <w:rPr>
                <w:noProof/>
              </w:rPr>
              <w:fldChar w:fldCharType="separate"/>
            </w:r>
            <w:r>
              <w:rPr>
                <w:noProof/>
              </w:rPr>
              <w:t>14</w:t>
            </w:r>
            <w:r>
              <w:rPr>
                <w:noProof/>
              </w:rPr>
              <w:fldChar w:fldCharType="end"/>
            </w:r>
          </w:hyperlink>
        </w:p>
        <w:p w:rsidR="005F1919" w:rsidRDefault="005F1919">
          <w:pPr>
            <w:pStyle w:val="TOC2"/>
            <w:tabs>
              <w:tab w:val="right" w:leader="dot" w:pos="9350"/>
            </w:tabs>
            <w:rPr>
              <w:noProof/>
            </w:rPr>
          </w:pPr>
          <w:hyperlink w:anchor="_Toc230445988" w:history="1">
            <w:r w:rsidRPr="00BF09CB">
              <w:rPr>
                <w:rStyle w:val="Hyperlink"/>
                <w:noProof/>
              </w:rPr>
              <w:t>10.5 Tax Incentives and Reliefs</w:t>
            </w:r>
            <w:r>
              <w:rPr>
                <w:noProof/>
              </w:rPr>
              <w:tab/>
            </w:r>
            <w:r>
              <w:rPr>
                <w:noProof/>
              </w:rPr>
              <w:fldChar w:fldCharType="begin"/>
            </w:r>
            <w:r>
              <w:rPr>
                <w:noProof/>
              </w:rPr>
              <w:instrText xml:space="preserve"> PAGEREF _Toc230445988 \h </w:instrText>
            </w:r>
            <w:r>
              <w:rPr>
                <w:noProof/>
              </w:rPr>
            </w:r>
            <w:r>
              <w:rPr>
                <w:noProof/>
              </w:rPr>
              <w:fldChar w:fldCharType="separate"/>
            </w:r>
            <w:r>
              <w:rPr>
                <w:noProof/>
              </w:rPr>
              <w:t>15</w:t>
            </w:r>
            <w:r>
              <w:rPr>
                <w:noProof/>
              </w:rPr>
              <w:fldChar w:fldCharType="end"/>
            </w:r>
          </w:hyperlink>
        </w:p>
        <w:p w:rsidR="005F1919" w:rsidRDefault="005F1919">
          <w:pPr>
            <w:pStyle w:val="TOC1"/>
            <w:tabs>
              <w:tab w:val="right" w:leader="dot" w:pos="9350"/>
            </w:tabs>
            <w:rPr>
              <w:noProof/>
            </w:rPr>
          </w:pPr>
          <w:hyperlink w:anchor="_Toc230445989" w:history="1">
            <w:r w:rsidRPr="00BF09CB">
              <w:rPr>
                <w:rStyle w:val="Hyperlink"/>
                <w:noProof/>
              </w:rPr>
              <w:t>11. Banking, Finance, and Repatriation</w:t>
            </w:r>
            <w:r>
              <w:rPr>
                <w:noProof/>
              </w:rPr>
              <w:tab/>
            </w:r>
            <w:r>
              <w:rPr>
                <w:noProof/>
              </w:rPr>
              <w:fldChar w:fldCharType="begin"/>
            </w:r>
            <w:r>
              <w:rPr>
                <w:noProof/>
              </w:rPr>
              <w:instrText xml:space="preserve"> PAGEREF _Toc230445989 \h </w:instrText>
            </w:r>
            <w:r>
              <w:rPr>
                <w:noProof/>
              </w:rPr>
            </w:r>
            <w:r>
              <w:rPr>
                <w:noProof/>
              </w:rPr>
              <w:fldChar w:fldCharType="separate"/>
            </w:r>
            <w:r>
              <w:rPr>
                <w:noProof/>
              </w:rPr>
              <w:t>16</w:t>
            </w:r>
            <w:r>
              <w:rPr>
                <w:noProof/>
              </w:rPr>
              <w:fldChar w:fldCharType="end"/>
            </w:r>
          </w:hyperlink>
        </w:p>
        <w:p w:rsidR="005F1919" w:rsidRDefault="005F1919">
          <w:pPr>
            <w:pStyle w:val="TOC2"/>
            <w:tabs>
              <w:tab w:val="right" w:leader="dot" w:pos="9350"/>
            </w:tabs>
            <w:rPr>
              <w:noProof/>
            </w:rPr>
          </w:pPr>
          <w:hyperlink w:anchor="_Toc230445990" w:history="1">
            <w:r w:rsidRPr="00BF09CB">
              <w:rPr>
                <w:rStyle w:val="Hyperlink"/>
                <w:noProof/>
              </w:rPr>
              <w:t>11.1 Opening Corporate Bank Accounts</w:t>
            </w:r>
            <w:r>
              <w:rPr>
                <w:noProof/>
              </w:rPr>
              <w:tab/>
            </w:r>
            <w:r>
              <w:rPr>
                <w:noProof/>
              </w:rPr>
              <w:fldChar w:fldCharType="begin"/>
            </w:r>
            <w:r>
              <w:rPr>
                <w:noProof/>
              </w:rPr>
              <w:instrText xml:space="preserve"> PAGEREF _Toc230445990 \h </w:instrText>
            </w:r>
            <w:r>
              <w:rPr>
                <w:noProof/>
              </w:rPr>
            </w:r>
            <w:r>
              <w:rPr>
                <w:noProof/>
              </w:rPr>
              <w:fldChar w:fldCharType="separate"/>
            </w:r>
            <w:r>
              <w:rPr>
                <w:noProof/>
              </w:rPr>
              <w:t>16</w:t>
            </w:r>
            <w:r>
              <w:rPr>
                <w:noProof/>
              </w:rPr>
              <w:fldChar w:fldCharType="end"/>
            </w:r>
          </w:hyperlink>
        </w:p>
        <w:p w:rsidR="005F1919" w:rsidRDefault="005F1919">
          <w:pPr>
            <w:pStyle w:val="TOC2"/>
            <w:tabs>
              <w:tab w:val="right" w:leader="dot" w:pos="9350"/>
            </w:tabs>
            <w:rPr>
              <w:noProof/>
            </w:rPr>
          </w:pPr>
          <w:hyperlink w:anchor="_Toc230445991" w:history="1">
            <w:r w:rsidRPr="00BF09CB">
              <w:rPr>
                <w:rStyle w:val="Hyperlink"/>
                <w:noProof/>
              </w:rPr>
              <w:t>11.2 Funding Options</w:t>
            </w:r>
            <w:r>
              <w:rPr>
                <w:noProof/>
              </w:rPr>
              <w:tab/>
            </w:r>
            <w:r>
              <w:rPr>
                <w:noProof/>
              </w:rPr>
              <w:fldChar w:fldCharType="begin"/>
            </w:r>
            <w:r>
              <w:rPr>
                <w:noProof/>
              </w:rPr>
              <w:instrText xml:space="preserve"> PAGEREF _Toc230445991 \h </w:instrText>
            </w:r>
            <w:r>
              <w:rPr>
                <w:noProof/>
              </w:rPr>
            </w:r>
            <w:r>
              <w:rPr>
                <w:noProof/>
              </w:rPr>
              <w:fldChar w:fldCharType="separate"/>
            </w:r>
            <w:r>
              <w:rPr>
                <w:noProof/>
              </w:rPr>
              <w:t>16</w:t>
            </w:r>
            <w:r>
              <w:rPr>
                <w:noProof/>
              </w:rPr>
              <w:fldChar w:fldCharType="end"/>
            </w:r>
          </w:hyperlink>
        </w:p>
        <w:p w:rsidR="005F1919" w:rsidRDefault="005F1919">
          <w:pPr>
            <w:pStyle w:val="TOC2"/>
            <w:tabs>
              <w:tab w:val="right" w:leader="dot" w:pos="9350"/>
            </w:tabs>
            <w:rPr>
              <w:noProof/>
            </w:rPr>
          </w:pPr>
          <w:hyperlink w:anchor="_Toc230445992" w:history="1">
            <w:r w:rsidRPr="00BF09CB">
              <w:rPr>
                <w:rStyle w:val="Hyperlink"/>
                <w:noProof/>
              </w:rPr>
              <w:t>11.3 Repatriation Rules</w:t>
            </w:r>
            <w:r>
              <w:rPr>
                <w:noProof/>
              </w:rPr>
              <w:tab/>
            </w:r>
            <w:r>
              <w:rPr>
                <w:noProof/>
              </w:rPr>
              <w:fldChar w:fldCharType="begin"/>
            </w:r>
            <w:r>
              <w:rPr>
                <w:noProof/>
              </w:rPr>
              <w:instrText xml:space="preserve"> PAGEREF _Toc230445992 \h </w:instrText>
            </w:r>
            <w:r>
              <w:rPr>
                <w:noProof/>
              </w:rPr>
            </w:r>
            <w:r>
              <w:rPr>
                <w:noProof/>
              </w:rPr>
              <w:fldChar w:fldCharType="separate"/>
            </w:r>
            <w:r>
              <w:rPr>
                <w:noProof/>
              </w:rPr>
              <w:t>16</w:t>
            </w:r>
            <w:r>
              <w:rPr>
                <w:noProof/>
              </w:rPr>
              <w:fldChar w:fldCharType="end"/>
            </w:r>
          </w:hyperlink>
        </w:p>
        <w:p w:rsidR="005F1919" w:rsidRDefault="005F1919">
          <w:pPr>
            <w:pStyle w:val="TOC1"/>
            <w:tabs>
              <w:tab w:val="right" w:leader="dot" w:pos="9350"/>
            </w:tabs>
            <w:rPr>
              <w:noProof/>
            </w:rPr>
          </w:pPr>
          <w:hyperlink w:anchor="_Toc230445993" w:history="1">
            <w:r w:rsidRPr="00BF09CB">
              <w:rPr>
                <w:rStyle w:val="Hyperlink"/>
                <w:noProof/>
              </w:rPr>
              <w:t>12. Employment, Immigration, and Payroll</w:t>
            </w:r>
            <w:r>
              <w:rPr>
                <w:noProof/>
              </w:rPr>
              <w:tab/>
            </w:r>
            <w:r>
              <w:rPr>
                <w:noProof/>
              </w:rPr>
              <w:fldChar w:fldCharType="begin"/>
            </w:r>
            <w:r>
              <w:rPr>
                <w:noProof/>
              </w:rPr>
              <w:instrText xml:space="preserve"> PAGEREF _Toc230445993 \h </w:instrText>
            </w:r>
            <w:r>
              <w:rPr>
                <w:noProof/>
              </w:rPr>
            </w:r>
            <w:r>
              <w:rPr>
                <w:noProof/>
              </w:rPr>
              <w:fldChar w:fldCharType="separate"/>
            </w:r>
            <w:r>
              <w:rPr>
                <w:noProof/>
              </w:rPr>
              <w:t>17</w:t>
            </w:r>
            <w:r>
              <w:rPr>
                <w:noProof/>
              </w:rPr>
              <w:fldChar w:fldCharType="end"/>
            </w:r>
          </w:hyperlink>
        </w:p>
        <w:p w:rsidR="005F1919" w:rsidRDefault="005F1919">
          <w:pPr>
            <w:pStyle w:val="TOC2"/>
            <w:tabs>
              <w:tab w:val="right" w:leader="dot" w:pos="9350"/>
            </w:tabs>
            <w:rPr>
              <w:noProof/>
            </w:rPr>
          </w:pPr>
          <w:hyperlink w:anchor="_Toc230445994" w:history="1">
            <w:r w:rsidRPr="00BF09CB">
              <w:rPr>
                <w:rStyle w:val="Hyperlink"/>
                <w:noProof/>
              </w:rPr>
              <w:t>12.1 Key Employment Laws</w:t>
            </w:r>
            <w:r>
              <w:rPr>
                <w:noProof/>
              </w:rPr>
              <w:tab/>
            </w:r>
            <w:r>
              <w:rPr>
                <w:noProof/>
              </w:rPr>
              <w:fldChar w:fldCharType="begin"/>
            </w:r>
            <w:r>
              <w:rPr>
                <w:noProof/>
              </w:rPr>
              <w:instrText xml:space="preserve"> PAGEREF _Toc230445994 \h </w:instrText>
            </w:r>
            <w:r>
              <w:rPr>
                <w:noProof/>
              </w:rPr>
            </w:r>
            <w:r>
              <w:rPr>
                <w:noProof/>
              </w:rPr>
              <w:fldChar w:fldCharType="separate"/>
            </w:r>
            <w:r>
              <w:rPr>
                <w:noProof/>
              </w:rPr>
              <w:t>17</w:t>
            </w:r>
            <w:r>
              <w:rPr>
                <w:noProof/>
              </w:rPr>
              <w:fldChar w:fldCharType="end"/>
            </w:r>
          </w:hyperlink>
        </w:p>
        <w:p w:rsidR="005F1919" w:rsidRDefault="005F1919">
          <w:pPr>
            <w:pStyle w:val="TOC2"/>
            <w:tabs>
              <w:tab w:val="right" w:leader="dot" w:pos="9350"/>
            </w:tabs>
            <w:rPr>
              <w:noProof/>
            </w:rPr>
          </w:pPr>
          <w:hyperlink w:anchor="_Toc230445995" w:history="1">
            <w:r w:rsidRPr="00BF09CB">
              <w:rPr>
                <w:rStyle w:val="Hyperlink"/>
                <w:noProof/>
              </w:rPr>
              <w:t>12.2 Immigration and Work Authorization</w:t>
            </w:r>
            <w:r>
              <w:rPr>
                <w:noProof/>
              </w:rPr>
              <w:tab/>
            </w:r>
            <w:r>
              <w:rPr>
                <w:noProof/>
              </w:rPr>
              <w:fldChar w:fldCharType="begin"/>
            </w:r>
            <w:r>
              <w:rPr>
                <w:noProof/>
              </w:rPr>
              <w:instrText xml:space="preserve"> PAGEREF _Toc230445995 \h </w:instrText>
            </w:r>
            <w:r>
              <w:rPr>
                <w:noProof/>
              </w:rPr>
            </w:r>
            <w:r>
              <w:rPr>
                <w:noProof/>
              </w:rPr>
              <w:fldChar w:fldCharType="separate"/>
            </w:r>
            <w:r>
              <w:rPr>
                <w:noProof/>
              </w:rPr>
              <w:t>17</w:t>
            </w:r>
            <w:r>
              <w:rPr>
                <w:noProof/>
              </w:rPr>
              <w:fldChar w:fldCharType="end"/>
            </w:r>
          </w:hyperlink>
        </w:p>
        <w:p w:rsidR="005F1919" w:rsidRDefault="005F1919">
          <w:pPr>
            <w:pStyle w:val="TOC2"/>
            <w:tabs>
              <w:tab w:val="right" w:leader="dot" w:pos="9350"/>
            </w:tabs>
            <w:rPr>
              <w:noProof/>
            </w:rPr>
          </w:pPr>
          <w:hyperlink w:anchor="_Toc230445996" w:history="1">
            <w:r w:rsidRPr="00BF09CB">
              <w:rPr>
                <w:rStyle w:val="Hyperlink"/>
                <w:noProof/>
              </w:rPr>
              <w:t>12.3 Payroll and HR Compliance</w:t>
            </w:r>
            <w:r>
              <w:rPr>
                <w:noProof/>
              </w:rPr>
              <w:tab/>
            </w:r>
            <w:r>
              <w:rPr>
                <w:noProof/>
              </w:rPr>
              <w:fldChar w:fldCharType="begin"/>
            </w:r>
            <w:r>
              <w:rPr>
                <w:noProof/>
              </w:rPr>
              <w:instrText xml:space="preserve"> PAGEREF _Toc230445996 \h </w:instrText>
            </w:r>
            <w:r>
              <w:rPr>
                <w:noProof/>
              </w:rPr>
            </w:r>
            <w:r>
              <w:rPr>
                <w:noProof/>
              </w:rPr>
              <w:fldChar w:fldCharType="separate"/>
            </w:r>
            <w:r>
              <w:rPr>
                <w:noProof/>
              </w:rPr>
              <w:t>17</w:t>
            </w:r>
            <w:r>
              <w:rPr>
                <w:noProof/>
              </w:rPr>
              <w:fldChar w:fldCharType="end"/>
            </w:r>
          </w:hyperlink>
        </w:p>
        <w:p w:rsidR="005F1919" w:rsidRDefault="005F1919">
          <w:pPr>
            <w:pStyle w:val="TOC1"/>
            <w:tabs>
              <w:tab w:val="right" w:leader="dot" w:pos="9350"/>
            </w:tabs>
            <w:rPr>
              <w:noProof/>
            </w:rPr>
          </w:pPr>
          <w:hyperlink w:anchor="_Toc230445997" w:history="1">
            <w:r w:rsidRPr="00BF09CB">
              <w:rPr>
                <w:rStyle w:val="Hyperlink"/>
                <w:noProof/>
              </w:rPr>
              <w:t>13. Intellectual Property, Data, and Technology</w:t>
            </w:r>
            <w:r>
              <w:rPr>
                <w:noProof/>
              </w:rPr>
              <w:tab/>
            </w:r>
            <w:r>
              <w:rPr>
                <w:noProof/>
              </w:rPr>
              <w:fldChar w:fldCharType="begin"/>
            </w:r>
            <w:r>
              <w:rPr>
                <w:noProof/>
              </w:rPr>
              <w:instrText xml:space="preserve"> PAGEREF _Toc230445997 \h </w:instrText>
            </w:r>
            <w:r>
              <w:rPr>
                <w:noProof/>
              </w:rPr>
            </w:r>
            <w:r>
              <w:rPr>
                <w:noProof/>
              </w:rPr>
              <w:fldChar w:fldCharType="separate"/>
            </w:r>
            <w:r>
              <w:rPr>
                <w:noProof/>
              </w:rPr>
              <w:t>18</w:t>
            </w:r>
            <w:r>
              <w:rPr>
                <w:noProof/>
              </w:rPr>
              <w:fldChar w:fldCharType="end"/>
            </w:r>
          </w:hyperlink>
        </w:p>
        <w:p w:rsidR="005F1919" w:rsidRDefault="005F1919">
          <w:pPr>
            <w:pStyle w:val="TOC2"/>
            <w:tabs>
              <w:tab w:val="right" w:leader="dot" w:pos="9350"/>
            </w:tabs>
            <w:rPr>
              <w:noProof/>
            </w:rPr>
          </w:pPr>
          <w:hyperlink w:anchor="_Toc230445998" w:history="1">
            <w:r w:rsidRPr="00BF09CB">
              <w:rPr>
                <w:rStyle w:val="Hyperlink"/>
                <w:noProof/>
              </w:rPr>
              <w:t>13.1 IP Protection</w:t>
            </w:r>
            <w:r>
              <w:rPr>
                <w:noProof/>
              </w:rPr>
              <w:tab/>
            </w:r>
            <w:r>
              <w:rPr>
                <w:noProof/>
              </w:rPr>
              <w:fldChar w:fldCharType="begin"/>
            </w:r>
            <w:r>
              <w:rPr>
                <w:noProof/>
              </w:rPr>
              <w:instrText xml:space="preserve"> PAGEREF _Toc230445998 \h </w:instrText>
            </w:r>
            <w:r>
              <w:rPr>
                <w:noProof/>
              </w:rPr>
            </w:r>
            <w:r>
              <w:rPr>
                <w:noProof/>
              </w:rPr>
              <w:fldChar w:fldCharType="separate"/>
            </w:r>
            <w:r>
              <w:rPr>
                <w:noProof/>
              </w:rPr>
              <w:t>18</w:t>
            </w:r>
            <w:r>
              <w:rPr>
                <w:noProof/>
              </w:rPr>
              <w:fldChar w:fldCharType="end"/>
            </w:r>
          </w:hyperlink>
        </w:p>
        <w:p w:rsidR="005F1919" w:rsidRDefault="005F1919">
          <w:pPr>
            <w:pStyle w:val="TOC2"/>
            <w:tabs>
              <w:tab w:val="right" w:leader="dot" w:pos="9350"/>
            </w:tabs>
            <w:rPr>
              <w:noProof/>
            </w:rPr>
          </w:pPr>
          <w:hyperlink w:anchor="_Toc230445999" w:history="1">
            <w:r w:rsidRPr="00BF09CB">
              <w:rPr>
                <w:rStyle w:val="Hyperlink"/>
                <w:noProof/>
              </w:rPr>
              <w:t>13.2 Data Protection and Privacy</w:t>
            </w:r>
            <w:r>
              <w:rPr>
                <w:noProof/>
              </w:rPr>
              <w:tab/>
            </w:r>
            <w:r>
              <w:rPr>
                <w:noProof/>
              </w:rPr>
              <w:fldChar w:fldCharType="begin"/>
            </w:r>
            <w:r>
              <w:rPr>
                <w:noProof/>
              </w:rPr>
              <w:instrText xml:space="preserve"> PAGEREF _Toc230445999 \h </w:instrText>
            </w:r>
            <w:r>
              <w:rPr>
                <w:noProof/>
              </w:rPr>
            </w:r>
            <w:r>
              <w:rPr>
                <w:noProof/>
              </w:rPr>
              <w:fldChar w:fldCharType="separate"/>
            </w:r>
            <w:r>
              <w:rPr>
                <w:noProof/>
              </w:rPr>
              <w:t>18</w:t>
            </w:r>
            <w:r>
              <w:rPr>
                <w:noProof/>
              </w:rPr>
              <w:fldChar w:fldCharType="end"/>
            </w:r>
          </w:hyperlink>
        </w:p>
        <w:p w:rsidR="005F1919" w:rsidRDefault="005F1919">
          <w:pPr>
            <w:pStyle w:val="TOC1"/>
            <w:tabs>
              <w:tab w:val="right" w:leader="dot" w:pos="9350"/>
            </w:tabs>
            <w:rPr>
              <w:noProof/>
            </w:rPr>
          </w:pPr>
          <w:hyperlink w:anchor="_Toc230446000" w:history="1">
            <w:r w:rsidRPr="00BF09CB">
              <w:rPr>
                <w:rStyle w:val="Hyperlink"/>
                <w:noProof/>
              </w:rPr>
              <w:t>14. Commercial Contracts and Local Practices</w:t>
            </w:r>
            <w:r>
              <w:rPr>
                <w:noProof/>
              </w:rPr>
              <w:tab/>
            </w:r>
            <w:r>
              <w:rPr>
                <w:noProof/>
              </w:rPr>
              <w:fldChar w:fldCharType="begin"/>
            </w:r>
            <w:r>
              <w:rPr>
                <w:noProof/>
              </w:rPr>
              <w:instrText xml:space="preserve"> PAGEREF _Toc230446000 \h </w:instrText>
            </w:r>
            <w:r>
              <w:rPr>
                <w:noProof/>
              </w:rPr>
            </w:r>
            <w:r>
              <w:rPr>
                <w:noProof/>
              </w:rPr>
              <w:fldChar w:fldCharType="separate"/>
            </w:r>
            <w:r>
              <w:rPr>
                <w:noProof/>
              </w:rPr>
              <w:t>19</w:t>
            </w:r>
            <w:r>
              <w:rPr>
                <w:noProof/>
              </w:rPr>
              <w:fldChar w:fldCharType="end"/>
            </w:r>
          </w:hyperlink>
        </w:p>
        <w:p w:rsidR="005F1919" w:rsidRDefault="005F1919">
          <w:pPr>
            <w:pStyle w:val="TOC1"/>
            <w:tabs>
              <w:tab w:val="right" w:leader="dot" w:pos="9350"/>
            </w:tabs>
            <w:rPr>
              <w:noProof/>
            </w:rPr>
          </w:pPr>
          <w:hyperlink w:anchor="_Toc230446001" w:history="1">
            <w:r w:rsidRPr="00BF09CB">
              <w:rPr>
                <w:rStyle w:val="Hyperlink"/>
                <w:noProof/>
              </w:rPr>
              <w:t>15. Operations, Location, and Economic Zones</w:t>
            </w:r>
            <w:r>
              <w:rPr>
                <w:noProof/>
              </w:rPr>
              <w:tab/>
            </w:r>
            <w:r>
              <w:rPr>
                <w:noProof/>
              </w:rPr>
              <w:fldChar w:fldCharType="begin"/>
            </w:r>
            <w:r>
              <w:rPr>
                <w:noProof/>
              </w:rPr>
              <w:instrText xml:space="preserve"> PAGEREF _Toc230446001 \h </w:instrText>
            </w:r>
            <w:r>
              <w:rPr>
                <w:noProof/>
              </w:rPr>
            </w:r>
            <w:r>
              <w:rPr>
                <w:noProof/>
              </w:rPr>
              <w:fldChar w:fldCharType="separate"/>
            </w:r>
            <w:r>
              <w:rPr>
                <w:noProof/>
              </w:rPr>
              <w:t>20</w:t>
            </w:r>
            <w:r>
              <w:rPr>
                <w:noProof/>
              </w:rPr>
              <w:fldChar w:fldCharType="end"/>
            </w:r>
          </w:hyperlink>
        </w:p>
        <w:p w:rsidR="005F1919" w:rsidRDefault="005F1919">
          <w:pPr>
            <w:pStyle w:val="TOC2"/>
            <w:tabs>
              <w:tab w:val="right" w:leader="dot" w:pos="9350"/>
            </w:tabs>
            <w:rPr>
              <w:noProof/>
            </w:rPr>
          </w:pPr>
          <w:hyperlink w:anchor="_Toc230446002" w:history="1">
            <w:r w:rsidRPr="00BF09CB">
              <w:rPr>
                <w:rStyle w:val="Hyperlink"/>
                <w:noProof/>
              </w:rPr>
              <w:t>15.1 Key Business Locations</w:t>
            </w:r>
            <w:r>
              <w:rPr>
                <w:noProof/>
              </w:rPr>
              <w:tab/>
            </w:r>
            <w:r>
              <w:rPr>
                <w:noProof/>
              </w:rPr>
              <w:fldChar w:fldCharType="begin"/>
            </w:r>
            <w:r>
              <w:rPr>
                <w:noProof/>
              </w:rPr>
              <w:instrText xml:space="preserve"> PAGEREF _Toc230446002 \h </w:instrText>
            </w:r>
            <w:r>
              <w:rPr>
                <w:noProof/>
              </w:rPr>
            </w:r>
            <w:r>
              <w:rPr>
                <w:noProof/>
              </w:rPr>
              <w:fldChar w:fldCharType="separate"/>
            </w:r>
            <w:r>
              <w:rPr>
                <w:noProof/>
              </w:rPr>
              <w:t>20</w:t>
            </w:r>
            <w:r>
              <w:rPr>
                <w:noProof/>
              </w:rPr>
              <w:fldChar w:fldCharType="end"/>
            </w:r>
          </w:hyperlink>
        </w:p>
        <w:p w:rsidR="005F1919" w:rsidRDefault="005F1919">
          <w:pPr>
            <w:pStyle w:val="TOC2"/>
            <w:tabs>
              <w:tab w:val="right" w:leader="dot" w:pos="9350"/>
            </w:tabs>
            <w:rPr>
              <w:noProof/>
            </w:rPr>
          </w:pPr>
          <w:hyperlink w:anchor="_Toc230446003" w:history="1">
            <w:r w:rsidRPr="00BF09CB">
              <w:rPr>
                <w:rStyle w:val="Hyperlink"/>
                <w:noProof/>
              </w:rPr>
              <w:t>15.2 Free Zones and Special Regimes</w:t>
            </w:r>
            <w:r>
              <w:rPr>
                <w:noProof/>
              </w:rPr>
              <w:tab/>
            </w:r>
            <w:r>
              <w:rPr>
                <w:noProof/>
              </w:rPr>
              <w:fldChar w:fldCharType="begin"/>
            </w:r>
            <w:r>
              <w:rPr>
                <w:noProof/>
              </w:rPr>
              <w:instrText xml:space="preserve"> PAGEREF _Toc230446003 \h </w:instrText>
            </w:r>
            <w:r>
              <w:rPr>
                <w:noProof/>
              </w:rPr>
            </w:r>
            <w:r>
              <w:rPr>
                <w:noProof/>
              </w:rPr>
              <w:fldChar w:fldCharType="separate"/>
            </w:r>
            <w:r>
              <w:rPr>
                <w:noProof/>
              </w:rPr>
              <w:t>20</w:t>
            </w:r>
            <w:r>
              <w:rPr>
                <w:noProof/>
              </w:rPr>
              <w:fldChar w:fldCharType="end"/>
            </w:r>
          </w:hyperlink>
        </w:p>
        <w:p w:rsidR="005F1919" w:rsidRDefault="005F1919">
          <w:pPr>
            <w:pStyle w:val="TOC1"/>
            <w:tabs>
              <w:tab w:val="right" w:leader="dot" w:pos="9350"/>
            </w:tabs>
            <w:rPr>
              <w:noProof/>
            </w:rPr>
          </w:pPr>
          <w:hyperlink w:anchor="_Toc230446004" w:history="1">
            <w:r w:rsidRPr="00BF09CB">
              <w:rPr>
                <w:rStyle w:val="Hyperlink"/>
                <w:noProof/>
              </w:rPr>
              <w:t>16. Compliance Calendar and Ongoing Obligations</w:t>
            </w:r>
            <w:r>
              <w:rPr>
                <w:noProof/>
              </w:rPr>
              <w:tab/>
            </w:r>
            <w:r>
              <w:rPr>
                <w:noProof/>
              </w:rPr>
              <w:fldChar w:fldCharType="begin"/>
            </w:r>
            <w:r>
              <w:rPr>
                <w:noProof/>
              </w:rPr>
              <w:instrText xml:space="preserve"> PAGEREF _Toc230446004 \h </w:instrText>
            </w:r>
            <w:r>
              <w:rPr>
                <w:noProof/>
              </w:rPr>
            </w:r>
            <w:r>
              <w:rPr>
                <w:noProof/>
              </w:rPr>
              <w:fldChar w:fldCharType="separate"/>
            </w:r>
            <w:r>
              <w:rPr>
                <w:noProof/>
              </w:rPr>
              <w:t>21</w:t>
            </w:r>
            <w:r>
              <w:rPr>
                <w:noProof/>
              </w:rPr>
              <w:fldChar w:fldCharType="end"/>
            </w:r>
          </w:hyperlink>
        </w:p>
        <w:p w:rsidR="005F1919" w:rsidRDefault="005F1919">
          <w:pPr>
            <w:pStyle w:val="TOC2"/>
            <w:tabs>
              <w:tab w:val="right" w:leader="dot" w:pos="9350"/>
            </w:tabs>
            <w:rPr>
              <w:noProof/>
            </w:rPr>
          </w:pPr>
          <w:hyperlink w:anchor="_Toc230446005" w:history="1">
            <w:r w:rsidRPr="00BF09CB">
              <w:rPr>
                <w:rStyle w:val="Hyperlink"/>
                <w:noProof/>
              </w:rPr>
              <w:t>16.1 Periodic Compliance Obligations</w:t>
            </w:r>
            <w:r>
              <w:rPr>
                <w:noProof/>
              </w:rPr>
              <w:tab/>
            </w:r>
            <w:r>
              <w:rPr>
                <w:noProof/>
              </w:rPr>
              <w:fldChar w:fldCharType="begin"/>
            </w:r>
            <w:r>
              <w:rPr>
                <w:noProof/>
              </w:rPr>
              <w:instrText xml:space="preserve"> PAGEREF _Toc230446005 \h </w:instrText>
            </w:r>
            <w:r>
              <w:rPr>
                <w:noProof/>
              </w:rPr>
            </w:r>
            <w:r>
              <w:rPr>
                <w:noProof/>
              </w:rPr>
              <w:fldChar w:fldCharType="separate"/>
            </w:r>
            <w:r>
              <w:rPr>
                <w:noProof/>
              </w:rPr>
              <w:t>21</w:t>
            </w:r>
            <w:r>
              <w:rPr>
                <w:noProof/>
              </w:rPr>
              <w:fldChar w:fldCharType="end"/>
            </w:r>
          </w:hyperlink>
        </w:p>
        <w:p w:rsidR="005F1919" w:rsidRDefault="005F1919">
          <w:pPr>
            <w:pStyle w:val="TOC2"/>
            <w:tabs>
              <w:tab w:val="right" w:leader="dot" w:pos="9350"/>
            </w:tabs>
            <w:rPr>
              <w:noProof/>
            </w:rPr>
          </w:pPr>
          <w:hyperlink w:anchor="_Toc230446006" w:history="1">
            <w:r w:rsidRPr="00BF09CB">
              <w:rPr>
                <w:rStyle w:val="Hyperlink"/>
                <w:noProof/>
              </w:rPr>
              <w:t>16.2 Annual Compliance Obligations</w:t>
            </w:r>
            <w:r>
              <w:rPr>
                <w:noProof/>
              </w:rPr>
              <w:tab/>
            </w:r>
            <w:r>
              <w:rPr>
                <w:noProof/>
              </w:rPr>
              <w:fldChar w:fldCharType="begin"/>
            </w:r>
            <w:r>
              <w:rPr>
                <w:noProof/>
              </w:rPr>
              <w:instrText xml:space="preserve"> PAGEREF _Toc230446006 \h </w:instrText>
            </w:r>
            <w:r>
              <w:rPr>
                <w:noProof/>
              </w:rPr>
            </w:r>
            <w:r>
              <w:rPr>
                <w:noProof/>
              </w:rPr>
              <w:fldChar w:fldCharType="separate"/>
            </w:r>
            <w:r>
              <w:rPr>
                <w:noProof/>
              </w:rPr>
              <w:t>21</w:t>
            </w:r>
            <w:r>
              <w:rPr>
                <w:noProof/>
              </w:rPr>
              <w:fldChar w:fldCharType="end"/>
            </w:r>
          </w:hyperlink>
        </w:p>
        <w:p w:rsidR="005F1919" w:rsidRDefault="005F1919">
          <w:pPr>
            <w:pStyle w:val="TOC2"/>
            <w:tabs>
              <w:tab w:val="right" w:leader="dot" w:pos="9350"/>
            </w:tabs>
            <w:rPr>
              <w:noProof/>
            </w:rPr>
          </w:pPr>
          <w:hyperlink w:anchor="_Toc230446007" w:history="1">
            <w:r w:rsidRPr="00BF09CB">
              <w:rPr>
                <w:rStyle w:val="Hyperlink"/>
                <w:noProof/>
              </w:rPr>
              <w:t>16.3 Month-wise Dutch Calendar (January to December)</w:t>
            </w:r>
            <w:r>
              <w:rPr>
                <w:noProof/>
              </w:rPr>
              <w:tab/>
            </w:r>
            <w:r>
              <w:rPr>
                <w:noProof/>
              </w:rPr>
              <w:fldChar w:fldCharType="begin"/>
            </w:r>
            <w:r>
              <w:rPr>
                <w:noProof/>
              </w:rPr>
              <w:instrText xml:space="preserve"> PAGEREF _Toc230446007 \h </w:instrText>
            </w:r>
            <w:r>
              <w:rPr>
                <w:noProof/>
              </w:rPr>
            </w:r>
            <w:r>
              <w:rPr>
                <w:noProof/>
              </w:rPr>
              <w:fldChar w:fldCharType="separate"/>
            </w:r>
            <w:r>
              <w:rPr>
                <w:noProof/>
              </w:rPr>
              <w:t>22</w:t>
            </w:r>
            <w:r>
              <w:rPr>
                <w:noProof/>
              </w:rPr>
              <w:fldChar w:fldCharType="end"/>
            </w:r>
          </w:hyperlink>
        </w:p>
        <w:p w:rsidR="005F1919" w:rsidRDefault="005F1919">
          <w:pPr>
            <w:pStyle w:val="TOC3"/>
            <w:tabs>
              <w:tab w:val="right" w:leader="dot" w:pos="9350"/>
            </w:tabs>
            <w:rPr>
              <w:noProof/>
            </w:rPr>
          </w:pPr>
          <w:hyperlink w:anchor="_Toc230446008" w:history="1">
            <w:r w:rsidRPr="00BF09CB">
              <w:rPr>
                <w:rStyle w:val="Hyperlink"/>
                <w:noProof/>
              </w:rPr>
              <w:t>January</w:t>
            </w:r>
            <w:r>
              <w:rPr>
                <w:noProof/>
              </w:rPr>
              <w:tab/>
            </w:r>
            <w:r>
              <w:rPr>
                <w:noProof/>
              </w:rPr>
              <w:fldChar w:fldCharType="begin"/>
            </w:r>
            <w:r>
              <w:rPr>
                <w:noProof/>
              </w:rPr>
              <w:instrText xml:space="preserve"> PAGEREF _Toc230446008 \h </w:instrText>
            </w:r>
            <w:r>
              <w:rPr>
                <w:noProof/>
              </w:rPr>
            </w:r>
            <w:r>
              <w:rPr>
                <w:noProof/>
              </w:rPr>
              <w:fldChar w:fldCharType="separate"/>
            </w:r>
            <w:r>
              <w:rPr>
                <w:noProof/>
              </w:rPr>
              <w:t>22</w:t>
            </w:r>
            <w:r>
              <w:rPr>
                <w:noProof/>
              </w:rPr>
              <w:fldChar w:fldCharType="end"/>
            </w:r>
          </w:hyperlink>
        </w:p>
        <w:p w:rsidR="005F1919" w:rsidRDefault="005F1919">
          <w:pPr>
            <w:pStyle w:val="TOC3"/>
            <w:tabs>
              <w:tab w:val="right" w:leader="dot" w:pos="9350"/>
            </w:tabs>
            <w:rPr>
              <w:noProof/>
            </w:rPr>
          </w:pPr>
          <w:hyperlink w:anchor="_Toc230446009" w:history="1">
            <w:r w:rsidRPr="00BF09CB">
              <w:rPr>
                <w:rStyle w:val="Hyperlink"/>
                <w:noProof/>
              </w:rPr>
              <w:t>February</w:t>
            </w:r>
            <w:r>
              <w:rPr>
                <w:noProof/>
              </w:rPr>
              <w:tab/>
            </w:r>
            <w:r>
              <w:rPr>
                <w:noProof/>
              </w:rPr>
              <w:fldChar w:fldCharType="begin"/>
            </w:r>
            <w:r>
              <w:rPr>
                <w:noProof/>
              </w:rPr>
              <w:instrText xml:space="preserve"> PAGEREF _Toc230446009 \h </w:instrText>
            </w:r>
            <w:r>
              <w:rPr>
                <w:noProof/>
              </w:rPr>
            </w:r>
            <w:r>
              <w:rPr>
                <w:noProof/>
              </w:rPr>
              <w:fldChar w:fldCharType="separate"/>
            </w:r>
            <w:r>
              <w:rPr>
                <w:noProof/>
              </w:rPr>
              <w:t>22</w:t>
            </w:r>
            <w:r>
              <w:rPr>
                <w:noProof/>
              </w:rPr>
              <w:fldChar w:fldCharType="end"/>
            </w:r>
          </w:hyperlink>
        </w:p>
        <w:p w:rsidR="005F1919" w:rsidRDefault="005F1919">
          <w:pPr>
            <w:pStyle w:val="TOC3"/>
            <w:tabs>
              <w:tab w:val="right" w:leader="dot" w:pos="9350"/>
            </w:tabs>
            <w:rPr>
              <w:noProof/>
            </w:rPr>
          </w:pPr>
          <w:hyperlink w:anchor="_Toc230446010" w:history="1">
            <w:r w:rsidRPr="00BF09CB">
              <w:rPr>
                <w:rStyle w:val="Hyperlink"/>
                <w:noProof/>
              </w:rPr>
              <w:t>March</w:t>
            </w:r>
            <w:r>
              <w:rPr>
                <w:noProof/>
              </w:rPr>
              <w:tab/>
            </w:r>
            <w:r>
              <w:rPr>
                <w:noProof/>
              </w:rPr>
              <w:fldChar w:fldCharType="begin"/>
            </w:r>
            <w:r>
              <w:rPr>
                <w:noProof/>
              </w:rPr>
              <w:instrText xml:space="preserve"> PAGEREF _Toc230446010 \h </w:instrText>
            </w:r>
            <w:r>
              <w:rPr>
                <w:noProof/>
              </w:rPr>
            </w:r>
            <w:r>
              <w:rPr>
                <w:noProof/>
              </w:rPr>
              <w:fldChar w:fldCharType="separate"/>
            </w:r>
            <w:r>
              <w:rPr>
                <w:noProof/>
              </w:rPr>
              <w:t>22</w:t>
            </w:r>
            <w:r>
              <w:rPr>
                <w:noProof/>
              </w:rPr>
              <w:fldChar w:fldCharType="end"/>
            </w:r>
          </w:hyperlink>
        </w:p>
        <w:p w:rsidR="005F1919" w:rsidRDefault="005F1919">
          <w:pPr>
            <w:pStyle w:val="TOC3"/>
            <w:tabs>
              <w:tab w:val="right" w:leader="dot" w:pos="9350"/>
            </w:tabs>
            <w:rPr>
              <w:noProof/>
            </w:rPr>
          </w:pPr>
          <w:hyperlink w:anchor="_Toc230446011" w:history="1">
            <w:r w:rsidRPr="00BF09CB">
              <w:rPr>
                <w:rStyle w:val="Hyperlink"/>
                <w:noProof/>
              </w:rPr>
              <w:t>April</w:t>
            </w:r>
            <w:r>
              <w:rPr>
                <w:noProof/>
              </w:rPr>
              <w:tab/>
            </w:r>
            <w:r>
              <w:rPr>
                <w:noProof/>
              </w:rPr>
              <w:fldChar w:fldCharType="begin"/>
            </w:r>
            <w:r>
              <w:rPr>
                <w:noProof/>
              </w:rPr>
              <w:instrText xml:space="preserve"> PAGEREF _Toc230446011 \h </w:instrText>
            </w:r>
            <w:r>
              <w:rPr>
                <w:noProof/>
              </w:rPr>
            </w:r>
            <w:r>
              <w:rPr>
                <w:noProof/>
              </w:rPr>
              <w:fldChar w:fldCharType="separate"/>
            </w:r>
            <w:r>
              <w:rPr>
                <w:noProof/>
              </w:rPr>
              <w:t>22</w:t>
            </w:r>
            <w:r>
              <w:rPr>
                <w:noProof/>
              </w:rPr>
              <w:fldChar w:fldCharType="end"/>
            </w:r>
          </w:hyperlink>
        </w:p>
        <w:p w:rsidR="005F1919" w:rsidRDefault="005F1919">
          <w:pPr>
            <w:pStyle w:val="TOC3"/>
            <w:tabs>
              <w:tab w:val="right" w:leader="dot" w:pos="9350"/>
            </w:tabs>
            <w:rPr>
              <w:noProof/>
            </w:rPr>
          </w:pPr>
          <w:hyperlink w:anchor="_Toc230446012" w:history="1">
            <w:r w:rsidRPr="00BF09CB">
              <w:rPr>
                <w:rStyle w:val="Hyperlink"/>
                <w:noProof/>
              </w:rPr>
              <w:t>May</w:t>
            </w:r>
            <w:r>
              <w:rPr>
                <w:noProof/>
              </w:rPr>
              <w:tab/>
            </w:r>
            <w:r>
              <w:rPr>
                <w:noProof/>
              </w:rPr>
              <w:fldChar w:fldCharType="begin"/>
            </w:r>
            <w:r>
              <w:rPr>
                <w:noProof/>
              </w:rPr>
              <w:instrText xml:space="preserve"> PAGEREF _Toc230446012 \h </w:instrText>
            </w:r>
            <w:r>
              <w:rPr>
                <w:noProof/>
              </w:rPr>
            </w:r>
            <w:r>
              <w:rPr>
                <w:noProof/>
              </w:rPr>
              <w:fldChar w:fldCharType="separate"/>
            </w:r>
            <w:r>
              <w:rPr>
                <w:noProof/>
              </w:rPr>
              <w:t>22</w:t>
            </w:r>
            <w:r>
              <w:rPr>
                <w:noProof/>
              </w:rPr>
              <w:fldChar w:fldCharType="end"/>
            </w:r>
          </w:hyperlink>
        </w:p>
        <w:p w:rsidR="005F1919" w:rsidRDefault="005F1919">
          <w:pPr>
            <w:pStyle w:val="TOC3"/>
            <w:tabs>
              <w:tab w:val="right" w:leader="dot" w:pos="9350"/>
            </w:tabs>
            <w:rPr>
              <w:noProof/>
            </w:rPr>
          </w:pPr>
          <w:hyperlink w:anchor="_Toc230446013" w:history="1">
            <w:r w:rsidRPr="00BF09CB">
              <w:rPr>
                <w:rStyle w:val="Hyperlink"/>
                <w:noProof/>
              </w:rPr>
              <w:t>June</w:t>
            </w:r>
            <w:r>
              <w:rPr>
                <w:noProof/>
              </w:rPr>
              <w:tab/>
            </w:r>
            <w:r>
              <w:rPr>
                <w:noProof/>
              </w:rPr>
              <w:fldChar w:fldCharType="begin"/>
            </w:r>
            <w:r>
              <w:rPr>
                <w:noProof/>
              </w:rPr>
              <w:instrText xml:space="preserve"> PAGEREF _Toc230446013 \h </w:instrText>
            </w:r>
            <w:r>
              <w:rPr>
                <w:noProof/>
              </w:rPr>
            </w:r>
            <w:r>
              <w:rPr>
                <w:noProof/>
              </w:rPr>
              <w:fldChar w:fldCharType="separate"/>
            </w:r>
            <w:r>
              <w:rPr>
                <w:noProof/>
              </w:rPr>
              <w:t>23</w:t>
            </w:r>
            <w:r>
              <w:rPr>
                <w:noProof/>
              </w:rPr>
              <w:fldChar w:fldCharType="end"/>
            </w:r>
          </w:hyperlink>
        </w:p>
        <w:p w:rsidR="005F1919" w:rsidRDefault="005F1919">
          <w:pPr>
            <w:pStyle w:val="TOC3"/>
            <w:tabs>
              <w:tab w:val="right" w:leader="dot" w:pos="9350"/>
            </w:tabs>
            <w:rPr>
              <w:noProof/>
            </w:rPr>
          </w:pPr>
          <w:hyperlink w:anchor="_Toc230446014" w:history="1">
            <w:r w:rsidRPr="00BF09CB">
              <w:rPr>
                <w:rStyle w:val="Hyperlink"/>
                <w:noProof/>
              </w:rPr>
              <w:t>July</w:t>
            </w:r>
            <w:r>
              <w:rPr>
                <w:noProof/>
              </w:rPr>
              <w:tab/>
            </w:r>
            <w:r>
              <w:rPr>
                <w:noProof/>
              </w:rPr>
              <w:fldChar w:fldCharType="begin"/>
            </w:r>
            <w:r>
              <w:rPr>
                <w:noProof/>
              </w:rPr>
              <w:instrText xml:space="preserve"> PAGEREF _Toc230446014 \h </w:instrText>
            </w:r>
            <w:r>
              <w:rPr>
                <w:noProof/>
              </w:rPr>
            </w:r>
            <w:r>
              <w:rPr>
                <w:noProof/>
              </w:rPr>
              <w:fldChar w:fldCharType="separate"/>
            </w:r>
            <w:r>
              <w:rPr>
                <w:noProof/>
              </w:rPr>
              <w:t>23</w:t>
            </w:r>
            <w:r>
              <w:rPr>
                <w:noProof/>
              </w:rPr>
              <w:fldChar w:fldCharType="end"/>
            </w:r>
          </w:hyperlink>
        </w:p>
        <w:p w:rsidR="005F1919" w:rsidRDefault="005F1919">
          <w:pPr>
            <w:pStyle w:val="TOC3"/>
            <w:tabs>
              <w:tab w:val="right" w:leader="dot" w:pos="9350"/>
            </w:tabs>
            <w:rPr>
              <w:noProof/>
            </w:rPr>
          </w:pPr>
          <w:hyperlink w:anchor="_Toc230446015" w:history="1">
            <w:r w:rsidRPr="00BF09CB">
              <w:rPr>
                <w:rStyle w:val="Hyperlink"/>
                <w:noProof/>
              </w:rPr>
              <w:t>August</w:t>
            </w:r>
            <w:r>
              <w:rPr>
                <w:noProof/>
              </w:rPr>
              <w:tab/>
            </w:r>
            <w:r>
              <w:rPr>
                <w:noProof/>
              </w:rPr>
              <w:fldChar w:fldCharType="begin"/>
            </w:r>
            <w:r>
              <w:rPr>
                <w:noProof/>
              </w:rPr>
              <w:instrText xml:space="preserve"> PAGEREF _Toc230446015 \h </w:instrText>
            </w:r>
            <w:r>
              <w:rPr>
                <w:noProof/>
              </w:rPr>
            </w:r>
            <w:r>
              <w:rPr>
                <w:noProof/>
              </w:rPr>
              <w:fldChar w:fldCharType="separate"/>
            </w:r>
            <w:r>
              <w:rPr>
                <w:noProof/>
              </w:rPr>
              <w:t>23</w:t>
            </w:r>
            <w:r>
              <w:rPr>
                <w:noProof/>
              </w:rPr>
              <w:fldChar w:fldCharType="end"/>
            </w:r>
          </w:hyperlink>
        </w:p>
        <w:p w:rsidR="005F1919" w:rsidRDefault="005F1919">
          <w:pPr>
            <w:pStyle w:val="TOC3"/>
            <w:tabs>
              <w:tab w:val="right" w:leader="dot" w:pos="9350"/>
            </w:tabs>
            <w:rPr>
              <w:noProof/>
            </w:rPr>
          </w:pPr>
          <w:hyperlink w:anchor="_Toc230446016" w:history="1">
            <w:r w:rsidRPr="00BF09CB">
              <w:rPr>
                <w:rStyle w:val="Hyperlink"/>
                <w:noProof/>
              </w:rPr>
              <w:t>September</w:t>
            </w:r>
            <w:r>
              <w:rPr>
                <w:noProof/>
              </w:rPr>
              <w:tab/>
            </w:r>
            <w:r>
              <w:rPr>
                <w:noProof/>
              </w:rPr>
              <w:fldChar w:fldCharType="begin"/>
            </w:r>
            <w:r>
              <w:rPr>
                <w:noProof/>
              </w:rPr>
              <w:instrText xml:space="preserve"> PAGEREF _Toc230446016 \h </w:instrText>
            </w:r>
            <w:r>
              <w:rPr>
                <w:noProof/>
              </w:rPr>
            </w:r>
            <w:r>
              <w:rPr>
                <w:noProof/>
              </w:rPr>
              <w:fldChar w:fldCharType="separate"/>
            </w:r>
            <w:r>
              <w:rPr>
                <w:noProof/>
              </w:rPr>
              <w:t>23</w:t>
            </w:r>
            <w:r>
              <w:rPr>
                <w:noProof/>
              </w:rPr>
              <w:fldChar w:fldCharType="end"/>
            </w:r>
          </w:hyperlink>
        </w:p>
        <w:p w:rsidR="005F1919" w:rsidRDefault="005F1919">
          <w:pPr>
            <w:pStyle w:val="TOC3"/>
            <w:tabs>
              <w:tab w:val="right" w:leader="dot" w:pos="9350"/>
            </w:tabs>
            <w:rPr>
              <w:noProof/>
            </w:rPr>
          </w:pPr>
          <w:hyperlink w:anchor="_Toc230446017" w:history="1">
            <w:r w:rsidRPr="00BF09CB">
              <w:rPr>
                <w:rStyle w:val="Hyperlink"/>
                <w:noProof/>
              </w:rPr>
              <w:t>October</w:t>
            </w:r>
            <w:r>
              <w:rPr>
                <w:noProof/>
              </w:rPr>
              <w:tab/>
            </w:r>
            <w:r>
              <w:rPr>
                <w:noProof/>
              </w:rPr>
              <w:fldChar w:fldCharType="begin"/>
            </w:r>
            <w:r>
              <w:rPr>
                <w:noProof/>
              </w:rPr>
              <w:instrText xml:space="preserve"> PAGEREF _Toc230446017 \h </w:instrText>
            </w:r>
            <w:r>
              <w:rPr>
                <w:noProof/>
              </w:rPr>
            </w:r>
            <w:r>
              <w:rPr>
                <w:noProof/>
              </w:rPr>
              <w:fldChar w:fldCharType="separate"/>
            </w:r>
            <w:r>
              <w:rPr>
                <w:noProof/>
              </w:rPr>
              <w:t>23</w:t>
            </w:r>
            <w:r>
              <w:rPr>
                <w:noProof/>
              </w:rPr>
              <w:fldChar w:fldCharType="end"/>
            </w:r>
          </w:hyperlink>
        </w:p>
        <w:p w:rsidR="005F1919" w:rsidRDefault="005F1919">
          <w:pPr>
            <w:pStyle w:val="TOC3"/>
            <w:tabs>
              <w:tab w:val="right" w:leader="dot" w:pos="9350"/>
            </w:tabs>
            <w:rPr>
              <w:noProof/>
            </w:rPr>
          </w:pPr>
          <w:hyperlink w:anchor="_Toc230446018" w:history="1">
            <w:r w:rsidRPr="00BF09CB">
              <w:rPr>
                <w:rStyle w:val="Hyperlink"/>
                <w:noProof/>
              </w:rPr>
              <w:t>November</w:t>
            </w:r>
            <w:r>
              <w:rPr>
                <w:noProof/>
              </w:rPr>
              <w:tab/>
            </w:r>
            <w:r>
              <w:rPr>
                <w:noProof/>
              </w:rPr>
              <w:fldChar w:fldCharType="begin"/>
            </w:r>
            <w:r>
              <w:rPr>
                <w:noProof/>
              </w:rPr>
              <w:instrText xml:space="preserve"> PAGEREF _Toc230446018 \h </w:instrText>
            </w:r>
            <w:r>
              <w:rPr>
                <w:noProof/>
              </w:rPr>
            </w:r>
            <w:r>
              <w:rPr>
                <w:noProof/>
              </w:rPr>
              <w:fldChar w:fldCharType="separate"/>
            </w:r>
            <w:r>
              <w:rPr>
                <w:noProof/>
              </w:rPr>
              <w:t>23</w:t>
            </w:r>
            <w:r>
              <w:rPr>
                <w:noProof/>
              </w:rPr>
              <w:fldChar w:fldCharType="end"/>
            </w:r>
          </w:hyperlink>
        </w:p>
        <w:p w:rsidR="005F1919" w:rsidRDefault="005F1919">
          <w:pPr>
            <w:pStyle w:val="TOC3"/>
            <w:tabs>
              <w:tab w:val="right" w:leader="dot" w:pos="9350"/>
            </w:tabs>
            <w:rPr>
              <w:noProof/>
            </w:rPr>
          </w:pPr>
          <w:hyperlink w:anchor="_Toc230446019" w:history="1">
            <w:r w:rsidRPr="00BF09CB">
              <w:rPr>
                <w:rStyle w:val="Hyperlink"/>
                <w:noProof/>
              </w:rPr>
              <w:t>December</w:t>
            </w:r>
            <w:r>
              <w:rPr>
                <w:noProof/>
              </w:rPr>
              <w:tab/>
            </w:r>
            <w:r>
              <w:rPr>
                <w:noProof/>
              </w:rPr>
              <w:fldChar w:fldCharType="begin"/>
            </w:r>
            <w:r>
              <w:rPr>
                <w:noProof/>
              </w:rPr>
              <w:instrText xml:space="preserve"> PAGEREF _Toc230446019 \h </w:instrText>
            </w:r>
            <w:r>
              <w:rPr>
                <w:noProof/>
              </w:rPr>
            </w:r>
            <w:r>
              <w:rPr>
                <w:noProof/>
              </w:rPr>
              <w:fldChar w:fldCharType="separate"/>
            </w:r>
            <w:r>
              <w:rPr>
                <w:noProof/>
              </w:rPr>
              <w:t>24</w:t>
            </w:r>
            <w:r>
              <w:rPr>
                <w:noProof/>
              </w:rPr>
              <w:fldChar w:fldCharType="end"/>
            </w:r>
          </w:hyperlink>
        </w:p>
        <w:p w:rsidR="005F1919" w:rsidRDefault="005F1919">
          <w:pPr>
            <w:pStyle w:val="TOC1"/>
            <w:tabs>
              <w:tab w:val="right" w:leader="dot" w:pos="9350"/>
            </w:tabs>
            <w:rPr>
              <w:noProof/>
            </w:rPr>
          </w:pPr>
          <w:hyperlink w:anchor="_Toc230446020" w:history="1">
            <w:r w:rsidRPr="00BF09CB">
              <w:rPr>
                <w:rStyle w:val="Hyperlink"/>
                <w:noProof/>
              </w:rPr>
              <w:t>17. Risk, Disputes, and Exit Options</w:t>
            </w:r>
            <w:r>
              <w:rPr>
                <w:noProof/>
              </w:rPr>
              <w:tab/>
            </w:r>
            <w:r>
              <w:rPr>
                <w:noProof/>
              </w:rPr>
              <w:fldChar w:fldCharType="begin"/>
            </w:r>
            <w:r>
              <w:rPr>
                <w:noProof/>
              </w:rPr>
              <w:instrText xml:space="preserve"> PAGEREF _Toc230446020 \h </w:instrText>
            </w:r>
            <w:r>
              <w:rPr>
                <w:noProof/>
              </w:rPr>
            </w:r>
            <w:r>
              <w:rPr>
                <w:noProof/>
              </w:rPr>
              <w:fldChar w:fldCharType="separate"/>
            </w:r>
            <w:r>
              <w:rPr>
                <w:noProof/>
              </w:rPr>
              <w:t>25</w:t>
            </w:r>
            <w:r>
              <w:rPr>
                <w:noProof/>
              </w:rPr>
              <w:fldChar w:fldCharType="end"/>
            </w:r>
          </w:hyperlink>
        </w:p>
        <w:p w:rsidR="005F1919" w:rsidRDefault="005F1919">
          <w:pPr>
            <w:pStyle w:val="TOC2"/>
            <w:tabs>
              <w:tab w:val="right" w:leader="dot" w:pos="9350"/>
            </w:tabs>
            <w:rPr>
              <w:noProof/>
            </w:rPr>
          </w:pPr>
          <w:hyperlink w:anchor="_Toc230446021" w:history="1">
            <w:r w:rsidRPr="00BF09CB">
              <w:rPr>
                <w:rStyle w:val="Hyperlink"/>
                <w:noProof/>
              </w:rPr>
              <w:t>17.1 Dispute Resolution</w:t>
            </w:r>
            <w:r>
              <w:rPr>
                <w:noProof/>
              </w:rPr>
              <w:tab/>
            </w:r>
            <w:r>
              <w:rPr>
                <w:noProof/>
              </w:rPr>
              <w:fldChar w:fldCharType="begin"/>
            </w:r>
            <w:r>
              <w:rPr>
                <w:noProof/>
              </w:rPr>
              <w:instrText xml:space="preserve"> PAGEREF _Toc230446021 \h </w:instrText>
            </w:r>
            <w:r>
              <w:rPr>
                <w:noProof/>
              </w:rPr>
            </w:r>
            <w:r>
              <w:rPr>
                <w:noProof/>
              </w:rPr>
              <w:fldChar w:fldCharType="separate"/>
            </w:r>
            <w:r>
              <w:rPr>
                <w:noProof/>
              </w:rPr>
              <w:t>25</w:t>
            </w:r>
            <w:r>
              <w:rPr>
                <w:noProof/>
              </w:rPr>
              <w:fldChar w:fldCharType="end"/>
            </w:r>
          </w:hyperlink>
        </w:p>
        <w:p w:rsidR="005F1919" w:rsidRDefault="005F1919">
          <w:pPr>
            <w:pStyle w:val="TOC2"/>
            <w:tabs>
              <w:tab w:val="right" w:leader="dot" w:pos="9350"/>
            </w:tabs>
            <w:rPr>
              <w:noProof/>
            </w:rPr>
          </w:pPr>
          <w:hyperlink w:anchor="_Toc230446022" w:history="1">
            <w:r w:rsidRPr="00BF09CB">
              <w:rPr>
                <w:rStyle w:val="Hyperlink"/>
                <w:noProof/>
              </w:rPr>
              <w:t>17.2 Key Risk Areas</w:t>
            </w:r>
            <w:r>
              <w:rPr>
                <w:noProof/>
              </w:rPr>
              <w:tab/>
            </w:r>
            <w:r>
              <w:rPr>
                <w:noProof/>
              </w:rPr>
              <w:fldChar w:fldCharType="begin"/>
            </w:r>
            <w:r>
              <w:rPr>
                <w:noProof/>
              </w:rPr>
              <w:instrText xml:space="preserve"> PAGEREF _Toc230446022 \h </w:instrText>
            </w:r>
            <w:r>
              <w:rPr>
                <w:noProof/>
              </w:rPr>
            </w:r>
            <w:r>
              <w:rPr>
                <w:noProof/>
              </w:rPr>
              <w:fldChar w:fldCharType="separate"/>
            </w:r>
            <w:r>
              <w:rPr>
                <w:noProof/>
              </w:rPr>
              <w:t>25</w:t>
            </w:r>
            <w:r>
              <w:rPr>
                <w:noProof/>
              </w:rPr>
              <w:fldChar w:fldCharType="end"/>
            </w:r>
          </w:hyperlink>
        </w:p>
        <w:p w:rsidR="005F1919" w:rsidRDefault="005F1919">
          <w:pPr>
            <w:pStyle w:val="TOC2"/>
            <w:tabs>
              <w:tab w:val="right" w:leader="dot" w:pos="9350"/>
            </w:tabs>
            <w:rPr>
              <w:noProof/>
            </w:rPr>
          </w:pPr>
          <w:hyperlink w:anchor="_Toc230446023" w:history="1">
            <w:r w:rsidRPr="00BF09CB">
              <w:rPr>
                <w:rStyle w:val="Hyperlink"/>
                <w:noProof/>
              </w:rPr>
              <w:t>17.3 Exit and Restructuring Options</w:t>
            </w:r>
            <w:r>
              <w:rPr>
                <w:noProof/>
              </w:rPr>
              <w:tab/>
            </w:r>
            <w:r>
              <w:rPr>
                <w:noProof/>
              </w:rPr>
              <w:fldChar w:fldCharType="begin"/>
            </w:r>
            <w:r>
              <w:rPr>
                <w:noProof/>
              </w:rPr>
              <w:instrText xml:space="preserve"> PAGEREF _Toc230446023 \h </w:instrText>
            </w:r>
            <w:r>
              <w:rPr>
                <w:noProof/>
              </w:rPr>
            </w:r>
            <w:r>
              <w:rPr>
                <w:noProof/>
              </w:rPr>
              <w:fldChar w:fldCharType="separate"/>
            </w:r>
            <w:r>
              <w:rPr>
                <w:noProof/>
              </w:rPr>
              <w:t>25</w:t>
            </w:r>
            <w:r>
              <w:rPr>
                <w:noProof/>
              </w:rPr>
              <w:fldChar w:fldCharType="end"/>
            </w:r>
          </w:hyperlink>
        </w:p>
        <w:p w:rsidR="005F1919" w:rsidRDefault="005F1919">
          <w:pPr>
            <w:pStyle w:val="TOC1"/>
            <w:tabs>
              <w:tab w:val="right" w:leader="dot" w:pos="9350"/>
            </w:tabs>
            <w:rPr>
              <w:noProof/>
            </w:rPr>
          </w:pPr>
          <w:hyperlink w:anchor="_Toc230446024" w:history="1">
            <w:r w:rsidRPr="00BF09CB">
              <w:rPr>
                <w:rStyle w:val="Hyperlink"/>
                <w:noProof/>
              </w:rPr>
              <w:t>18. Practical Checklists and Tools</w:t>
            </w:r>
            <w:r>
              <w:rPr>
                <w:noProof/>
              </w:rPr>
              <w:tab/>
            </w:r>
            <w:r>
              <w:rPr>
                <w:noProof/>
              </w:rPr>
              <w:fldChar w:fldCharType="begin"/>
            </w:r>
            <w:r>
              <w:rPr>
                <w:noProof/>
              </w:rPr>
              <w:instrText xml:space="preserve"> PAGEREF _Toc230446024 \h </w:instrText>
            </w:r>
            <w:r>
              <w:rPr>
                <w:noProof/>
              </w:rPr>
            </w:r>
            <w:r>
              <w:rPr>
                <w:noProof/>
              </w:rPr>
              <w:fldChar w:fldCharType="separate"/>
            </w:r>
            <w:r>
              <w:rPr>
                <w:noProof/>
              </w:rPr>
              <w:t>26</w:t>
            </w:r>
            <w:r>
              <w:rPr>
                <w:noProof/>
              </w:rPr>
              <w:fldChar w:fldCharType="end"/>
            </w:r>
          </w:hyperlink>
        </w:p>
        <w:p w:rsidR="005F1919" w:rsidRDefault="005F1919">
          <w:pPr>
            <w:pStyle w:val="TOC2"/>
            <w:tabs>
              <w:tab w:val="right" w:leader="dot" w:pos="9350"/>
            </w:tabs>
            <w:rPr>
              <w:noProof/>
            </w:rPr>
          </w:pPr>
          <w:hyperlink w:anchor="_Toc230446025" w:history="1">
            <w:r w:rsidRPr="00BF09CB">
              <w:rPr>
                <w:rStyle w:val="Hyperlink"/>
                <w:noProof/>
              </w:rPr>
              <w:t>18.1 Pre-Entry Checklist for Indian Entrepreneurs</w:t>
            </w:r>
            <w:r>
              <w:rPr>
                <w:noProof/>
              </w:rPr>
              <w:tab/>
            </w:r>
            <w:r>
              <w:rPr>
                <w:noProof/>
              </w:rPr>
              <w:fldChar w:fldCharType="begin"/>
            </w:r>
            <w:r>
              <w:rPr>
                <w:noProof/>
              </w:rPr>
              <w:instrText xml:space="preserve"> PAGEREF _Toc230446025 \h </w:instrText>
            </w:r>
            <w:r>
              <w:rPr>
                <w:noProof/>
              </w:rPr>
            </w:r>
            <w:r>
              <w:rPr>
                <w:noProof/>
              </w:rPr>
              <w:fldChar w:fldCharType="separate"/>
            </w:r>
            <w:r>
              <w:rPr>
                <w:noProof/>
              </w:rPr>
              <w:t>26</w:t>
            </w:r>
            <w:r>
              <w:rPr>
                <w:noProof/>
              </w:rPr>
              <w:fldChar w:fldCharType="end"/>
            </w:r>
          </w:hyperlink>
        </w:p>
        <w:p w:rsidR="005F1919" w:rsidRDefault="005F1919">
          <w:pPr>
            <w:pStyle w:val="TOC1"/>
            <w:tabs>
              <w:tab w:val="right" w:leader="dot" w:pos="9350"/>
            </w:tabs>
            <w:rPr>
              <w:noProof/>
            </w:rPr>
          </w:pPr>
          <w:hyperlink w:anchor="_Toc230446026" w:history="1">
            <w:r w:rsidRPr="00BF09CB">
              <w:rPr>
                <w:rStyle w:val="Hyperlink"/>
                <w:noProof/>
              </w:rPr>
              <w:t>19. Compliance Penalty Matrix</w:t>
            </w:r>
            <w:r>
              <w:rPr>
                <w:noProof/>
              </w:rPr>
              <w:tab/>
            </w:r>
            <w:r>
              <w:rPr>
                <w:noProof/>
              </w:rPr>
              <w:fldChar w:fldCharType="begin"/>
            </w:r>
            <w:r>
              <w:rPr>
                <w:noProof/>
              </w:rPr>
              <w:instrText xml:space="preserve"> PAGEREF _Toc230446026 \h </w:instrText>
            </w:r>
            <w:r>
              <w:rPr>
                <w:noProof/>
              </w:rPr>
            </w:r>
            <w:r>
              <w:rPr>
                <w:noProof/>
              </w:rPr>
              <w:fldChar w:fldCharType="separate"/>
            </w:r>
            <w:r>
              <w:rPr>
                <w:noProof/>
              </w:rPr>
              <w:t>27</w:t>
            </w:r>
            <w:r>
              <w:rPr>
                <w:noProof/>
              </w:rPr>
              <w:fldChar w:fldCharType="end"/>
            </w:r>
          </w:hyperlink>
        </w:p>
        <w:p w:rsidR="005F1919" w:rsidRDefault="005F1919">
          <w:pPr>
            <w:pStyle w:val="TOC1"/>
            <w:tabs>
              <w:tab w:val="right" w:leader="dot" w:pos="9350"/>
            </w:tabs>
            <w:rPr>
              <w:noProof/>
            </w:rPr>
          </w:pPr>
          <w:hyperlink w:anchor="_Toc230446027" w:history="1">
            <w:r w:rsidRPr="00BF09CB">
              <w:rPr>
                <w:rStyle w:val="Hyperlink"/>
                <w:noProof/>
              </w:rPr>
              <w:t>20. How Comply Globally Supports Entry Netherlands</w:t>
            </w:r>
            <w:r>
              <w:rPr>
                <w:noProof/>
              </w:rPr>
              <w:tab/>
            </w:r>
            <w:r>
              <w:rPr>
                <w:noProof/>
              </w:rPr>
              <w:fldChar w:fldCharType="begin"/>
            </w:r>
            <w:r>
              <w:rPr>
                <w:noProof/>
              </w:rPr>
              <w:instrText xml:space="preserve"> PAGEREF _Toc230446027 \h </w:instrText>
            </w:r>
            <w:r>
              <w:rPr>
                <w:noProof/>
              </w:rPr>
            </w:r>
            <w:r>
              <w:rPr>
                <w:noProof/>
              </w:rPr>
              <w:fldChar w:fldCharType="separate"/>
            </w:r>
            <w:r>
              <w:rPr>
                <w:noProof/>
              </w:rPr>
              <w:t>28</w:t>
            </w:r>
            <w:r>
              <w:rPr>
                <w:noProof/>
              </w:rPr>
              <w:fldChar w:fldCharType="end"/>
            </w:r>
          </w:hyperlink>
        </w:p>
        <w:p w:rsidR="005F1919" w:rsidRDefault="005F1919">
          <w:pPr>
            <w:pStyle w:val="TOC2"/>
            <w:tabs>
              <w:tab w:val="right" w:leader="dot" w:pos="9350"/>
            </w:tabs>
            <w:rPr>
              <w:noProof/>
            </w:rPr>
          </w:pPr>
          <w:hyperlink w:anchor="_Toc230446028" w:history="1">
            <w:r w:rsidRPr="00BF09CB">
              <w:rPr>
                <w:rStyle w:val="Hyperlink"/>
                <w:noProof/>
              </w:rPr>
              <w:t>20.1 Our Services</w:t>
            </w:r>
            <w:r>
              <w:rPr>
                <w:noProof/>
              </w:rPr>
              <w:tab/>
            </w:r>
            <w:r>
              <w:rPr>
                <w:noProof/>
              </w:rPr>
              <w:fldChar w:fldCharType="begin"/>
            </w:r>
            <w:r>
              <w:rPr>
                <w:noProof/>
              </w:rPr>
              <w:instrText xml:space="preserve"> PAGEREF _Toc230446028 \h </w:instrText>
            </w:r>
            <w:r>
              <w:rPr>
                <w:noProof/>
              </w:rPr>
            </w:r>
            <w:r>
              <w:rPr>
                <w:noProof/>
              </w:rPr>
              <w:fldChar w:fldCharType="separate"/>
            </w:r>
            <w:r>
              <w:rPr>
                <w:noProof/>
              </w:rPr>
              <w:t>28</w:t>
            </w:r>
            <w:r>
              <w:rPr>
                <w:noProof/>
              </w:rPr>
              <w:fldChar w:fldCharType="end"/>
            </w:r>
          </w:hyperlink>
        </w:p>
        <w:p w:rsidR="005F1919" w:rsidRDefault="005F1919">
          <w:pPr>
            <w:pStyle w:val="TOC2"/>
            <w:tabs>
              <w:tab w:val="right" w:leader="dot" w:pos="9350"/>
            </w:tabs>
            <w:rPr>
              <w:noProof/>
            </w:rPr>
          </w:pPr>
          <w:hyperlink w:anchor="_Toc230446029" w:history="1">
            <w:r w:rsidRPr="00BF09CB">
              <w:rPr>
                <w:rStyle w:val="Hyperlink"/>
                <w:noProof/>
              </w:rPr>
              <w:t>20.2 Engagement Models</w:t>
            </w:r>
            <w:r>
              <w:rPr>
                <w:noProof/>
              </w:rPr>
              <w:tab/>
            </w:r>
            <w:r>
              <w:rPr>
                <w:noProof/>
              </w:rPr>
              <w:fldChar w:fldCharType="begin"/>
            </w:r>
            <w:r>
              <w:rPr>
                <w:noProof/>
              </w:rPr>
              <w:instrText xml:space="preserve"> PAGEREF _Toc230446029 \h </w:instrText>
            </w:r>
            <w:r>
              <w:rPr>
                <w:noProof/>
              </w:rPr>
            </w:r>
            <w:r>
              <w:rPr>
                <w:noProof/>
              </w:rPr>
              <w:fldChar w:fldCharType="separate"/>
            </w:r>
            <w:r>
              <w:rPr>
                <w:noProof/>
              </w:rPr>
              <w:t>28</w:t>
            </w:r>
            <w:r>
              <w:rPr>
                <w:noProof/>
              </w:rPr>
              <w:fldChar w:fldCharType="end"/>
            </w:r>
          </w:hyperlink>
        </w:p>
        <w:p w:rsidR="005F1919" w:rsidRDefault="005F1919">
          <w:pPr>
            <w:pStyle w:val="TOC2"/>
            <w:tabs>
              <w:tab w:val="right" w:leader="dot" w:pos="9350"/>
            </w:tabs>
            <w:rPr>
              <w:noProof/>
            </w:rPr>
          </w:pPr>
          <w:hyperlink w:anchor="_Toc230446030" w:history="1">
            <w:r w:rsidRPr="00BF09CB">
              <w:rPr>
                <w:rStyle w:val="Hyperlink"/>
                <w:noProof/>
              </w:rPr>
              <w:t>20.3 Contact Us</w:t>
            </w:r>
            <w:r>
              <w:rPr>
                <w:noProof/>
              </w:rPr>
              <w:tab/>
            </w:r>
            <w:r>
              <w:rPr>
                <w:noProof/>
              </w:rPr>
              <w:fldChar w:fldCharType="begin"/>
            </w:r>
            <w:r>
              <w:rPr>
                <w:noProof/>
              </w:rPr>
              <w:instrText xml:space="preserve"> PAGEREF _Toc230446030 \h </w:instrText>
            </w:r>
            <w:r>
              <w:rPr>
                <w:noProof/>
              </w:rPr>
            </w:r>
            <w:r>
              <w:rPr>
                <w:noProof/>
              </w:rPr>
              <w:fldChar w:fldCharType="separate"/>
            </w:r>
            <w:r>
              <w:rPr>
                <w:noProof/>
              </w:rPr>
              <w:t>28</w:t>
            </w:r>
            <w:r>
              <w:rPr>
                <w:noProof/>
              </w:rPr>
              <w:fldChar w:fldCharType="end"/>
            </w:r>
          </w:hyperlink>
        </w:p>
        <w:p w:rsidR="00253005" w:rsidRDefault="008575F9">
          <w:r>
            <w:fldChar w:fldCharType="end"/>
          </w:r>
        </w:p>
      </w:sdtContent>
    </w:sdt>
    <w:p w:rsidR="00253005" w:rsidRDefault="008575F9">
      <w:r>
        <w:br w:type="page"/>
      </w:r>
    </w:p>
    <w:p w:rsidR="00253005" w:rsidRDefault="008575F9">
      <w:pPr>
        <w:pStyle w:val="Heading1"/>
      </w:pPr>
      <w:bookmarkStart w:id="1" w:name="_Toc230445952"/>
      <w:r>
        <w:lastRenderedPageBreak/>
        <w:t>1. Executive Overview</w:t>
      </w:r>
      <w:bookmarkEnd w:id="1"/>
    </w:p>
    <w:p w:rsidR="00253005" w:rsidRDefault="008575F9">
      <w:pPr>
        <w:spacing w:after="120" w:line="276" w:lineRule="auto"/>
      </w:pPr>
      <w:r>
        <w:t>This guide is designed for Indian entrepreneurs, investors, and expansion-stage companies seeking to establish or expand business operations in the Netherlands. It provides a comprehensive overview of the legal, regulatory, tax, and operational framework g</w:t>
      </w:r>
      <w:r>
        <w:t>overning foreign-owned businesses in the Netherlands, with specific focus on cross-border considerations relevant to Indian businesses.</w:t>
      </w:r>
    </w:p>
    <w:p w:rsidR="00253005" w:rsidRDefault="008575F9">
      <w:pPr>
        <w:pStyle w:val="Heading2"/>
      </w:pPr>
      <w:bookmarkStart w:id="2" w:name="_Toc230445953"/>
      <w:r>
        <w:t>1.1 Why the Netherlands?</w:t>
      </w:r>
      <w:bookmarkEnd w:id="2"/>
    </w:p>
    <w:p w:rsidR="00253005" w:rsidRDefault="008575F9">
      <w:pPr>
        <w:spacing w:after="120" w:line="276" w:lineRule="auto"/>
      </w:pPr>
      <w:r>
        <w:t>The Netherlands offers a uniquely attractive proposition for Indian businesses entering Europe:</w:t>
      </w:r>
      <w:r>
        <w:t xml:space="preserve"> it is one of the most open and trade-oriented economies in the European Union, the gateway to the EU's 450+ million consumer single market, host to one of the world's most developed tax treaty networks (90+ DTAAs including with India), home to the Port of</w:t>
      </w:r>
      <w:r>
        <w:t xml:space="preserve"> Rotterdam (Europe's largest port) and Schiphol Airport, with English widely spoken in business, and a renowned international business environment. The Dutch participation exemption is one of the world's most generous, making the Netherlands a preferred ho</w:t>
      </w:r>
      <w:r>
        <w:t>lding-company jurisdiction. The country has a vibrant tech scene, world-class logistics, and a strategic location at the heart of Europe.</w:t>
      </w:r>
    </w:p>
    <w:p w:rsidR="00253005" w:rsidRDefault="008575F9">
      <w:pPr>
        <w:pStyle w:val="Heading2"/>
      </w:pPr>
      <w:bookmarkStart w:id="3" w:name="_Toc230445954"/>
      <w:r>
        <w:t>1.2 Typical Entry Timelines and Cost Ranges</w:t>
      </w:r>
      <w:bookmarkEnd w:id="3"/>
    </w:p>
    <w:p w:rsidR="00253005" w:rsidRDefault="008575F9">
      <w:pPr>
        <w:spacing w:after="120" w:line="276" w:lineRule="auto"/>
      </w:pPr>
      <w:r>
        <w:t>Setting up a Dutch BV (Besloten Vennootschap, the Dutch private limited co</w:t>
      </w:r>
      <w:r>
        <w:t>mpany) typically takes 1-4 weeks. The entire process - notary deed, KVK registration, and Belastingdienst tax registration - can be completed in 5-10 working days when documents are ready. Costs range from EUR 500 to EUR 1,500 for notary fees, plus approxi</w:t>
      </w:r>
      <w:r>
        <w:t>mately EUR 80-85 KVK registration fee, with full-service incorporation including registered office, bank introduction, and tax registrations typically EUR 2,500-7,500. Bank account opening can take 2-6 weeks (often the longest step for foreign-owned entiti</w:t>
      </w:r>
      <w:r>
        <w:t>es). Plan for 4-8 weeks total for full operational readiness.</w:t>
      </w:r>
    </w:p>
    <w:p w:rsidR="00253005" w:rsidRDefault="008575F9">
      <w:r>
        <w:br w:type="page"/>
      </w:r>
    </w:p>
    <w:p w:rsidR="00253005" w:rsidRDefault="008575F9">
      <w:pPr>
        <w:pStyle w:val="Heading1"/>
      </w:pPr>
      <w:bookmarkStart w:id="4" w:name="_Toc230445955"/>
      <w:r>
        <w:lastRenderedPageBreak/>
        <w:t>2. Country Snapshot</w:t>
      </w:r>
      <w:bookmarkEnd w:id="4"/>
    </w:p>
    <w:p w:rsidR="00253005" w:rsidRDefault="008575F9">
      <w:pPr>
        <w:pStyle w:val="Heading2"/>
      </w:pPr>
      <w:bookmarkStart w:id="5" w:name="_Toc230445956"/>
      <w:r>
        <w:t>2.1 Political and Economic Overview</w:t>
      </w:r>
      <w:bookmarkEnd w:id="5"/>
    </w:p>
    <w:p w:rsidR="00253005" w:rsidRDefault="008575F9">
      <w:pPr>
        <w:spacing w:after="120" w:line="276" w:lineRule="auto"/>
      </w:pPr>
      <w:r>
        <w:t>The Netherlands is a constitutional monarchy with a parliamentary democracy. The economy is the 17th-largest globally and the 5th-largest in the EU, with a GDP of approximately USD 1.1 trillion (2025). The Euro (EUR) is the national currency. Key macro ind</w:t>
      </w:r>
      <w:r>
        <w:t>icators include GDP growth of 1-2%, inflation around 2-3%, and a highly diversified, services and trade-oriented economy. Key sectors include logistics, agriculture and food (Netherlands is the world's second-largest agricultural exporter), high-tech manuf</w:t>
      </w:r>
      <w:r>
        <w:t>acturing, financial services, life sciences, energy, and creative industries.</w:t>
      </w:r>
    </w:p>
    <w:p w:rsidR="00253005" w:rsidRDefault="008575F9">
      <w:pPr>
        <w:pStyle w:val="Heading2"/>
      </w:pPr>
      <w:bookmarkStart w:id="6" w:name="_Toc230445957"/>
      <w:r>
        <w:t>2.2 Demographics and Key Economic Hubs</w:t>
      </w:r>
      <w:bookmarkEnd w:id="6"/>
    </w:p>
    <w:p w:rsidR="00253005" w:rsidRDefault="008575F9">
      <w:pPr>
        <w:spacing w:after="120" w:line="276" w:lineRule="auto"/>
      </w:pPr>
      <w:r>
        <w:t>With approximately 18 million people, the Netherlands has one of the most highly educated and English-proficient populations in Europe (ove</w:t>
      </w:r>
      <w:r>
        <w:t>r 90% of Dutch speak English). The Indian diaspora numbers approximately 60,000+, growing rapidly especially in the Amsterdam-Eindhoven-Rotterdam tech corridor. Amsterdam (financial services, tech, creative industries), Rotterdam (logistics, port, energy),</w:t>
      </w:r>
      <w:r>
        <w:t xml:space="preserve"> The Hague (international institutions, government), Utrecht (services, life sciences), and Eindhoven (high-tech manufacturing, the 'Brainport' region) form the core economic centers.</w:t>
      </w:r>
    </w:p>
    <w:p w:rsidR="00253005" w:rsidRDefault="008575F9">
      <w:pPr>
        <w:pStyle w:val="Heading2"/>
      </w:pPr>
      <w:bookmarkStart w:id="7" w:name="_Toc230445958"/>
      <w:r>
        <w:t>2.3 Trade Agreements and Tax Treaties</w:t>
      </w:r>
      <w:bookmarkEnd w:id="7"/>
    </w:p>
    <w:p w:rsidR="00253005" w:rsidRDefault="008575F9">
      <w:pPr>
        <w:spacing w:after="120" w:line="276" w:lineRule="auto"/>
      </w:pPr>
      <w:r>
        <w:t>The Netherlands is an EU member st</w:t>
      </w:r>
      <w:r>
        <w:t>ate and benefits from the EU's free trade agreements with countries worldwide. As a country of the European Union, it benefits from the EU Parent-Subsidiary Directive, Interest and Royalties Directive, and the Merger Directive. The Netherlands has signed D</w:t>
      </w:r>
      <w:r>
        <w:t>ouble Taxation Avoidance Agreements (DTAAs) with over 90 countries including India (signed 1988, in force from 21 January 1989, including a Most Favoured Nation (MFN) clause). India and the Netherlands also have a Bilateral Investment Treaty arrangement. T</w:t>
      </w:r>
      <w:r>
        <w:t>he Netherlands is a member of the WTO, OECD, and an active participant in the OECD's BEPS and Pillar Two frameworks.</w:t>
      </w:r>
    </w:p>
    <w:p w:rsidR="00253005" w:rsidRDefault="008575F9">
      <w:r>
        <w:br w:type="page"/>
      </w:r>
    </w:p>
    <w:p w:rsidR="00253005" w:rsidRDefault="008575F9">
      <w:pPr>
        <w:pStyle w:val="Heading1"/>
      </w:pPr>
      <w:bookmarkStart w:id="8" w:name="_Toc230445959"/>
      <w:r>
        <w:lastRenderedPageBreak/>
        <w:t>3. Investment Climate &amp; Business Environment</w:t>
      </w:r>
      <w:bookmarkEnd w:id="8"/>
    </w:p>
    <w:p w:rsidR="00253005" w:rsidRDefault="008575F9">
      <w:pPr>
        <w:pStyle w:val="Heading2"/>
      </w:pPr>
      <w:bookmarkStart w:id="9" w:name="_Toc230445960"/>
      <w:r>
        <w:t>3.1 Openness to Foreign Investment</w:t>
      </w:r>
      <w:bookmarkEnd w:id="9"/>
    </w:p>
    <w:p w:rsidR="00253005" w:rsidRDefault="008575F9">
      <w:pPr>
        <w:spacing w:after="120" w:line="276" w:lineRule="auto"/>
      </w:pPr>
      <w:r>
        <w:t xml:space="preserve">The Netherlands has one of the world's most open foreign </w:t>
      </w:r>
      <w:r>
        <w:t>investment regimes. There are no general sectoral caps on foreign equity ownership - foreign nationals and companies can own 100% of Dutch companies in nearly all industries. Since 1 June 2023, the Investment Screening Act (Wet veiligheidstoets investering</w:t>
      </w:r>
      <w:r>
        <w:t>en, fusies en overnames - 'Vifo Act') requires mandatory pre-completion notification to the Ministry of Economic Affairs (Bureau Toetsing Investeringen, BTI) for acquisitions or investments in vital providers, sensitive technology suppliers, and certain se</w:t>
      </w:r>
      <w:r>
        <w:t>miconductor-related activities, port infrastructure, and certain other strategic sectors. The Telecommunications Act also imposes screening for certain telecom acquisitions.</w:t>
      </w:r>
    </w:p>
    <w:p w:rsidR="00253005" w:rsidRDefault="008575F9">
      <w:pPr>
        <w:pStyle w:val="Heading2"/>
      </w:pPr>
      <w:bookmarkStart w:id="10" w:name="_Toc230445961"/>
      <w:r>
        <w:t>3.2 Ease of Doing Business</w:t>
      </w:r>
      <w:bookmarkEnd w:id="10"/>
    </w:p>
    <w:p w:rsidR="00253005" w:rsidRDefault="008575F9">
      <w:pPr>
        <w:spacing w:after="120" w:line="276" w:lineRule="auto"/>
      </w:pPr>
      <w:r>
        <w:t>The Netherlands consistently ranks among the world's ea</w:t>
      </w:r>
      <w:r>
        <w:t>siest places to do business. The KVK (Kamer van Koophandel - Chamber of Commerce) operates an efficient registration system. Since 2024, the entire BV incorporation process can be completed online including remote video notary services. There is no minimum</w:t>
      </w:r>
      <w:r>
        <w:t xml:space="preserve"> share capital requirement (a BV can be incorporated with just EUR 0.01). There is no requirement for a Dutch-resident director, although having local substance is increasingly important for tax purposes. The Belastingdienst (Dutch Tax Administration) offe</w:t>
      </w:r>
      <w:r>
        <w:t>rs extensive English-language services and the option of advance tax rulings (ATR) and advance pricing agreements (APA) provides certainty on cross-border transactions.</w:t>
      </w:r>
    </w:p>
    <w:p w:rsidR="00253005" w:rsidRDefault="008575F9">
      <w:pPr>
        <w:pStyle w:val="Heading2"/>
      </w:pPr>
      <w:bookmarkStart w:id="11" w:name="_Toc230445962"/>
      <w:r>
        <w:t>3.3 Priority Sectors and Incentives</w:t>
      </w:r>
      <w:bookmarkEnd w:id="11"/>
    </w:p>
    <w:p w:rsidR="00253005" w:rsidRDefault="008575F9">
      <w:pPr>
        <w:spacing w:after="120" w:line="276" w:lineRule="auto"/>
      </w:pPr>
      <w:r>
        <w:t>Dutch government strategic priorities include: high</w:t>
      </w:r>
      <w:r>
        <w:t>-tech systems and materials, agri-food, energy transition and sustainability, life sciences and health, water technology, creative industries, and logistics. The Netherlands offers significant tax incentives including: the Innovation Box (effective 9% rate</w:t>
      </w:r>
      <w:r>
        <w:t xml:space="preserve"> on qualifying R&amp;D-derived income), WBSO (R&amp;D wage tax credit), Energy Investment Allowance (EIA), Environmental Investment Allowance (MIA), and the renowned Dutch participation exemption (full exemption on qualifying dividend income and capital gains). Th</w:t>
      </w:r>
      <w:r>
        <w:t>e country is also a leading European hub for the European Patent Office, with Eindhoven hosting one of the world's densest concentrations of high-tech R&amp;D activity.</w:t>
      </w:r>
    </w:p>
    <w:p w:rsidR="00253005" w:rsidRDefault="008575F9">
      <w:r>
        <w:br w:type="page"/>
      </w:r>
    </w:p>
    <w:p w:rsidR="00253005" w:rsidRDefault="008575F9">
      <w:pPr>
        <w:pStyle w:val="Heading1"/>
      </w:pPr>
      <w:bookmarkStart w:id="12" w:name="_Toc230445963"/>
      <w:r>
        <w:lastRenderedPageBreak/>
        <w:t>4. Market Entry Strategy</w:t>
      </w:r>
      <w:bookmarkEnd w:id="12"/>
    </w:p>
    <w:p w:rsidR="00253005" w:rsidRDefault="008575F9">
      <w:pPr>
        <w:pStyle w:val="Heading2"/>
      </w:pPr>
      <w:bookmarkStart w:id="13" w:name="_Toc230445964"/>
      <w:r>
        <w:t>4.1 Go-to-Market Models</w:t>
      </w:r>
      <w:bookmarkEnd w:id="13"/>
    </w:p>
    <w:p w:rsidR="00253005" w:rsidRDefault="008575F9">
      <w:pPr>
        <w:spacing w:after="120" w:line="276" w:lineRule="auto"/>
      </w:pPr>
      <w:r>
        <w:t xml:space="preserve">Indian entrants typically consider: (a) </w:t>
      </w:r>
      <w:r>
        <w:t>Direct Export to Dutch customers (often via EU-wide distributors); (b) Appointing a Dutch distributor or commercial agent; (c) Establishing a wholly-owned subsidiary as a Dutch BV (Besloten Vennootschap) - the most common structure for Indian businesses; (</w:t>
      </w:r>
      <w:r>
        <w:t>d) Forming a joint venture with a Dutch partner; (e) Opening a Dutch branch (filiaal) of the Indian parent company; (f) Establishing a Dutch Cooperative (Cooperatie U.A.) - sometimes used for holding/financing structures; (g) Limited Partnership (CV) - typ</w:t>
      </w:r>
      <w:r>
        <w:t>ically tax-transparent under specific conditions; and (h) Acquisition of an existing Dutch business.</w:t>
      </w:r>
    </w:p>
    <w:p w:rsidR="00253005" w:rsidRDefault="008575F9">
      <w:pPr>
        <w:pStyle w:val="Heading2"/>
      </w:pPr>
      <w:bookmarkStart w:id="14" w:name="_Toc230445965"/>
      <w:r>
        <w:t>4.2 Strategic Considerations</w:t>
      </w:r>
      <w:bookmarkEnd w:id="14"/>
    </w:p>
    <w:p w:rsidR="00253005" w:rsidRDefault="008575F9">
      <w:pPr>
        <w:spacing w:after="120" w:line="276" w:lineRule="auto"/>
      </w:pPr>
      <w:r>
        <w:t>Key considerations for Indian businesses include: tax efficiency (a Dutch BV can leverage the Dutch participation exemption fo</w:t>
      </w:r>
      <w:r>
        <w:t>r inbound dividends from sub-subsidiaries; the Dutch CIT progressive rates are competitive); credibility with European customers (a Dutch BV is widely respected in EU markets); access to EU single market and customs union; treaty network (the Netherlands h</w:t>
      </w:r>
      <w:r>
        <w:t xml:space="preserve">as 90+ tax treaties, often the best in Europe); operational ease (English widely spoken, world-class logistics); India-Netherlands DTAA with MFN clause; and Indian regulatory compliance (FEMA ODI requirements apply). Note that Dutch substance requirements </w:t>
      </w:r>
      <w:r>
        <w:t>are increasingly strict for tax purposes - the structure should reflect genuine economic activity to avoid anti-abuse challenges.</w:t>
      </w:r>
    </w:p>
    <w:p w:rsidR="00253005" w:rsidRDefault="00253005">
      <w:pPr>
        <w:spacing w:after="8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2400"/>
        <w:gridCol w:w="1960"/>
      </w:tblGrid>
      <w:tr w:rsidR="0025300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Entry Model</w:t>
            </w:r>
          </w:p>
        </w:tc>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Control</w:t>
            </w:r>
          </w:p>
        </w:tc>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Speed</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Tax Efficiency</w:t>
            </w:r>
          </w:p>
        </w:tc>
        <w:tc>
          <w:tcPr>
            <w:tcW w:w="19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Regulatory Risk</w:t>
            </w:r>
          </w:p>
        </w:tc>
      </w:tr>
      <w:tr w:rsidR="0025300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Private Ltd. Co. (BV)</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High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1-4 weeks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High (participation exemption)</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Low</w:t>
            </w:r>
          </w:p>
        </w:tc>
      </w:tr>
      <w:tr w:rsidR="0025300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Joint Venture</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Shared</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4-8 weeks</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High</w:t>
            </w:r>
          </w:p>
        </w:tc>
        <w:tc>
          <w:tcPr>
            <w:tcW w:w="1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Low-Medium</w:t>
            </w:r>
          </w:p>
        </w:tc>
      </w:tr>
      <w:tr w:rsidR="0025300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Branch (Filiaal)</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High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2-4 weeks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Medium (parent exposed)</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Medium</w:t>
            </w:r>
          </w:p>
        </w:tc>
      </w:tr>
      <w:tr w:rsidR="0025300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Cooperative (Co-op)</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2-6 weeks</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High (no DWT in some cases)</w:t>
            </w:r>
          </w:p>
        </w:tc>
        <w:tc>
          <w:tcPr>
            <w:tcW w:w="1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Medium</w:t>
            </w:r>
          </w:p>
        </w:tc>
      </w:tr>
      <w:tr w:rsidR="0025300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Acquisition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High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3-9 months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Variable</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Medium-High (Vifo Act)</w:t>
            </w:r>
          </w:p>
        </w:tc>
      </w:tr>
    </w:tbl>
    <w:p w:rsidR="00253005" w:rsidRDefault="008575F9">
      <w:r>
        <w:br w:type="page"/>
      </w:r>
    </w:p>
    <w:p w:rsidR="00253005" w:rsidRDefault="008575F9">
      <w:pPr>
        <w:pStyle w:val="Heading1"/>
      </w:pPr>
      <w:bookmarkStart w:id="15" w:name="_Toc230445966"/>
      <w:r>
        <w:lastRenderedPageBreak/>
        <w:t>5. Legal and Regulatory Framework</w:t>
      </w:r>
      <w:bookmarkEnd w:id="15"/>
    </w:p>
    <w:p w:rsidR="00253005" w:rsidRDefault="008575F9">
      <w:pPr>
        <w:pStyle w:val="Heading2"/>
      </w:pPr>
      <w:bookmarkStart w:id="16" w:name="_Toc230445967"/>
      <w:r>
        <w:t>5.1 Overview of the Legal System</w:t>
      </w:r>
      <w:bookmarkEnd w:id="16"/>
    </w:p>
    <w:p w:rsidR="00253005" w:rsidRDefault="008575F9">
      <w:pPr>
        <w:spacing w:after="120" w:line="276" w:lineRule="auto"/>
      </w:pPr>
      <w:r>
        <w:t>The Netherlands operates under a civil law legal system based on Roman-Germanic principles. Key business laws include the Dutch Civil Code (Burgerlijk Wetboek - particularly Book 2 on legal</w:t>
      </w:r>
      <w:r>
        <w:t xml:space="preserve"> persons), the Corporate Income Tax Act 1969 (Wet op de vennootschapsbelasting), the Income Tax Act 2001 (Wet inkomstenbelasting), the VAT Act (Wet op de omzetbelasting), the Working Conditions Act (Arbeidsomstandighedenwet), the Equal Treatment Act, the E</w:t>
      </w:r>
      <w:r>
        <w:t>U GDPR and Dutch Implementation Act (Uitvoeringswet AVG), the Dutch Anti-Money Laundering and Anti-Terrorist Financing Act (Wwft), the Investment Screening Act (Vifo), and the Whistleblowers Protection Act.</w:t>
      </w:r>
    </w:p>
    <w:p w:rsidR="00253005" w:rsidRDefault="008575F9">
      <w:pPr>
        <w:pStyle w:val="Heading2"/>
      </w:pPr>
      <w:bookmarkStart w:id="17" w:name="_Toc230445968"/>
      <w:r>
        <w:t>5.2 Key Regulatory Bodies</w:t>
      </w:r>
      <w:bookmarkEnd w:id="17"/>
    </w:p>
    <w:p w:rsidR="00253005" w:rsidRDefault="008575F9">
      <w:pPr>
        <w:spacing w:after="120" w:line="276" w:lineRule="auto"/>
      </w:pPr>
      <w:r>
        <w:t>KVK (Kamer van Koophand</w:t>
      </w:r>
      <w:r>
        <w:t>el) - Chamber of Commerce administering the Business Register. Belastingdienst - Dutch Tax and Customs Administration. De Nederlandsche Bank (DNB) - central bank and prudential supervisor for financial institutions. Authority for the Financial Markets (AFM</w:t>
      </w:r>
      <w:r>
        <w:t>) - conduct supervision of financial markets. Autoriteit Persoonsgegevens (AP) - Dutch Data Protection Authority. Authority for Consumers and Markets (ACM) - competition and consumer protection regulator. Bureau Toetsing Investeringen (BTI) - investment sc</w:t>
      </w:r>
      <w:r>
        <w:t>reening under Vifo Act. UWV - employee insurance and benefits administration. Inspectie SZW (Nederlandse Arbeidsinspectie) - Dutch Labour Inspectorate.</w:t>
      </w:r>
    </w:p>
    <w:p w:rsidR="00253005" w:rsidRDefault="008575F9">
      <w:pPr>
        <w:pStyle w:val="Heading2"/>
      </w:pPr>
      <w:bookmarkStart w:id="18" w:name="_Toc230445969"/>
      <w:r>
        <w:t>5.3 Competition, Consumer Protection, and Data Privacy</w:t>
      </w:r>
      <w:bookmarkEnd w:id="18"/>
    </w:p>
    <w:p w:rsidR="00253005" w:rsidRDefault="008575F9">
      <w:pPr>
        <w:spacing w:after="120" w:line="276" w:lineRule="auto"/>
      </w:pPr>
      <w:r>
        <w:t>Competition law is governed by the Dutch Competit</w:t>
      </w:r>
      <w:r>
        <w:t>ion Act (Mededingingswet) and EU competition law (Articles 101 and 102 TFEU and the EU Merger Regulation), administered by the ACM. Consumer protection is largely harmonized at EU level. The EU GDPR is directly applicable, supplemented by the Dutch GDPR Im</w:t>
      </w:r>
      <w:r>
        <w:t>plementation Act, with the Autoriteit Persoonsgegevens (AP) as supervisory authority. Mandatory requirements include lawful processing bases, data subject rights, breach notification within 72 hours, Data Protection Impact Assessments for high-risk process</w:t>
      </w:r>
      <w:r>
        <w:t>ing, and appointment of a Data Protection Officer where required. Maximum GDPR fines: greater of EUR 20 million or 4% of global annual turnover.</w:t>
      </w:r>
    </w:p>
    <w:p w:rsidR="00253005" w:rsidRDefault="008575F9">
      <w:r>
        <w:br w:type="page"/>
      </w:r>
    </w:p>
    <w:p w:rsidR="00253005" w:rsidRDefault="008575F9">
      <w:pPr>
        <w:pStyle w:val="Heading1"/>
      </w:pPr>
      <w:bookmarkStart w:id="19" w:name="_Toc230445970"/>
      <w:r>
        <w:lastRenderedPageBreak/>
        <w:t>6. Business Structures for Foreign Investors</w:t>
      </w:r>
      <w:bookmarkEnd w:id="19"/>
    </w:p>
    <w:p w:rsidR="00253005" w:rsidRDefault="008575F9">
      <w:pPr>
        <w:pStyle w:val="Heading2"/>
      </w:pPr>
      <w:bookmarkStart w:id="20" w:name="_Toc230445971"/>
      <w:r>
        <w:t>6.1 Available Business Vehicles</w:t>
      </w:r>
      <w:bookmarkEnd w:id="20"/>
    </w:p>
    <w:p w:rsidR="00253005" w:rsidRDefault="008575F9">
      <w:pPr>
        <w:spacing w:after="120" w:line="276" w:lineRule="auto"/>
      </w:pPr>
      <w:r>
        <w:t>Foreign investors may choose fro</w:t>
      </w:r>
      <w:r>
        <w:t xml:space="preserve">m: BV (Besloten Vennootschap met beperkte aansprakelijkheid) - private limited company, the most common structure with no minimum capital (EUR 0.01); NV (Naamloze Vennootschap) - public limited company, required for stock listing, minimum EUR 45,000 share </w:t>
      </w:r>
      <w:r>
        <w:t>capital; Branch (Filiaal/Bijkantoor) of a foreign company; Coöperatie (Cooperative U.A.) - cooperative association with excluded liability, sometimes used for holding/financing; CV (Commanditaire Vennootschap) - limited partnership; VOF (Vennootschap onder</w:t>
      </w:r>
      <w:r>
        <w:t xml:space="preserve"> Firma) - general partnership; Eenmanszaak (Sole Proprietorship) for individuals; and Stichting (Foundation) - typically for non-profit/asset-protection structures.</w:t>
      </w:r>
    </w:p>
    <w:p w:rsidR="00253005" w:rsidRDefault="008575F9">
      <w:pPr>
        <w:pStyle w:val="Heading2"/>
      </w:pPr>
      <w:bookmarkStart w:id="21" w:name="_Toc230445972"/>
      <w:r>
        <w:t>6.2 Comparative Table of Structures</w:t>
      </w:r>
      <w:bookmarkEnd w:id="21"/>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5"/>
        <w:gridCol w:w="1799"/>
        <w:gridCol w:w="1755"/>
        <w:gridCol w:w="1844"/>
        <w:gridCol w:w="1787"/>
      </w:tblGrid>
      <w:tr w:rsidR="0025300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Feature</w:t>
            </w:r>
          </w:p>
        </w:tc>
        <w:tc>
          <w:tcPr>
            <w:tcW w:w="19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BV (Subsidiary)</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Branch (Filiaal)</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Coöperatie</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NV</w:t>
            </w:r>
          </w:p>
        </w:tc>
      </w:tr>
      <w:tr w:rsidR="0025300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Legal Personality</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Separate entity</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Extension of parent</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Separate entity</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Separate entity</w:t>
            </w:r>
          </w:p>
        </w:tc>
      </w:tr>
      <w:tr w:rsidR="0025300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Liability</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Limited to capital</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Parent liable</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Limited (U.A.)</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Limited to capital</w:t>
            </w:r>
          </w:p>
        </w:tc>
      </w:tr>
      <w:tr w:rsidR="0025300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Min. Capital</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EUR 0.01 (no min.)</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N/A</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No minimum</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EUR 45,000</w:t>
            </w:r>
          </w:p>
        </w:tc>
      </w:tr>
      <w:tr w:rsidR="0025300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CIT Rate</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19% / 25.8%</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CIT on Dutch profits</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19% / 25.8%</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19% / 25.8%</w:t>
            </w:r>
          </w:p>
        </w:tc>
      </w:tr>
      <w:tr w:rsidR="0025300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Members/Shareholders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1+ shareholder</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N/A (parent)</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2+ members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1+ shareholder</w:t>
            </w:r>
          </w:p>
        </w:tc>
      </w:tr>
      <w:tr w:rsidR="0025300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Notary Required?</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Yes (deed)</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No (KVK form)</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Yes (deed)</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Yes (deed)</w:t>
            </w:r>
          </w:p>
        </w:tc>
      </w:tr>
      <w:tr w:rsidR="0025300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Suitable For</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Most businesses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Cost-light entry</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Holding/finance</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Capital raising</w:t>
            </w:r>
          </w:p>
        </w:tc>
      </w:tr>
    </w:tbl>
    <w:p w:rsidR="00253005" w:rsidRDefault="008575F9">
      <w:pPr>
        <w:spacing w:after="120" w:line="276" w:lineRule="auto"/>
      </w:pPr>
      <w:r>
        <w:t>Note: Most Indian businesses opt for a BV (Besloten Vennootschap) for its limited liability, separate legal personality, no minimum capital requirement, and access to the Dutch participation exemption. The cooperative (Coöperatie U.A.) is sometimes used in</w:t>
      </w:r>
      <w:r>
        <w:t xml:space="preserve"> international holding/financing structures because it can avoid the 15% Dutch dividend withholding tax in certain bona fide structures (subject to anti-abuse rules).</w:t>
      </w:r>
    </w:p>
    <w:p w:rsidR="00253005" w:rsidRDefault="008575F9">
      <w:r>
        <w:br w:type="page"/>
      </w:r>
    </w:p>
    <w:p w:rsidR="00253005" w:rsidRDefault="008575F9">
      <w:pPr>
        <w:pStyle w:val="Heading1"/>
      </w:pPr>
      <w:bookmarkStart w:id="22" w:name="_Toc230445973"/>
      <w:r>
        <w:lastRenderedPageBreak/>
        <w:t>7. Foreign Investment Rules and Exchange Control</w:t>
      </w:r>
      <w:bookmarkEnd w:id="22"/>
    </w:p>
    <w:p w:rsidR="00253005" w:rsidRDefault="008575F9">
      <w:pPr>
        <w:pStyle w:val="Heading2"/>
      </w:pPr>
      <w:bookmarkStart w:id="23" w:name="_Toc230445974"/>
      <w:r>
        <w:t>7.1 FDI Regime Overview</w:t>
      </w:r>
      <w:bookmarkEnd w:id="23"/>
    </w:p>
    <w:p w:rsidR="00253005" w:rsidRDefault="008575F9">
      <w:pPr>
        <w:spacing w:after="120" w:line="276" w:lineRule="auto"/>
      </w:pPr>
      <w:r>
        <w:t>The Netherlands maintains an open FDI regime with no general sectoral caps. Foreign investors can hold 100% of Dutch companies in almost all sectors. Since 1 June 2023, the Investment Screening Act (Wet veiligheidstoets investeringen, fusies en overnames -</w:t>
      </w:r>
      <w:r>
        <w:t xml:space="preserve"> Vifo Act) requires mandatory notification to BTI (Bureau Toetsing Investeringen) for acquisitions/investments in: (a) vital providers (e.g., heat networks, nuclear, certain port operators, gas storage, specific transport infrastructure); (b) sensitive tec</w:t>
      </w:r>
      <w:r>
        <w:t>hnology suppliers (e.g., dual-use goods, military goods, certain other strategic technologies); and (c) since June 2023, specific semiconductor-related activities. Sector-specific screening also exists for telecom, energy, and financial sectors. Investment</w:t>
      </w:r>
      <w:r>
        <w:t>s completed without required notification are voidable.</w:t>
      </w:r>
    </w:p>
    <w:p w:rsidR="00253005" w:rsidRDefault="008575F9">
      <w:pPr>
        <w:pStyle w:val="Heading2"/>
      </w:pPr>
      <w:bookmarkStart w:id="24" w:name="_Toc230445975"/>
      <w:r>
        <w:t>7.2 Key Conditions for Foreign Shareholders</w:t>
      </w:r>
      <w:bookmarkEnd w:id="24"/>
    </w:p>
    <w:p w:rsidR="00253005" w:rsidRDefault="008575F9">
      <w:pPr>
        <w:spacing w:after="120" w:line="276" w:lineRule="auto"/>
      </w:pPr>
      <w:r>
        <w:t>Foreign nationals and companies can own 100% of Dutch BVs in nearly all sectors. There is no requirement for Dutch-resident directors, although there are in</w:t>
      </w:r>
      <w:r>
        <w:t xml:space="preserve">creasingly important substance considerations for tax purposes. UBO (Ultimate Beneficial Owner) registration is mandatory for most legal entities - any natural person ultimately owning 25%+ shares or voting rights, or otherwise effectively controlling the </w:t>
      </w:r>
      <w:r>
        <w:t>entity, must be registered with the KVK UBO register. Note that, following EU Court of Justice rulings, public access to the UBO register is limited - access is restricted to competent authorities, financial institutions, and others with a 'legitimate inte</w:t>
      </w:r>
      <w:r>
        <w:t>rest'.</w:t>
      </w:r>
    </w:p>
    <w:p w:rsidR="00253005" w:rsidRDefault="008575F9">
      <w:pPr>
        <w:pStyle w:val="Heading2"/>
      </w:pPr>
      <w:bookmarkStart w:id="25" w:name="_Toc230445976"/>
      <w:r>
        <w:t>7.3 Foreign Exchange Regulations</w:t>
      </w:r>
      <w:bookmarkEnd w:id="25"/>
    </w:p>
    <w:p w:rsidR="00253005" w:rsidRDefault="008575F9">
      <w:pPr>
        <w:spacing w:after="120" w:line="276" w:lineRule="auto"/>
      </w:pPr>
      <w:r>
        <w:t xml:space="preserve">The Netherlands is part of the Eurozone and has no exchange controls. The Euro is freely convertible. Capital can flow freely in and out of the Netherlands without restriction. Profits, dividends, and capital can be </w:t>
      </w:r>
      <w:r>
        <w:t>repatriated to India subject to applicable Dutch tax (notably the 15% dividend withholding tax, subject to treaty reductions and exemptions) and Indian FEMA compliance. Dutch banks operate to standard EU/AML requirements and may scrutinize large or unusual</w:t>
      </w:r>
      <w:r>
        <w:t xml:space="preserve"> cross-border flows under the Dutch Anti-Money Laundering and Anti-Terrorist Financing Act (Wwft) and EU AML directives (currently AMLD6 with the new EU AML Authority being phased in from 2026).</w:t>
      </w:r>
    </w:p>
    <w:p w:rsidR="00253005" w:rsidRDefault="008575F9">
      <w:r>
        <w:br w:type="page"/>
      </w:r>
    </w:p>
    <w:p w:rsidR="00253005" w:rsidRDefault="008575F9">
      <w:pPr>
        <w:pStyle w:val="Heading1"/>
      </w:pPr>
      <w:bookmarkStart w:id="26" w:name="_Toc230445977"/>
      <w:r>
        <w:lastRenderedPageBreak/>
        <w:t>8. Step-by-Step Incorporation &amp; Registration Process</w:t>
      </w:r>
      <w:bookmarkEnd w:id="26"/>
    </w:p>
    <w:p w:rsidR="00253005" w:rsidRDefault="008575F9">
      <w:pPr>
        <w:pStyle w:val="Heading2"/>
      </w:pPr>
      <w:bookmarkStart w:id="27" w:name="_Toc230445978"/>
      <w:r>
        <w:t>8.1 Pr</w:t>
      </w:r>
      <w:r>
        <w:t>e-Incorporation Planning</w:t>
      </w:r>
      <w:bookmarkEnd w:id="27"/>
    </w:p>
    <w:p w:rsidR="00253005" w:rsidRDefault="008575F9">
      <w:pPr>
        <w:spacing w:after="120" w:line="276" w:lineRule="auto"/>
      </w:pPr>
      <w:r>
        <w:t>Before incorporation, plan the following: (a) Choose a unique company name and verify availability via KVK Name Check tool and the Benelux Office for Intellectual Property (BOIP) trademark register; (b) Decide entity type (BV is mo</w:t>
      </w:r>
      <w:r>
        <w:t>st common); (c) Identify directors (minimum one, no Dutch residency requirement, but local substance increasingly important); (d) Identify shareholders and Ultimate Beneficial Owners (UBOs - those owning 25%+ shares/voting rights); (e) Determine Dutch regi</w:t>
      </w:r>
      <w:r>
        <w:t>stered business address (a virtual office may be acceptable initially, but a real address strongly recommended for bank account opening and substance); (f) Engage a Dutch civil-law notary (verplicht for BV/NV); (g) Draft Articles of Association in consulta</w:t>
      </w:r>
      <w:r>
        <w:t>tion with the notary; (h) Prepare KYC documentation including apostilled and translated documents from India where needed.</w:t>
      </w:r>
    </w:p>
    <w:p w:rsidR="00253005" w:rsidRDefault="008575F9">
      <w:pPr>
        <w:pStyle w:val="Heading2"/>
      </w:pPr>
      <w:bookmarkStart w:id="28" w:name="_Toc230445979"/>
      <w:r>
        <w:t>8.2 Step-by-Step Incorporation Workflow</w:t>
      </w:r>
      <w:bookmarkEnd w:id="28"/>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4339"/>
        <w:gridCol w:w="1795"/>
        <w:gridCol w:w="2592"/>
      </w:tblGrid>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Step</w:t>
            </w:r>
          </w:p>
        </w:tc>
        <w:tc>
          <w:tcPr>
            <w:tcW w:w="4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Activity</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Timeline</w:t>
            </w:r>
          </w:p>
        </w:tc>
        <w:tc>
          <w:tcPr>
            <w:tcW w:w="2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Authority</w:t>
            </w:r>
          </w:p>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Engage Dutch civil-law notary; submit KYC documents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1-3 days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Civil-law Notary</w:t>
            </w:r>
          </w:p>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KVK name check and SBI code selection (industry classification)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Same day</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KVK</w:t>
            </w:r>
          </w:p>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Notary drafts Articles of Association (statuten)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3-7 days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Civil-law Notary</w:t>
            </w:r>
          </w:p>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Sign Deed of Incorporation (in person or via video conference)</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Same day</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Civil-law Notary</w:t>
            </w:r>
          </w:p>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Notary registers BV with KVK Business Register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1-3 days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KVK</w:t>
            </w:r>
          </w:p>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Receive KVK number (Chamber of Commerce number)</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Within 24 hours</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KVK</w:t>
            </w:r>
          </w:p>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7</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UBO registration with KVK</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Within 1 week</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KVK</w:t>
            </w:r>
          </w:p>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8</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Belastingdienst registers the BV (auto-notified by KVK)</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Within 2 weeks</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Receive RSIN (legal entity number) and CIT/VAT numbers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Within 2 weeks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Open Dutch business bank account (often longest step)</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2-6 weeks</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Dutch Bank</w:t>
            </w:r>
          </w:p>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11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Register as employer for payroll taxes (if hiring staff)</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Within 1 month of first hire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12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Vifo notification (if in vital/sensitive sector)</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Pre-completion</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BTI</w:t>
            </w:r>
          </w:p>
        </w:tc>
      </w:tr>
    </w:tbl>
    <w:p w:rsidR="00253005" w:rsidRDefault="008575F9">
      <w:r>
        <w:br w:type="page"/>
      </w:r>
    </w:p>
    <w:p w:rsidR="00253005" w:rsidRDefault="008575F9">
      <w:pPr>
        <w:pStyle w:val="Heading1"/>
      </w:pPr>
      <w:bookmarkStart w:id="29" w:name="_Toc230445980"/>
      <w:r>
        <w:lastRenderedPageBreak/>
        <w:t>9. Licenses, Approvals, and Sector-Specific Requirements</w:t>
      </w:r>
      <w:bookmarkEnd w:id="29"/>
    </w:p>
    <w:p w:rsidR="00253005" w:rsidRDefault="008575F9">
      <w:pPr>
        <w:pStyle w:val="Heading2"/>
      </w:pPr>
      <w:bookmarkStart w:id="30" w:name="_Toc230445981"/>
      <w:r>
        <w:t>9.1 Common Cross-Sector Requirements</w:t>
      </w:r>
      <w:bookmarkEnd w:id="30"/>
    </w:p>
    <w:p w:rsidR="00253005" w:rsidRDefault="008575F9">
      <w:pPr>
        <w:spacing w:after="120" w:line="276" w:lineRule="auto"/>
      </w:pPr>
      <w:r>
        <w:t>Most Dutch businesses do not require a general business license to operate. Standard requirements for all companies include: KVK Business Register registration, UBO registration, tax registrations with Belastingdienst (</w:t>
      </w:r>
      <w:r>
        <w:t>CIT, VAT, payroll), employer registration if hiring, occupational accident insurance arrangements, and compliance with the Dutch Working Conditions Act (Arbo). Companies processing personal data must comply with the EU GDPR and Dutch Implementation Act. Em</w:t>
      </w:r>
      <w:r>
        <w:t>ployers' liability insurance and a workplace risk inventory and evaluation (RI&amp;E) are mandatory.</w:t>
      </w:r>
    </w:p>
    <w:p w:rsidR="00253005" w:rsidRDefault="008575F9">
      <w:pPr>
        <w:pStyle w:val="Heading2"/>
      </w:pPr>
      <w:bookmarkStart w:id="31" w:name="_Toc230445982"/>
      <w:r>
        <w:t>9.2 Sector-Specific Approvals</w:t>
      </w:r>
      <w:bookmarkEnd w:id="31"/>
    </w:p>
    <w:p w:rsidR="00253005" w:rsidRDefault="008575F9">
      <w:pPr>
        <w:spacing w:after="120" w:line="276" w:lineRule="auto"/>
      </w:pPr>
      <w:r>
        <w:t>Financial services: DNB and AFM authorisation for banks, insurers, payment institutions, investment firms, asset managers; FCA-eq</w:t>
      </w:r>
      <w:r>
        <w:t>uivalent oversight. Healthcare/pharma: Medicines Evaluation Board (CBG/MEB) for medicines, Inspectie Gezondheidszorg en Jeugd (IGJ) for healthcare providers. Energy: Authority for Consumers and Markets (ACM) for energy regulation. Telecoms: Authoriteit Con</w:t>
      </w:r>
      <w:r>
        <w:t>sument &amp; Markt (ACM)/Agentschap Telecom (RDI). Food and beverage: Nederlandse Voedsel- en Warenautoriteit (NVWA). Aviation: Inspectie Leefomgeving en Transport (ILT). Crypto/digital assets: De Nederlandsche Bank registration (transitioning to MiCA framewor</w:t>
      </w:r>
      <w:r>
        <w:t>k from December 2024). Construction and contractors: KVK registration with appropriate SBI codes; certain trades require certified professionals.</w:t>
      </w:r>
    </w:p>
    <w:p w:rsidR="00253005" w:rsidRDefault="008575F9">
      <w:r>
        <w:br w:type="page"/>
      </w:r>
    </w:p>
    <w:p w:rsidR="00253005" w:rsidRDefault="008575F9">
      <w:pPr>
        <w:pStyle w:val="Heading1"/>
      </w:pPr>
      <w:bookmarkStart w:id="32" w:name="_Toc230445983"/>
      <w:r>
        <w:lastRenderedPageBreak/>
        <w:t>10. Taxation and Incentives</w:t>
      </w:r>
      <w:bookmarkEnd w:id="32"/>
    </w:p>
    <w:p w:rsidR="00253005" w:rsidRDefault="008575F9">
      <w:pPr>
        <w:pStyle w:val="Heading2"/>
      </w:pPr>
      <w:bookmarkStart w:id="33" w:name="_Toc230445984"/>
      <w:r>
        <w:t>10.1 Overview of the Tax System</w:t>
      </w:r>
      <w:bookmarkEnd w:id="33"/>
    </w:p>
    <w:p w:rsidR="00253005" w:rsidRDefault="008575F9">
      <w:pPr>
        <w:spacing w:after="120" w:line="276" w:lineRule="auto"/>
      </w:pPr>
      <w:r>
        <w:t>The Dutch tax system is administered by the Bela</w:t>
      </w:r>
      <w:r>
        <w:t>stingdienst (Dutch Tax and Customs Administration). The main taxes affecting businesses are Corporate Income Tax (Vennootschapsbelasting, VPB), Value Added Tax (BTW - Belasting Toegevoegde Waarde), payroll taxes (loonheffingen), Dividend Withholding Tax (D</w:t>
      </w:r>
      <w:r>
        <w:t>ividendbelasting), local property taxes (OZB), Real Estate Transfer Tax (overdrachtsbelasting), and various sector-specific levies. The Netherlands operates a self-assessment system. The standard fiscal year is the calendar year (1 January - 31 December).</w:t>
      </w:r>
    </w:p>
    <w:p w:rsidR="00253005" w:rsidRDefault="008575F9">
      <w:pPr>
        <w:pStyle w:val="Heading2"/>
      </w:pPr>
      <w:bookmarkStart w:id="34" w:name="_Toc230445985"/>
      <w:r>
        <w:t>10.2 Corporate Income Tax</w:t>
      </w:r>
      <w:bookmarkEnd w:id="3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Profit Band (FY 2026)</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Tax Rate</w:t>
            </w:r>
          </w:p>
        </w:tc>
        <w:tc>
          <w:tcPr>
            <w:tcW w:w="39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Notes</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Up to EUR 200,000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19% (Lower Bracket)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Applies to first EUR 200,000 of taxable profit</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Above EUR 200,000</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25.8% (Top Rate)</w:t>
            </w:r>
          </w:p>
        </w:tc>
        <w:tc>
          <w:tcPr>
            <w:tcW w:w="3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Applies to taxable profit exceeding EUR 200,000</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Innovation Box income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9% effective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For profits from qualifying R&amp;D-derived intangible assets</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Participation Exemption</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0% (full exemption)</w:t>
            </w:r>
          </w:p>
        </w:tc>
        <w:tc>
          <w:tcPr>
            <w:tcW w:w="3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Qualifying dividends/capital gains from 5%+ shareholdings</w:t>
            </w:r>
          </w:p>
        </w:tc>
      </w:tr>
    </w:tbl>
    <w:p w:rsidR="00253005" w:rsidRDefault="008575F9">
      <w:pPr>
        <w:spacing w:after="120" w:line="276" w:lineRule="auto"/>
      </w:pPr>
      <w:r>
        <w:t>The Dutch Participation Exemption is one of the world's most generous - dividends and capital gains from qualifying shareholdings (typically 5%+) are 100% exempt from CIT. This makes the Netherlands a preferred holding-company jurisdiction. Dutch CIT rates</w:t>
      </w:r>
      <w:r>
        <w:t xml:space="preserve"> are unchanged for 2026 (and stable since 2024). The Innovation Box provides a highly competitive 9% effective rate on qualifying R&amp;D-derived income.</w:t>
      </w:r>
    </w:p>
    <w:p w:rsidR="00253005" w:rsidRDefault="008575F9">
      <w:pPr>
        <w:pStyle w:val="Heading2"/>
      </w:pPr>
      <w:bookmarkStart w:id="35" w:name="_Toc230445986"/>
      <w:r>
        <w:t>10.3 Value Added Tax (BTW)</w:t>
      </w:r>
      <w:bookmarkEnd w:id="35"/>
    </w:p>
    <w:p w:rsidR="00253005" w:rsidRDefault="008575F9">
      <w:pPr>
        <w:spacing w:after="120" w:line="276" w:lineRule="auto"/>
      </w:pPr>
      <w:r>
        <w:t>Standard BTW rate is 21%, with reduced rate of 9% (food, books, water, art, cer</w:t>
      </w:r>
      <w:r>
        <w:t>tain medicines, cultural events) and zero rate (intra-EU supplies, exports). VAT registration is mandatory for any business making taxable supplies in the Netherlands (no general turnover threshold like UK), although a small business scheme (Kleineondernem</w:t>
      </w:r>
      <w:r>
        <w:t>ersregeling - KOR) is available for businesses with annual turnover below EUR 20,000. VAT returns are typically filed quarterly (small) or monthly (large), with payment due 1 month after the period end. Filing is via Mijn Belastingdienst Zakelijk.</w:t>
      </w:r>
    </w:p>
    <w:p w:rsidR="00253005" w:rsidRDefault="008575F9">
      <w:pPr>
        <w:pStyle w:val="Heading2"/>
      </w:pPr>
      <w:bookmarkStart w:id="36" w:name="_Toc230445987"/>
      <w:r>
        <w:t>10.4 Wit</w:t>
      </w:r>
      <w:r>
        <w:t>hholding Tax Rates</w:t>
      </w:r>
      <w:bookmarkEnd w:id="36"/>
    </w:p>
    <w:p w:rsidR="00253005" w:rsidRDefault="00253005">
      <w:pPr>
        <w:spacing w:after="8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25300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Payment Type</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Dutch Domestic Rate</w:t>
            </w:r>
          </w:p>
        </w:tc>
        <w:tc>
          <w:tcPr>
            <w:tcW w:w="3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Rate to Indian Resident (DTAA)</w:t>
            </w:r>
          </w:p>
        </w:tc>
      </w:tr>
      <w:tr w:rsidR="0025300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Dividends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15% standard</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10% under DTAA (5% MFN-claimed; subject to dispute - see FAQ)</w:t>
            </w:r>
          </w:p>
        </w:tc>
      </w:tr>
      <w:tr w:rsidR="0025300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Interest</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 xml:space="preserve">0% standard (no general </w:t>
            </w:r>
            <w:r>
              <w:rPr>
                <w:sz w:val="19"/>
                <w:szCs w:val="19"/>
              </w:rPr>
              <w:lastRenderedPageBreak/>
              <w:t>WHT)</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lastRenderedPageBreak/>
              <w:t xml:space="preserve">10-15% under DTAA if Indian-source; </w:t>
            </w:r>
            <w:r>
              <w:rPr>
                <w:sz w:val="19"/>
                <w:szCs w:val="19"/>
              </w:rPr>
              <w:lastRenderedPageBreak/>
              <w:t>25.8% conditional WHT to low-tax jurisdictions</w:t>
            </w:r>
          </w:p>
        </w:tc>
      </w:tr>
      <w:tr w:rsidR="0025300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lastRenderedPageBreak/>
              <w:t>Royalties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0% standard (no general WHT)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10-20% under DTAA in some cases; 25.8% conditional WHT to low-tax jurisdictions</w:t>
            </w:r>
          </w:p>
        </w:tc>
      </w:tr>
      <w:tr w:rsidR="0025300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Conditional WHT (low-tax/abuse)</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25.8% (matches top CIT)</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On interest/royalties to low-tax/blacklisted jurisdictions</w:t>
            </w:r>
          </w:p>
        </w:tc>
      </w:tr>
      <w:tr w:rsidR="0025300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Branch profits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No separate branch profits tax</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N/A</w:t>
            </w:r>
          </w:p>
        </w:tc>
      </w:tr>
    </w:tbl>
    <w:p w:rsidR="00253005" w:rsidRDefault="008575F9">
      <w:pPr>
        <w:spacing w:after="120" w:line="276" w:lineRule="auto"/>
      </w:pPr>
      <w:r>
        <w:t>Important: The Netherlands generally imposes NO withholding tax on interest and royalties (unlike many other jurisdictions). However, since 1 January 2021 a 'conditional WHT' at the top CIT rate (currently 25.8%) applies to interest/royalties paid to affil</w:t>
      </w:r>
      <w:r>
        <w:t>iated entities in low-tax (below 9%) or EU-blacklisted jurisdictions, or in certain abuse situations. From 1 January 2024, this conditional WHT was extended to dividends in such cases. Dividends to qualifying EU/EEA/treaty jurisdiction parents may be fully</w:t>
      </w:r>
      <w:r>
        <w:t xml:space="preserve"> exempt under domestic law.</w:t>
      </w:r>
    </w:p>
    <w:p w:rsidR="00253005" w:rsidRDefault="008575F9">
      <w:pPr>
        <w:pStyle w:val="Heading2"/>
      </w:pPr>
      <w:bookmarkStart w:id="37" w:name="_Toc230445988"/>
      <w:r>
        <w:t>10.5 Tax Incentives and Reliefs</w:t>
      </w:r>
      <w:bookmarkEnd w:id="37"/>
    </w:p>
    <w:p w:rsidR="00253005" w:rsidRDefault="008575F9">
      <w:pPr>
        <w:spacing w:after="120" w:line="276" w:lineRule="auto"/>
      </w:pPr>
      <w:r>
        <w:t>Key incentives include: Participation Exemption - 100% exemption on qualifying dividends and capital gains from 5%+ shareholdings (one of the world's most generous regimes); Innovation Box - 9% ef</w:t>
      </w:r>
      <w:r>
        <w:t>fective rate on qualifying R&amp;D-derived income; WBSO (R&amp;D wage tax credit) - reduces wage tax/social security on R&amp;D personnel costs (budget increased to EUR 1.8 billion for 2026); Energy Investment Allowance (EIA) - additional 40% deduction on qualifying e</w:t>
      </w:r>
      <w:r>
        <w:t>nergy-efficient investments (max EUR 151 million in 2026); Environmental Investment Allowance (MIA) and Vamil - additional deductions for environmentally friendly investments; Small-scale Investment Allowance (KIA) - sliding scale deduction; Loss carry-for</w:t>
      </w:r>
      <w:r>
        <w:t xml:space="preserve">ward (unlimited), but limited to EUR 1 million plus 50% of taxable profits above EUR 1 million; Advance Tax Rulings (ATR) and Advance Pricing Agreements (APA) - certainty on cross-border tax positions; 30% expat ruling - up to 30% of expat employee salary </w:t>
      </w:r>
      <w:r>
        <w:t>tax-free (reducing to 27% from January 2027).</w:t>
      </w:r>
    </w:p>
    <w:p w:rsidR="00253005" w:rsidRDefault="008575F9">
      <w:r>
        <w:br w:type="page"/>
      </w:r>
    </w:p>
    <w:p w:rsidR="00253005" w:rsidRDefault="008575F9">
      <w:pPr>
        <w:pStyle w:val="Heading1"/>
      </w:pPr>
      <w:bookmarkStart w:id="38" w:name="_Toc230445989"/>
      <w:r>
        <w:lastRenderedPageBreak/>
        <w:t>11. Banking, Finance, and Repatriation</w:t>
      </w:r>
      <w:bookmarkEnd w:id="38"/>
    </w:p>
    <w:p w:rsidR="00253005" w:rsidRDefault="008575F9">
      <w:pPr>
        <w:pStyle w:val="Heading2"/>
      </w:pPr>
      <w:bookmarkStart w:id="39" w:name="_Toc230445990"/>
      <w:r>
        <w:t>11.1 Opening Corporate Bank Accounts</w:t>
      </w:r>
      <w:bookmarkEnd w:id="39"/>
    </w:p>
    <w:p w:rsidR="00253005" w:rsidRDefault="008575F9">
      <w:pPr>
        <w:spacing w:after="120" w:line="276" w:lineRule="auto"/>
      </w:pPr>
      <w:r>
        <w:t>Opening a Dutch business bank account can be challenging for foreign-owned entities, often taking 2-6 weeks. Required documents typi</w:t>
      </w:r>
      <w:r>
        <w:t>cally include: notarial deed of incorporation, KVK extract (uittreksel), proof of identity for all directors and UBOs (passport plus utility bill), proof of Dutch registered office, business plan and projected turnover, source of funds documentation, and d</w:t>
      </w:r>
      <w:r>
        <w:t>etails of expected transactions. Major Dutch banks include ING, ABN AMRO, Rabobank, and Volksbank. Digital alternatives popular with startups include Bunq (full Dutch bank), Wise Business, and Revolut Business - these are typically faster for foreign found</w:t>
      </w:r>
      <w:r>
        <w:t>ers. Note that Dutch banks have intensified KYC reviews in recent years.</w:t>
      </w:r>
    </w:p>
    <w:p w:rsidR="00253005" w:rsidRDefault="008575F9">
      <w:pPr>
        <w:pStyle w:val="Heading2"/>
      </w:pPr>
      <w:bookmarkStart w:id="40" w:name="_Toc230445991"/>
      <w:r>
        <w:t>11.2 Funding Options</w:t>
      </w:r>
      <w:bookmarkEnd w:id="40"/>
    </w:p>
    <w:p w:rsidR="00253005" w:rsidRDefault="008575F9">
      <w:pPr>
        <w:spacing w:after="120" w:line="276" w:lineRule="auto"/>
      </w:pPr>
      <w:r>
        <w:t>Dutch companies have diverse funding options: equity from Indian parent (through ODI), shareholder loans (subject to Dutch transfer pricing and earnings stripping</w:t>
      </w:r>
      <w:r>
        <w:t xml:space="preserve"> rules - interest deduction limited to higher of 24.5% of EBITDA or EUR 1 million), Dutch bank lending (typically requires trading history), venture capital (Netherlands has a strong VC ecosystem particularly in Amsterdam), angel investors, government-back</w:t>
      </w:r>
      <w:r>
        <w:t>ed schemes via RVO (Netherlands Enterprise Agency) including Innovation Credit, BMKB (SME credit guarantee), Seed Capital arrangements, and various regional development funds (e.g., Innovation Quarter, BOM, NOM, LIOF). The European Investment Bank (EIB) al</w:t>
      </w:r>
      <w:r>
        <w:t>so actively funds Dutch innovation and infrastructure projects.</w:t>
      </w:r>
    </w:p>
    <w:p w:rsidR="00253005" w:rsidRDefault="008575F9">
      <w:pPr>
        <w:pStyle w:val="Heading2"/>
      </w:pPr>
      <w:bookmarkStart w:id="41" w:name="_Toc230445992"/>
      <w:r>
        <w:t>11.3 Repatriation Rules</w:t>
      </w:r>
      <w:bookmarkEnd w:id="41"/>
    </w:p>
    <w:p w:rsidR="00253005" w:rsidRDefault="008575F9">
      <w:pPr>
        <w:spacing w:after="120" w:line="276" w:lineRule="auto"/>
      </w:pPr>
      <w:r>
        <w:t>The Netherlands has no exchange controls. Profits and capital can be freely repatriated through dividends, intercompany loans, royalties, management fees, or capital reduction. Dutch dividend withholding tax of 15% applies in principle but: (a) is fully ex</w:t>
      </w:r>
      <w:r>
        <w:t>empt for qualifying EU/EEA/treaty parents under Dutch domestic law (subject to anti-abuse rules); (b) reduced to 10% under the India-Netherlands DTAA (with potential 5% via the MFN clause - subject to ongoing legal dispute, see FAQ); (c) interest and royal</w:t>
      </w:r>
      <w:r>
        <w:t>ties are generally not subject to Dutch WHT (unless paid to low-tax/blacklisted jurisdictions, in which case 25.8% conditional WHT applies). The Indian parent must comply with Indian FEMA reporting requirements for inward remittances and treat the income a</w:t>
      </w:r>
      <w:r>
        <w:t>ppropriately under Indian tax law.</w:t>
      </w:r>
    </w:p>
    <w:p w:rsidR="00253005" w:rsidRDefault="008575F9">
      <w:r>
        <w:br w:type="page"/>
      </w:r>
    </w:p>
    <w:p w:rsidR="00253005" w:rsidRDefault="008575F9">
      <w:pPr>
        <w:pStyle w:val="Heading1"/>
      </w:pPr>
      <w:bookmarkStart w:id="42" w:name="_Toc230445993"/>
      <w:r>
        <w:lastRenderedPageBreak/>
        <w:t>12. Employment, Immigration, and Payroll</w:t>
      </w:r>
      <w:bookmarkEnd w:id="42"/>
    </w:p>
    <w:p w:rsidR="00253005" w:rsidRDefault="008575F9">
      <w:pPr>
        <w:pStyle w:val="Heading2"/>
      </w:pPr>
      <w:bookmarkStart w:id="43" w:name="_Toc230445994"/>
      <w:r>
        <w:t>12.1 Key Employment Laws</w:t>
      </w:r>
      <w:bookmarkEnd w:id="43"/>
    </w:p>
    <w:p w:rsidR="00253005" w:rsidRDefault="008575F9">
      <w:pPr>
        <w:spacing w:after="120" w:line="276" w:lineRule="auto"/>
      </w:pPr>
      <w:r>
        <w:t>Dutch employment law is governed primarily by the Dutch Civil Code (Book 7, Title 10), the Working Conditions Act (Arbeidsomstandighedenwet/Arbo), the Wo</w:t>
      </w:r>
      <w:r>
        <w:t>rking Hours Act (Arbeidstijdenwet), the Equal Treatment Act, and various collective labour agreements (CAOs - Collectieve Arbeidsovereenkomst) that may apply by sector. Key provisions: maximum 12-hour workdays/60-hour weeks (averaged over 16 weeks max 48 h</w:t>
      </w:r>
      <w:r>
        <w:t>ours); minimum 4 weeks paid annual leave plus public holidays; statutory sick pay (employer pays 70% of salary for up to 2 years - one of the longest in Europe); statutory maternity (16 weeks), paternity, adoption and parental leave; minimum notice periods</w:t>
      </w:r>
      <w:r>
        <w:t xml:space="preserve"> (1-4 months based on length of service); transition payment (transitievergoeding) on dismissal; protection against dismissal (strong - typically requires UWV or court approval); strong protection against discrimination.</w:t>
      </w:r>
    </w:p>
    <w:p w:rsidR="00253005" w:rsidRDefault="008575F9">
      <w:pPr>
        <w:pStyle w:val="Heading2"/>
      </w:pPr>
      <w:bookmarkStart w:id="44" w:name="_Toc230445995"/>
      <w:r>
        <w:t>12.2 Immigration and Work Authoriza</w:t>
      </w:r>
      <w:r>
        <w:t>tion</w:t>
      </w:r>
      <w:bookmarkEnd w:id="44"/>
    </w:p>
    <w:p w:rsidR="00253005" w:rsidRDefault="008575F9">
      <w:pPr>
        <w:spacing w:after="120" w:line="276" w:lineRule="auto"/>
      </w:pPr>
      <w:r>
        <w:t>Common visa/permit routes for Indian nationals: (1) Highly Skilled Migrant (Kennismigrant) Permit - the most common route; requires sponsorship by an IND-recognized sponsor employer; minimum salary thresholds apply (2026: EUR 5,688/month for 30+ year-olds;</w:t>
      </w:r>
      <w:r>
        <w:t xml:space="preserve"> EUR 4,171/month for under 30; EUR 2,989/month for recent graduates); processing in 2-6 weeks. (2) ICT (Intra-Corporate Transfer) Permit - for managers, specialists, and trainees from non-EU group companies. (3) EU Blue Card - for highly qualified workers </w:t>
      </w:r>
      <w:r>
        <w:t>earning EUR 5,688+/month. (4) Self-Employed (Zelfstandige) Permit - for entrepreneurs based on points-based assessment; the Dutch-American Friendship Treaty (DAFT) doesn't extend to Indian nationals but the Startup Visa is available. (5) Startup Visa - 1-y</w:t>
      </w:r>
      <w:r>
        <w:t>ear residence permit for ambitious entrepreneurs working with an approved Dutch facilitator. (6) Orientation Year for Highly Educated Persons - for graduates of top global universities; allows 1 year to find work. (7) Search Year (Zoekjaar) Permit - simila</w:t>
      </w:r>
      <w:r>
        <w:t>r route. The Netherlands has comparatively open immigration policies for skilled migrants.</w:t>
      </w:r>
    </w:p>
    <w:p w:rsidR="00253005" w:rsidRDefault="008575F9">
      <w:pPr>
        <w:pStyle w:val="Heading2"/>
      </w:pPr>
      <w:bookmarkStart w:id="45" w:name="_Toc230445996"/>
      <w:r>
        <w:t>12.3 Payroll and HR Compliance</w:t>
      </w:r>
      <w:bookmarkEnd w:id="45"/>
    </w:p>
    <w:p w:rsidR="00253005" w:rsidRDefault="008575F9">
      <w:pPr>
        <w:spacing w:after="120" w:line="276" w:lineRule="auto"/>
      </w:pPr>
      <w:r>
        <w:t>Employers must register with the Belastingdienst before paying any salaries. Payroll taxes (loonheffingen) include income tax withhold</w:t>
      </w:r>
      <w:r>
        <w:t>ing, employee national insurance contributions (AOW pension, ANW survivors, WLZ long-term care), and employer social security contributions (WW unemployment, WIA disability, ZW sickness, plus Healthcare Insurance Act - Zvw). Total employer social charges t</w:t>
      </w:r>
      <w:r>
        <w:t xml:space="preserve">ypically amount to ~17-30% of gross wages depending on sector. Payroll filing is monthly via Belastingdienst online. The 30% expat ruling allows employers to pay up to 30% of salary tax-free to qualifying foreign hires (reducing to 27% from January 2027). </w:t>
      </w:r>
      <w:r>
        <w:t>Mandatory minimum wage (2026): adults aged 21+ approximately EUR 14.40/hour. Most employees fall under a sector CAO with minimum benefits. Holiday allowance (vakantiegeld): mandatory 8% of annual salary, paid typically in May/June.</w:t>
      </w:r>
    </w:p>
    <w:p w:rsidR="00253005" w:rsidRDefault="008575F9">
      <w:r>
        <w:br w:type="page"/>
      </w:r>
    </w:p>
    <w:p w:rsidR="00253005" w:rsidRDefault="008575F9">
      <w:pPr>
        <w:pStyle w:val="Heading1"/>
      </w:pPr>
      <w:bookmarkStart w:id="46" w:name="_Toc230445997"/>
      <w:r>
        <w:lastRenderedPageBreak/>
        <w:t>13. Intellectual Prope</w:t>
      </w:r>
      <w:r>
        <w:t>rty, Data, and Technology</w:t>
      </w:r>
      <w:bookmarkEnd w:id="46"/>
    </w:p>
    <w:p w:rsidR="00253005" w:rsidRDefault="008575F9">
      <w:pPr>
        <w:pStyle w:val="Heading2"/>
      </w:pPr>
      <w:bookmarkStart w:id="47" w:name="_Toc230445998"/>
      <w:r>
        <w:t>13.1 IP Protection</w:t>
      </w:r>
      <w:bookmarkEnd w:id="47"/>
    </w:p>
    <w:p w:rsidR="00253005" w:rsidRDefault="008575F9">
      <w:pPr>
        <w:spacing w:after="120" w:line="276" w:lineRule="auto"/>
      </w:pPr>
      <w:r>
        <w:t>The Netherlands is part of the Benelux IP system. Trademark registration is via the Benelux Office for Intellectual Property (BOIP) - protection covers Belgium, Netherlands, and Luxembourg (10 years, renewable).</w:t>
      </w:r>
      <w:r>
        <w:t xml:space="preserve"> EU Trademark (EUTM) and Designs are also available via the EU Intellectual Property Office (EUIPO) - covers all 27 EU member states. Patents: Netherlands Patent (via Octrooicentrum Nederland), European Patent (via European Patent Office in Munich/Hague/Be</w:t>
      </w:r>
      <w:r>
        <w:t>rlin), and Unitary Patent (covering 17+ EU member states). Copyright is automatic on creation. The Netherlands hosts the European Patent Office's largest branch in The Hague. The Dutch Innovation Box provides a 9% effective CIT rate on qualifying patent-de</w:t>
      </w:r>
      <w:r>
        <w:t>rived and other R&amp;D-derived income.</w:t>
      </w:r>
    </w:p>
    <w:p w:rsidR="00253005" w:rsidRDefault="008575F9">
      <w:pPr>
        <w:pStyle w:val="Heading2"/>
      </w:pPr>
      <w:bookmarkStart w:id="48" w:name="_Toc230445999"/>
      <w:r>
        <w:t>13.2 Data Protection and Privacy</w:t>
      </w:r>
      <w:bookmarkEnd w:id="48"/>
    </w:p>
    <w:p w:rsidR="00253005" w:rsidRDefault="008575F9">
      <w:pPr>
        <w:spacing w:after="120" w:line="276" w:lineRule="auto"/>
      </w:pPr>
      <w:r>
        <w:t>The Netherlands applies the EU General Data Protection Regulation (GDPR) directly, supplemented by the Dutch GDPR Implementation Act (UAVG). The Autoriteit Persoonsgegevens (AP) is the su</w:t>
      </w:r>
      <w:r>
        <w:t>pervisory authority. Key requirements include: identifying a lawful basis for processing personal data; transparent privacy notices (in Dutch typically required for Dutch consumers); honouring data subject rights (access, rectification, erasure, portabilit</w:t>
      </w:r>
      <w:r>
        <w:t>y, objection, restriction); notifying the AP of personal data breaches within 72 hours; conducting Data Protection Impact Assessments (DPIAs) for high-risk processing; appointing a Data Protection Officer where required; ensuring adequate safeguards for in</w:t>
      </w:r>
      <w:r>
        <w:t>ternational data transfers (Indian transfers require appropriate safeguards as India is not currently on the EU adequacy list - Standard Contractual Clauses + Transfer Impact Assessment typically used). Maximum fines: greater of EUR 20 million or 4% of glo</w:t>
      </w:r>
      <w:r>
        <w:t>bal annual turnover.</w:t>
      </w:r>
    </w:p>
    <w:p w:rsidR="00253005" w:rsidRDefault="008575F9">
      <w:r>
        <w:br w:type="page"/>
      </w:r>
    </w:p>
    <w:p w:rsidR="00253005" w:rsidRDefault="008575F9">
      <w:pPr>
        <w:pStyle w:val="Heading1"/>
      </w:pPr>
      <w:bookmarkStart w:id="49" w:name="_Toc230446000"/>
      <w:r>
        <w:lastRenderedPageBreak/>
        <w:t>14. Commercial Contracts and Local Practices</w:t>
      </w:r>
      <w:bookmarkEnd w:id="49"/>
    </w:p>
    <w:p w:rsidR="00253005" w:rsidRDefault="008575F9">
      <w:pPr>
        <w:spacing w:after="120" w:line="276" w:lineRule="auto"/>
      </w:pPr>
      <w:r>
        <w:t>Dutch contract law is governed by the Dutch Civil Code (Burgerlijk Wetboek). The Netherlands operates under civil law principles (Roman-Germanic tradition). Key principles: principle of pa</w:t>
      </w:r>
      <w:r>
        <w:t xml:space="preserve">rty autonomy (freedom of contract); principle of reasonableness and fairness (redelijkheid en billijkheid - a fundamental Dutch legal concept); pre-contractual duty of good faith; offer and acceptance. Dutch contract law is notably flexible and pragmatic, </w:t>
      </w:r>
      <w:r>
        <w:t>making the Netherlands a popular jurisdiction for international commercial contracts. The Netherlands Commercial Court (NCC) in Amsterdam allows English-language proceedings since 2019, attracting international litigation. Standard practice includes: writt</w:t>
      </w:r>
      <w:r>
        <w:t>en contracts (oral contracts generally enforceable but written preferred); choice of Dutch law and jurisdiction; arbitration under NAI (Netherlands Arbitration Institute) or ICC rules; increasing use of mediation. The Netherlands is signatory to the New Yo</w:t>
      </w:r>
      <w:r>
        <w:t>rk Convention on enforcement of foreign arbitral awards. Business culture values directness, punctuality, consensus-building (the famous Dutch 'polder model'), and detailed written documentation.</w:t>
      </w:r>
    </w:p>
    <w:p w:rsidR="00253005" w:rsidRDefault="008575F9">
      <w:r>
        <w:br w:type="page"/>
      </w:r>
    </w:p>
    <w:p w:rsidR="00253005" w:rsidRDefault="008575F9">
      <w:pPr>
        <w:pStyle w:val="Heading1"/>
      </w:pPr>
      <w:bookmarkStart w:id="50" w:name="_Toc230446001"/>
      <w:r>
        <w:lastRenderedPageBreak/>
        <w:t>15. Operations, Location, and Economic Zones</w:t>
      </w:r>
      <w:bookmarkEnd w:id="50"/>
    </w:p>
    <w:p w:rsidR="00253005" w:rsidRDefault="008575F9">
      <w:pPr>
        <w:pStyle w:val="Heading2"/>
      </w:pPr>
      <w:bookmarkStart w:id="51" w:name="_Toc230446002"/>
      <w:r>
        <w:t>15.1 Key Busi</w:t>
      </w:r>
      <w:r>
        <w:t>ness Locations</w:t>
      </w:r>
      <w:bookmarkEnd w:id="51"/>
    </w:p>
    <w:p w:rsidR="00253005" w:rsidRDefault="008575F9">
      <w:pPr>
        <w:spacing w:after="120" w:line="276" w:lineRule="auto"/>
      </w:pPr>
      <w:r>
        <w:t>Amsterdam dominates as the financial, fintech, and creative industries hub - particularly the Zuidas business district and the broader Amsterdam Metropolitan Area. Rotterdam is the largest port in Europe, the logistics and energy hub. The Ha</w:t>
      </w:r>
      <w:r>
        <w:t>gue hosts the Dutch government, international institutions (ICJ, ICC), legal services, and increasingly cybersecurity. Utrecht is a key services and life-sciences center. Eindhoven is the high-tech 'Brainport' region (ASML, Philips, NXP - one of Europe's m</w:t>
      </w:r>
      <w:r>
        <w:t>ost innovative R&amp;D ecosystems). Other significant centers include Groningen (energy, healthcare), Maastricht (international services), and the Food Valley around Wageningen (agri-food and food technology). The Randstad (the agglomeration of Amsterdam, Rott</w:t>
      </w:r>
      <w:r>
        <w:t>erdam, The Hague, and Utrecht) is home to over 8 million people.</w:t>
      </w:r>
    </w:p>
    <w:p w:rsidR="00253005" w:rsidRDefault="008575F9">
      <w:pPr>
        <w:pStyle w:val="Heading2"/>
      </w:pPr>
      <w:bookmarkStart w:id="52" w:name="_Toc230446003"/>
      <w:r>
        <w:t>15.2 Free Zones and Special Regimes</w:t>
      </w:r>
      <w:bookmarkEnd w:id="52"/>
    </w:p>
    <w:p w:rsidR="00253005" w:rsidRDefault="008575F9">
      <w:pPr>
        <w:spacing w:after="120" w:line="276" w:lineRule="auto"/>
      </w:pPr>
      <w:r>
        <w:t>The Netherlands does not have 'free zones' in the traditional sense, but offers several specialized regimes. Free Trade Zones / Customs Warehouses are avai</w:t>
      </w:r>
      <w:r>
        <w:t>lable at major ports and airports (especially Rotterdam, Amsterdam Schiphol) - allowing duty-free storage and processing of goods until release into EU free circulation. Schiphol Airport hosts substantial customs-bonded warehousing. Dutch tax incentives ar</w:t>
      </w:r>
      <w:r>
        <w:t>e largely sector-neutral but include the Innovation Box (9% rate on R&amp;D-derived income), WBSO (R&amp;D wage tax credit), Energy Investment Allowance, Environmental Investment Allowance, and Small-scale Investment Allowance - all available throughout the Nether</w:t>
      </w:r>
      <w:r>
        <w:t>lands. Regional development agencies (BOM in Brabant, Innovation Quarter in South Holland, NOM in northern Netherlands, LIOF in Limburg, Oost NL in eastern Netherlands) provide additional regional support including funding, premises, and matchmaking.</w:t>
      </w:r>
    </w:p>
    <w:p w:rsidR="00253005" w:rsidRDefault="008575F9">
      <w:r>
        <w:br w:type="page"/>
      </w:r>
    </w:p>
    <w:p w:rsidR="00253005" w:rsidRDefault="008575F9">
      <w:pPr>
        <w:pStyle w:val="Heading1"/>
      </w:pPr>
      <w:bookmarkStart w:id="53" w:name="_Toc230446004"/>
      <w:r>
        <w:lastRenderedPageBreak/>
        <w:t>16.</w:t>
      </w:r>
      <w:r>
        <w:t xml:space="preserve"> Compliance Calendar and Ongoing Obligations</w:t>
      </w:r>
      <w:bookmarkEnd w:id="53"/>
    </w:p>
    <w:p w:rsidR="00253005" w:rsidRDefault="008575F9">
      <w:pPr>
        <w:spacing w:after="120" w:line="276" w:lineRule="auto"/>
      </w:pPr>
      <w:r>
        <w:t>Dutch compliance obligations are spread across KVK (Chamber of Commerce - corporate filings), Belastingdienst (tax filings), and other regulators. Below is a comprehensive calendar of ongoing obligations. The Du</w:t>
      </w:r>
      <w:r>
        <w:t>tch fiscal year for most companies aligns with the calendar year (1 January - 31 December).</w:t>
      </w:r>
    </w:p>
    <w:p w:rsidR="00253005" w:rsidRDefault="008575F9">
      <w:pPr>
        <w:pStyle w:val="Heading2"/>
      </w:pPr>
      <w:bookmarkStart w:id="54" w:name="_Toc230446005"/>
      <w:r>
        <w:t>16.1 Periodic Compliance Obligations</w:t>
      </w:r>
      <w:bookmarkEnd w:id="5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200"/>
        <w:gridCol w:w="1760"/>
      </w:tblGrid>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Filing / Obligation</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Frequency / Reference</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Due Date</w:t>
            </w:r>
          </w:p>
        </w:tc>
        <w:tc>
          <w:tcPr>
            <w:tcW w:w="1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Authority</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Payroll Tax Return (loonheffingen)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Monthly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End of following month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Payroll Tax Payment</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Monthly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End of following month</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VAT Return (BTW)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Quarterly (default) or monthly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End of month following period</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VAT Payment (BTW)</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Quarterly or monthly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End of month following period</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Intra-Community Supply Listing (ICP)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Quarterly or monthly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Same as VAT return</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CIT Provisional Assessment Payment</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Monthly (typically 12 instalments)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End of each month</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Pension Contributions (if applicable)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Monthly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End of following month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Pension provider</w:t>
            </w:r>
          </w:p>
        </w:tc>
      </w:tr>
    </w:tbl>
    <w:p w:rsidR="00253005" w:rsidRDefault="008575F9">
      <w:pPr>
        <w:pStyle w:val="Heading2"/>
      </w:pPr>
      <w:bookmarkStart w:id="55" w:name="_Toc230446006"/>
      <w:r>
        <w:t>16.2 Annual Compliance Obligations</w:t>
      </w:r>
      <w:bookmarkEnd w:id="55"/>
    </w:p>
    <w:p w:rsidR="00253005" w:rsidRDefault="00253005">
      <w:pPr>
        <w:spacing w:after="8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200"/>
        <w:gridCol w:w="1760"/>
      </w:tblGrid>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Filing / Obligation</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Form / Reference</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Due Date</w:t>
            </w:r>
          </w:p>
        </w:tc>
        <w:tc>
          <w:tcPr>
            <w:tcW w:w="1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Authority</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Annual CIT Return (Aangifte VPB)</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VPB return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5 months after fiscal year-end (or extension)</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Annual Accounts (Jaarrekening)</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Statutory accounts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12 months after fiscal year-end</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KVK</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Annual Accounts adoption by AGM</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AGM resolution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Within 5 months of fiscal year-end</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Shareholders</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Filing of adopted accounts with KVK</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Online filing</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Within 8 days of adoption (max 12 months)</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KVK</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UBO Register update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Online via KVK</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Annually + within 7 days of any change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KVK</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Annual Personal Income Tax Return (DGA)</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Form aangifte IB</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1 May following calendar year-end</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Year-end Payroll Statement (Jaaropgaaf)</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To employees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By end of February</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Employer to employees</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WBSO R&amp;D credit application</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RVO portal</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Quarterly application windows</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RVO</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lastRenderedPageBreak/>
              <w:t>Substantial shareholder (DGA) minimum salary review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Internal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Annual benchmarking</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Internal</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Real Estate Tax (OZB) declaration</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WOZ assessment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Annual (municipality)</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Municipality</w:t>
            </w:r>
          </w:p>
        </w:tc>
      </w:tr>
      <w:tr w:rsidR="0025300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Pillar Two registration (large 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Online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Within 6 months of first in-scope period</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Belastingdienst</w:t>
            </w:r>
          </w:p>
        </w:tc>
      </w:tr>
    </w:tbl>
    <w:p w:rsidR="00253005" w:rsidRDefault="008575F9">
      <w:pPr>
        <w:pStyle w:val="Heading2"/>
      </w:pPr>
      <w:bookmarkStart w:id="56" w:name="_Toc230446007"/>
      <w:r>
        <w:t>16.3 Month-wise Dutch Calendar (January to December)</w:t>
      </w:r>
      <w:bookmarkEnd w:id="56"/>
    </w:p>
    <w:p w:rsidR="00253005" w:rsidRDefault="008575F9">
      <w:pPr>
        <w:spacing w:after="120" w:line="276" w:lineRule="auto"/>
      </w:pPr>
      <w:r>
        <w:t>The Dutch fiscal year for most companies aligns with the calendar year. Below are key recurring dates. Note that many deadlines are 'end of following month' for monthly filings.</w:t>
      </w:r>
    </w:p>
    <w:p w:rsidR="00253005" w:rsidRDefault="008575F9">
      <w:pPr>
        <w:pStyle w:val="Heading3"/>
      </w:pPr>
      <w:bookmarkStart w:id="57" w:name="_Toc230446008"/>
      <w:r>
        <w:t>January</w:t>
      </w:r>
      <w:bookmarkEnd w:id="57"/>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Authority</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Throughout</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Year-end accounting and audit preparation begins (for 31 Dec year-end)</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Internal</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31 Jan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Q4 VAT (BTW) return and payment for prior year</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31 Jan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December payroll tax return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Belastingdienst</w:t>
            </w:r>
          </w:p>
        </w:tc>
      </w:tr>
    </w:tbl>
    <w:p w:rsidR="00253005" w:rsidRDefault="00253005">
      <w:pPr>
        <w:spacing w:after="80"/>
      </w:pPr>
    </w:p>
    <w:p w:rsidR="00253005" w:rsidRDefault="008575F9">
      <w:pPr>
        <w:pStyle w:val="Heading3"/>
      </w:pPr>
      <w:bookmarkStart w:id="58" w:name="_Toc230446009"/>
      <w:r>
        <w:t>February</w:t>
      </w:r>
      <w:bookmarkEnd w:id="58"/>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Authority</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End Feb</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Issue Year-end Payroll Statement (Jaaropgaaf) to all employees</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Employer</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End Feb</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January payroll tax return and payment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Belastingdienst</w:t>
            </w:r>
          </w:p>
        </w:tc>
      </w:tr>
    </w:tbl>
    <w:p w:rsidR="00253005" w:rsidRDefault="00253005">
      <w:pPr>
        <w:spacing w:after="80"/>
      </w:pPr>
    </w:p>
    <w:p w:rsidR="00253005" w:rsidRDefault="008575F9">
      <w:pPr>
        <w:pStyle w:val="Heading3"/>
      </w:pPr>
      <w:bookmarkStart w:id="59" w:name="_Toc230446010"/>
      <w:r>
        <w:t>March</w:t>
      </w:r>
      <w:bookmarkEnd w:id="59"/>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Authority</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End Mar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February payroll tax return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Belastingdienst</w:t>
            </w:r>
          </w:p>
        </w:tc>
      </w:tr>
    </w:tbl>
    <w:p w:rsidR="00253005" w:rsidRDefault="00253005">
      <w:pPr>
        <w:spacing w:after="80"/>
      </w:pPr>
    </w:p>
    <w:p w:rsidR="00253005" w:rsidRDefault="008575F9">
      <w:pPr>
        <w:pStyle w:val="Heading3"/>
      </w:pPr>
      <w:bookmarkStart w:id="60" w:name="_Toc230446011"/>
      <w:r>
        <w:t>April</w:t>
      </w:r>
      <w:bookmarkEnd w:id="60"/>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Authority</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30 Apr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Q1 VAT (BTW) return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30 Apr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March payroll tax return and payment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Belastingdienst</w:t>
            </w:r>
          </w:p>
        </w:tc>
      </w:tr>
    </w:tbl>
    <w:p w:rsidR="00253005" w:rsidRDefault="00253005">
      <w:pPr>
        <w:spacing w:after="80"/>
      </w:pPr>
    </w:p>
    <w:p w:rsidR="00253005" w:rsidRDefault="008575F9">
      <w:pPr>
        <w:pStyle w:val="Heading3"/>
      </w:pPr>
      <w:bookmarkStart w:id="61" w:name="_Toc230446012"/>
      <w:r>
        <w:t>May</w:t>
      </w:r>
      <w:bookmarkEnd w:id="61"/>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Authority</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1 May</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Personal Income Tax return deadline (Box 1, 2, 3) for prior year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End May</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 xml:space="preserve">Annual CIT return (VPB) due if fiscal year-end is 31 Dec (5 </w:t>
            </w:r>
            <w:r>
              <w:rPr>
                <w:sz w:val="19"/>
                <w:szCs w:val="19"/>
              </w:rPr>
              <w:lastRenderedPageBreak/>
              <w:t>months after) - extension typically granted</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lastRenderedPageBreak/>
              <w:t>Belastingdienst</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lastRenderedPageBreak/>
              <w:t>End May</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April payroll tax return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May/Jun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Holiday allowance (vakantiegeld) typically paid - 8% of annual salary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Employer</w:t>
            </w:r>
          </w:p>
        </w:tc>
      </w:tr>
    </w:tbl>
    <w:p w:rsidR="00253005" w:rsidRDefault="00253005">
      <w:pPr>
        <w:spacing w:after="80"/>
      </w:pPr>
    </w:p>
    <w:p w:rsidR="00253005" w:rsidRDefault="008575F9">
      <w:pPr>
        <w:pStyle w:val="Heading3"/>
      </w:pPr>
      <w:bookmarkStart w:id="62" w:name="_Toc230446013"/>
      <w:r>
        <w:t>June</w:t>
      </w:r>
      <w:bookmarkEnd w:id="62"/>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Authority</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1 Jun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Latest date for AGM adoption of annual accounts (5 months after 31 Dec FYE)</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Shareholders</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End Jun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May payroll tax return and payment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Belastingdienst</w:t>
            </w:r>
          </w:p>
        </w:tc>
      </w:tr>
    </w:tbl>
    <w:p w:rsidR="00253005" w:rsidRDefault="00253005">
      <w:pPr>
        <w:spacing w:after="80"/>
      </w:pPr>
    </w:p>
    <w:p w:rsidR="00253005" w:rsidRDefault="008575F9">
      <w:pPr>
        <w:pStyle w:val="Heading3"/>
      </w:pPr>
      <w:bookmarkStart w:id="63" w:name="_Toc230446014"/>
      <w:r>
        <w:t>July</w:t>
      </w:r>
      <w:bookmarkEnd w:id="63"/>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Authority</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31 Jul</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Q2 VAT (BTW) return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31 Jul</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June payroll tax return and payment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Belastingdienst</w:t>
            </w:r>
          </w:p>
        </w:tc>
      </w:tr>
    </w:tbl>
    <w:p w:rsidR="00253005" w:rsidRDefault="00253005">
      <w:pPr>
        <w:spacing w:after="80"/>
      </w:pPr>
    </w:p>
    <w:p w:rsidR="00253005" w:rsidRDefault="008575F9">
      <w:pPr>
        <w:pStyle w:val="Heading3"/>
      </w:pPr>
      <w:bookmarkStart w:id="64" w:name="_Toc230446015"/>
      <w:r>
        <w:t>August</w:t>
      </w:r>
      <w:bookmarkEnd w:id="6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Authority</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End Aug</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July payroll tax return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Aug</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Recommended: Confirm CIT extension status if VPB return not yet filed</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Internal</w:t>
            </w:r>
          </w:p>
        </w:tc>
      </w:tr>
    </w:tbl>
    <w:p w:rsidR="00253005" w:rsidRDefault="00253005">
      <w:pPr>
        <w:spacing w:after="80"/>
      </w:pPr>
    </w:p>
    <w:p w:rsidR="00253005" w:rsidRDefault="008575F9">
      <w:pPr>
        <w:pStyle w:val="Heading3"/>
      </w:pPr>
      <w:bookmarkStart w:id="65" w:name="_Toc230446016"/>
      <w:r>
        <w:t>September</w:t>
      </w:r>
      <w:bookmarkEnd w:id="65"/>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Authority</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End Sep</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August payroll tax return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Belastingdienst</w:t>
            </w:r>
          </w:p>
        </w:tc>
      </w:tr>
    </w:tbl>
    <w:p w:rsidR="00253005" w:rsidRDefault="00253005">
      <w:pPr>
        <w:spacing w:after="80"/>
      </w:pPr>
    </w:p>
    <w:p w:rsidR="00253005" w:rsidRDefault="008575F9">
      <w:pPr>
        <w:pStyle w:val="Heading3"/>
      </w:pPr>
      <w:bookmarkStart w:id="66" w:name="_Toc230446017"/>
      <w:r>
        <w:t>October</w:t>
      </w:r>
      <w:bookmarkEnd w:id="66"/>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Authority</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31 Oct</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Q3 VAT (BTW) return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31 Oct</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September payroll tax return and payment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Belastingdienst</w:t>
            </w:r>
          </w:p>
        </w:tc>
      </w:tr>
    </w:tbl>
    <w:p w:rsidR="00253005" w:rsidRDefault="00253005">
      <w:pPr>
        <w:spacing w:after="80"/>
      </w:pPr>
    </w:p>
    <w:p w:rsidR="00253005" w:rsidRDefault="008575F9">
      <w:pPr>
        <w:pStyle w:val="Heading3"/>
      </w:pPr>
      <w:bookmarkStart w:id="67" w:name="_Toc230446018"/>
      <w:r>
        <w:t>November</w:t>
      </w:r>
      <w:bookmarkEnd w:id="67"/>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Authority</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End Nov</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October payroll tax return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Belastingdienst</w:t>
            </w:r>
          </w:p>
        </w:tc>
      </w:tr>
    </w:tbl>
    <w:p w:rsidR="00253005" w:rsidRDefault="00253005">
      <w:pPr>
        <w:spacing w:after="80"/>
      </w:pPr>
    </w:p>
    <w:p w:rsidR="00253005" w:rsidRDefault="008575F9">
      <w:pPr>
        <w:pStyle w:val="Heading3"/>
      </w:pPr>
      <w:bookmarkStart w:id="68" w:name="_Toc230446019"/>
      <w:r>
        <w:lastRenderedPageBreak/>
        <w:t>December</w:t>
      </w:r>
      <w:bookmarkEnd w:id="68"/>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Authority</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By 31 Dec</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Annual Performance Report (APR) deadline for Indian parent's ODI (FEMA)</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RBI / AD Bank</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By 31 Dec</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Latest date for filing prior year accounts with KVK (12 months after 31 Dec FYE)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KVK</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End Dec</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November payroll tax return and payment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Throughout</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Year-end tax planning, pension contributions, dividend declarations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Internal</w:t>
            </w:r>
          </w:p>
        </w:tc>
      </w:tr>
    </w:tbl>
    <w:p w:rsidR="00253005" w:rsidRDefault="00253005">
      <w:pPr>
        <w:spacing w:after="80"/>
      </w:pPr>
    </w:p>
    <w:p w:rsidR="00253005" w:rsidRDefault="008575F9">
      <w:pPr>
        <w:spacing w:after="120" w:line="276" w:lineRule="auto"/>
      </w:pPr>
      <w:r>
        <w:t xml:space="preserve">Company-specific deadlines: The CIT return (VPB) is due 5 months after fiscal year-end, but a standard extension via your tax advisor typically extends this until the following year's May/June. Annual accounts must be adopted by the AGM within 5 months of </w:t>
      </w:r>
      <w:r>
        <w:t>FYE (extendable to 7 months) and filed with KVK within 8 days of adoption (maximum 12 months from FYE). Failure to file accounts on time can result in director liability for company debts in the event of insolvency.</w:t>
      </w:r>
    </w:p>
    <w:p w:rsidR="00253005" w:rsidRDefault="008575F9">
      <w:r>
        <w:br w:type="page"/>
      </w:r>
    </w:p>
    <w:p w:rsidR="00253005" w:rsidRDefault="008575F9">
      <w:pPr>
        <w:pStyle w:val="Heading1"/>
      </w:pPr>
      <w:bookmarkStart w:id="69" w:name="_Toc230446020"/>
      <w:r>
        <w:lastRenderedPageBreak/>
        <w:t>17. Risk, Disputes, and Exit Options</w:t>
      </w:r>
      <w:bookmarkEnd w:id="69"/>
    </w:p>
    <w:p w:rsidR="00253005" w:rsidRDefault="008575F9">
      <w:pPr>
        <w:pStyle w:val="Heading2"/>
      </w:pPr>
      <w:bookmarkStart w:id="70" w:name="_Toc230446021"/>
      <w:r>
        <w:t>1</w:t>
      </w:r>
      <w:r>
        <w:t>7.1 Dispute Resolution</w:t>
      </w:r>
      <w:bookmarkEnd w:id="70"/>
    </w:p>
    <w:p w:rsidR="00253005" w:rsidRDefault="008575F9">
      <w:pPr>
        <w:spacing w:after="120" w:line="276" w:lineRule="auto"/>
      </w:pPr>
      <w:r>
        <w:t>The Dutch court system comprises: District Courts (Rechtbanken) at first instance, Courts of Appeal (Gerechtshoven), and the Supreme Court (Hoge Raad). Specialized commercial chambers exist within District Courts. The Netherlands Com</w:t>
      </w:r>
      <w:r>
        <w:t>mercial Court (NCC) in Amsterdam, established in 2019, handles complex international commercial disputes in English. The Netherlands Arbitration Institute (NAI) is the leading domestic arbitration institution; ICC and other international institutions are a</w:t>
      </w:r>
      <w:r>
        <w:t>lso widely used. The Netherlands is signatory to the New York Convention on enforcement of foreign arbitral awards. Mediation is increasingly favored. Average commercial litigation timelines: 1-2 years at first instance; 2-4 years through appeals.</w:t>
      </w:r>
    </w:p>
    <w:p w:rsidR="00253005" w:rsidRDefault="008575F9">
      <w:pPr>
        <w:pStyle w:val="Heading2"/>
      </w:pPr>
      <w:bookmarkStart w:id="71" w:name="_Toc230446022"/>
      <w:r>
        <w:t>17.2 Key</w:t>
      </w:r>
      <w:r>
        <w:t xml:space="preserve"> Risk Areas</w:t>
      </w:r>
      <w:bookmarkEnd w:id="71"/>
    </w:p>
    <w:p w:rsidR="00253005" w:rsidRDefault="008575F9">
      <w:pPr>
        <w:spacing w:after="120" w:line="276" w:lineRule="auto"/>
      </w:pPr>
      <w:r>
        <w:t>Indian businesses should be aware of: Vifo Act notification requirements for vital/sensitive sector activities; Dutch substance requirements for tax purposes (increasingly strict for holding companies seeking participation exemption or treaty b</w:t>
      </w:r>
      <w:r>
        <w:t>enefits - the tax authority and Supreme Court have applied robust anti-abuse analysis); Mandatory UBO registration (penalties for non-compliance); Earnings stripping rule limiting interest deduction (24.5% of EBITDA or EUR 1 million, whichever higher); Pil</w:t>
      </w:r>
      <w:r>
        <w:t>lar Two / Minimum Tax Act 2024 for large groups (revenue &gt;EUR 750m); Dutch Anti-Money Laundering Act (Wwft) - banks have intensified KYC; ATAD I, II, III implementation including hybrid mismatch rules and CFC rules; the EU AML Authority being phased in 202</w:t>
      </w:r>
      <w:r>
        <w:t>6; transfer pricing documentation including Master/Local File and Country-by-Country Reporting; conditional WHT on interest/royalties/dividends to low-tax/blacklisted jurisdictions (25.8%).</w:t>
      </w:r>
    </w:p>
    <w:p w:rsidR="00253005" w:rsidRDefault="008575F9">
      <w:pPr>
        <w:pStyle w:val="Heading2"/>
      </w:pPr>
      <w:bookmarkStart w:id="72" w:name="_Toc230446023"/>
      <w:r>
        <w:t>17.3 Exit and Restructuring Options</w:t>
      </w:r>
      <w:bookmarkEnd w:id="72"/>
    </w:p>
    <w:p w:rsidR="00253005" w:rsidRDefault="008575F9">
      <w:pPr>
        <w:spacing w:after="120" w:line="276" w:lineRule="auto"/>
      </w:pPr>
      <w:r>
        <w:t>Exit options include: Share sa</w:t>
      </w:r>
      <w:r>
        <w:t>le (capital gains may benefit from participation exemption if Indian seller is held via Dutch BV with 5%+ holding); Asset sale; Liquidation (vereffening) - shareholders' resolution followed by formal winding-up procedure (typically 6-18 months); Turbo-liqu</w:t>
      </w:r>
      <w:r>
        <w:t>idation (versnelde ontbinding) - simplified dissolution for companies with no assets/activities (relatively quick but requires careful preparation under the Temporary Act on Transparency Turbo Liquidation effective from 15 November 2023); Merger or demerge</w:t>
      </w:r>
      <w:r>
        <w:t>r (juridische fusie/splitsing); Cross-border merger; Conversion (omzetting) to another legal form; IPO on Euronext Amsterdam. Pre-closure tasks: cease activities, settle creditors, file final tax returns, deregister for VAT/payroll/UBO, distribute residual</w:t>
      </w:r>
      <w:r>
        <w:t xml:space="preserve"> assets. Director liability for unpaid taxes is a significant risk if dissolution is mishandled.</w:t>
      </w:r>
    </w:p>
    <w:p w:rsidR="00253005" w:rsidRDefault="008575F9">
      <w:r>
        <w:br w:type="page"/>
      </w:r>
    </w:p>
    <w:p w:rsidR="00253005" w:rsidRDefault="008575F9">
      <w:pPr>
        <w:pStyle w:val="Heading1"/>
      </w:pPr>
      <w:bookmarkStart w:id="73" w:name="_Toc230446024"/>
      <w:r>
        <w:lastRenderedPageBreak/>
        <w:t>18. Practical Checklists and Tools</w:t>
      </w:r>
      <w:bookmarkEnd w:id="73"/>
    </w:p>
    <w:p w:rsidR="00253005" w:rsidRDefault="008575F9">
      <w:pPr>
        <w:pStyle w:val="Heading2"/>
      </w:pPr>
      <w:bookmarkStart w:id="74" w:name="_Toc230446025"/>
      <w:r>
        <w:t>18.1 Pre-Entry Checklist for Indian Entrepreneurs</w:t>
      </w:r>
      <w:bookmarkEnd w:id="7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360"/>
        <w:gridCol w:w="1800"/>
        <w:gridCol w:w="2600"/>
      </w:tblGrid>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No.</w:t>
            </w:r>
          </w:p>
        </w:tc>
        <w:tc>
          <w:tcPr>
            <w:tcW w:w="4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Category</w:t>
            </w:r>
          </w:p>
        </w:tc>
        <w:tc>
          <w:tcPr>
            <w:tcW w:w="2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Status</w:t>
            </w:r>
          </w:p>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Identify target sector and check Vifo Act sensitive sector list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Strategic</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253005"/>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Determine entity structure (BV / Branch / Coöperatie)</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Legal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253005"/>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Verify FEMA ODI eligibility (400% net worth limit)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Indian Compliance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253005"/>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Plan funding mode (equity / loan / share swap)</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Financial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253005"/>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Engage Dutch civil-law notary and tax advisor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Legal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253005"/>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Prepare KYC documentation (apostilled where needed)</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Operational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253005"/>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7</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Secure Dutch registered business address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Operational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253005"/>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8</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Verify name availability (KVK + BOIP trademarks)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Legal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253005"/>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Plan Dutch bank account opening (allow 2-6 weeks)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Financial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253005"/>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Obtain India Tax Residency Certificate (TRC) and Form 10F</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Tax</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253005"/>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11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Plan immigration for Indian staff (Highly Skilled Migrant route)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HR</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253005"/>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12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Assess EU GDPR / AP registration requirements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Legal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253005"/>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13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File Form FC with AD bank in India before first remittance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FEMA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253005"/>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14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Plan transfer pricing documentation for intercompany flows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Tax</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253005"/>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15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Consider applying for Advance Tax Ruling (ATR/APA) for certainty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Tax</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253005"/>
        </w:tc>
      </w:tr>
      <w:tr w:rsidR="0025300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16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UBO register identification and substance planning</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Legal/Tax</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253005"/>
        </w:tc>
      </w:tr>
    </w:tbl>
    <w:p w:rsidR="00253005" w:rsidRDefault="008575F9">
      <w:r>
        <w:br w:type="page"/>
      </w:r>
    </w:p>
    <w:p w:rsidR="00253005" w:rsidRDefault="008575F9">
      <w:pPr>
        <w:pStyle w:val="Heading1"/>
      </w:pPr>
      <w:bookmarkStart w:id="75" w:name="_Toc230446026"/>
      <w:r>
        <w:lastRenderedPageBreak/>
        <w:t>19. Compliance Penalty Matrix</w:t>
      </w:r>
      <w:bookmarkEnd w:id="75"/>
    </w:p>
    <w:p w:rsidR="00253005" w:rsidRDefault="008575F9">
      <w:pPr>
        <w:spacing w:after="120" w:line="276" w:lineRule="auto"/>
      </w:pPr>
      <w:r>
        <w:t>Non-compliance with Dutch regulatory and tax obligations may result in the following penalties: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000"/>
        <w:gridCol w:w="2360"/>
      </w:tblGrid>
      <w:tr w:rsidR="002530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Compliance Area</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Violation</w:t>
            </w:r>
          </w:p>
        </w:tc>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Penalty</w:t>
            </w:r>
          </w:p>
        </w:tc>
        <w:tc>
          <w:tcPr>
            <w:tcW w:w="2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253005" w:rsidRDefault="008575F9">
            <w:r>
              <w:rPr>
                <w:b/>
                <w:bCs/>
                <w:color w:val="FFFFFF"/>
                <w:sz w:val="20"/>
                <w:szCs w:val="20"/>
              </w:rPr>
              <w:t>Authority</w:t>
            </w:r>
          </w:p>
        </w:tc>
      </w:tr>
      <w:tr w:rsidR="002530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Annual Accounts (KVK)</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Late filing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Up to EUR 4,950 administrative fine; director liability for company debts in insolvency</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KVK / Civil Court</w:t>
            </w:r>
          </w:p>
        </w:tc>
      </w:tr>
      <w:tr w:rsidR="002530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UBO Register</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Failure to register/update</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Up to EUR 22,500 administrative fine; criminal sanctions possible</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KVK / FIOD</w:t>
            </w:r>
          </w:p>
        </w:tc>
      </w:tr>
      <w:tr w:rsidR="002530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CIT Return (VPB)</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Late filing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EUR 385 default penalty (escalating to EUR 5,514+)</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CIT Return (VPB)</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Failure to file after notice</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Higher administrative penalty plus assessment estimation</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CIT Payment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Late payment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Default penalty + interest (currently ~6%)</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VAT Return (BTW)</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Late submission</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EUR 68-136 default penalty per period</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VAT payment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Late payment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3% of underpayment (min EUR 50, max EUR 5,514)</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Payroll Tax</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Late submission/payment</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Default penalty + interest</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Vifo Act non-notification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Failure to notify mandatory transactions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Transaction void; fine up to EUR 900,000 or 10% of turnover</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BTI</w:t>
            </w:r>
          </w:p>
        </w:tc>
      </w:tr>
      <w:tr w:rsidR="002530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EU GDPR</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Serious breach</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Greater of EUR 20 million or 4% of global turnover</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AP</w:t>
            </w:r>
          </w:p>
        </w:tc>
      </w:tr>
      <w:tr w:rsidR="002530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Working Conditions Act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Health &amp; safety violations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Fines up to EUR 13,500 per violation; criminal liability possible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Inspectie SZW</w:t>
            </w:r>
          </w:p>
        </w:tc>
      </w:tr>
      <w:tr w:rsidR="002530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Anti-money Laundering (Wwft)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Non-compliance</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Fines up to EUR 5 million or 10% of turnover</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DNB / FIU</w:t>
            </w:r>
          </w:p>
        </w:tc>
      </w:tr>
      <w:tr w:rsidR="002530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Transfer Pricing Documentation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Missing Master/Local File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Penalty plus reverse burden of proof</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253005" w:rsidRDefault="008575F9">
            <w:r>
              <w:rPr>
                <w:sz w:val="19"/>
                <w:szCs w:val="19"/>
              </w:rPr>
              <w:t>Belastingdienst</w:t>
            </w:r>
          </w:p>
        </w:tc>
      </w:tr>
      <w:tr w:rsidR="0025300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Pillar Two Filing</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Late/missing</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Up to EUR 1,030,000</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253005" w:rsidRDefault="008575F9">
            <w:r>
              <w:rPr>
                <w:sz w:val="19"/>
                <w:szCs w:val="19"/>
              </w:rPr>
              <w:t>Belastingdienst</w:t>
            </w:r>
          </w:p>
        </w:tc>
      </w:tr>
    </w:tbl>
    <w:p w:rsidR="00253005" w:rsidRDefault="008575F9">
      <w:r>
        <w:br w:type="page"/>
      </w:r>
    </w:p>
    <w:p w:rsidR="00253005" w:rsidRDefault="008575F9">
      <w:pPr>
        <w:pStyle w:val="Heading1"/>
      </w:pPr>
      <w:bookmarkStart w:id="76" w:name="_Toc230446027"/>
      <w:r>
        <w:lastRenderedPageBreak/>
        <w:t>20. How Comply Globally Supports Entry Netherlands</w:t>
      </w:r>
      <w:bookmarkEnd w:id="76"/>
    </w:p>
    <w:p w:rsidR="00253005" w:rsidRDefault="008575F9">
      <w:pPr>
        <w:spacing w:after="120" w:line="276" w:lineRule="auto"/>
      </w:pPr>
      <w:r>
        <w:t>Comply Globally, a Connect Ventures Initiative, provides end-to-end advisory and execution support for Indian businesses entering the Netherlands market. Our integrated India-Netherlands service model covers both ends of the cross-border journey - from FEM</w:t>
      </w:r>
      <w:r>
        <w:t>A compliance and Indian tax planning to Dutch BV incorporation, tax registration, substance planning, and ongoing compliance.</w:t>
      </w:r>
    </w:p>
    <w:p w:rsidR="00253005" w:rsidRDefault="008575F9">
      <w:pPr>
        <w:pStyle w:val="Heading2"/>
      </w:pPr>
      <w:bookmarkStart w:id="77" w:name="_Toc230446028"/>
      <w:r>
        <w:t>20.1 Our Services</w:t>
      </w:r>
      <w:bookmarkEnd w:id="77"/>
    </w:p>
    <w:p w:rsidR="00253005" w:rsidRDefault="008575F9">
      <w:pPr>
        <w:spacing w:after="120" w:line="276" w:lineRule="auto"/>
      </w:pPr>
      <w:r>
        <w:rPr>
          <w:b/>
          <w:bCs/>
        </w:rPr>
        <w:t xml:space="preserve">Pre-Entry Advisory: </w:t>
      </w:r>
      <w:r>
        <w:t>Entry route assessment, FEMA ODI structuring, India-Netherlands DTAA planning (including MFN</w:t>
      </w:r>
      <w:r>
        <w:t xml:space="preserve"> clause analysis), Dutch participation exemption planning, substance requirements assessment.</w:t>
      </w:r>
    </w:p>
    <w:p w:rsidR="00253005" w:rsidRDefault="008575F9">
      <w:pPr>
        <w:spacing w:after="120" w:line="276" w:lineRule="auto"/>
      </w:pPr>
      <w:r>
        <w:rPr>
          <w:b/>
          <w:bCs/>
        </w:rPr>
        <w:t xml:space="preserve">FEMA &amp; RBI Compliance: </w:t>
      </w:r>
      <w:r>
        <w:t>Form FC filing through AD bank, Annual Performance Report (APR), Foreign Liabilities and Assets (FLA) Return, ongoing FEMA reporting.</w:t>
      </w:r>
    </w:p>
    <w:p w:rsidR="00253005" w:rsidRDefault="008575F9">
      <w:pPr>
        <w:spacing w:after="120" w:line="276" w:lineRule="auto"/>
      </w:pPr>
      <w:r>
        <w:rPr>
          <w:b/>
          <w:bCs/>
        </w:rPr>
        <w:t>Dutch</w:t>
      </w:r>
      <w:r>
        <w:rPr>
          <w:b/>
          <w:bCs/>
        </w:rPr>
        <w:t xml:space="preserve"> Company Incorporation: </w:t>
      </w:r>
      <w:r>
        <w:t>Civil-law notary engagement, Articles of Association, KVK registration, UBO register filing, Belastingdienst registration.</w:t>
      </w:r>
    </w:p>
    <w:p w:rsidR="00253005" w:rsidRDefault="008575F9">
      <w:pPr>
        <w:spacing w:after="120" w:line="276" w:lineRule="auto"/>
      </w:pPr>
      <w:r>
        <w:rPr>
          <w:b/>
          <w:bCs/>
        </w:rPr>
        <w:t xml:space="preserve">Dutch Tax Registration &amp; Advisory: </w:t>
      </w:r>
      <w:r>
        <w:t>CIT, VAT, payroll tax registration; Innovation Box planning; WBSO R&amp;D appl</w:t>
      </w:r>
      <w:r>
        <w:t>ications; transfer pricing documentation; Advance Tax Ruling (ATR) and Advance Pricing Agreement (APA) applications.</w:t>
      </w:r>
    </w:p>
    <w:p w:rsidR="00253005" w:rsidRDefault="008575F9">
      <w:pPr>
        <w:spacing w:after="120" w:line="276" w:lineRule="auto"/>
      </w:pPr>
      <w:r>
        <w:rPr>
          <w:b/>
          <w:bCs/>
        </w:rPr>
        <w:t xml:space="preserve">Dutch Banking Support: </w:t>
      </w:r>
      <w:r>
        <w:t>Bank account opening introductions with major Dutch banks and digital alternatives; documentation preparation.</w:t>
      </w:r>
    </w:p>
    <w:p w:rsidR="00253005" w:rsidRDefault="008575F9">
      <w:pPr>
        <w:spacing w:after="120" w:line="276" w:lineRule="auto"/>
      </w:pPr>
      <w:r>
        <w:rPr>
          <w:b/>
          <w:bCs/>
        </w:rPr>
        <w:t xml:space="preserve">Immigration Support: </w:t>
      </w:r>
      <w:r>
        <w:t>IND Recognized Sponsor application, Highly Skilled Migrant permits, ICT permits, Startup Visa applications, EU Blue Card.</w:t>
      </w:r>
    </w:p>
    <w:p w:rsidR="00253005" w:rsidRDefault="008575F9">
      <w:pPr>
        <w:spacing w:after="120" w:line="276" w:lineRule="auto"/>
      </w:pPr>
      <w:r>
        <w:rPr>
          <w:b/>
          <w:bCs/>
        </w:rPr>
        <w:t xml:space="preserve">Ongoing Dutch Compliance: </w:t>
      </w:r>
      <w:r>
        <w:t>Annual accounts preparation and KVK filing, CIT returns (VPB), VAT returns (BTW), payro</w:t>
      </w:r>
      <w:r>
        <w:t>ll administration, statutory books maintenance, UBO updates.</w:t>
      </w:r>
    </w:p>
    <w:p w:rsidR="00253005" w:rsidRDefault="008575F9">
      <w:pPr>
        <w:spacing w:after="120" w:line="276" w:lineRule="auto"/>
      </w:pPr>
      <w:r>
        <w:rPr>
          <w:b/>
          <w:bCs/>
        </w:rPr>
        <w:t xml:space="preserve">Indian Parent Compliance: </w:t>
      </w:r>
      <w:r>
        <w:t>Consolidated Financial Statements, Companies Act reporting, Form AOC-1, Foreign Tax Credit (FTC) claims under Section 90/Rule 128.</w:t>
      </w:r>
    </w:p>
    <w:p w:rsidR="00253005" w:rsidRDefault="008575F9">
      <w:pPr>
        <w:pStyle w:val="Heading2"/>
      </w:pPr>
      <w:bookmarkStart w:id="78" w:name="_Toc230446029"/>
      <w:r>
        <w:t>20.2 Engagement Models</w:t>
      </w:r>
      <w:bookmarkEnd w:id="78"/>
    </w:p>
    <w:p w:rsidR="00253005" w:rsidRDefault="008575F9">
      <w:pPr>
        <w:spacing w:after="120" w:line="276" w:lineRule="auto"/>
      </w:pPr>
      <w:r>
        <w:t>Flexible engagement options: Fixed-Fee Incorporation Packages (covering setup + first year compliance); Monthly Retainers for ongoing Dutch compliance and advisory; Project-Based Engagements for specific transactions (acquisition, restructuring, regulatory</w:t>
      </w:r>
      <w:r>
        <w:t xml:space="preserve"> applications); and Comprehensive Entry Packages combining FEMA filing, Dutch incorporation, banking, tax registration, immigration, and first-year compliance.</w:t>
      </w:r>
    </w:p>
    <w:p w:rsidR="00253005" w:rsidRDefault="008575F9">
      <w:pPr>
        <w:pStyle w:val="Heading2"/>
      </w:pPr>
      <w:bookmarkStart w:id="79" w:name="_Toc230446030"/>
      <w:r>
        <w:t>20.3 Contact Us</w:t>
      </w:r>
      <w:bookmarkEnd w:id="79"/>
    </w:p>
    <w:p w:rsidR="00253005" w:rsidRDefault="00253005">
      <w:pPr>
        <w:spacing w:after="80"/>
      </w:pPr>
    </w:p>
    <w:p w:rsidR="00253005" w:rsidRDefault="008575F9">
      <w:pPr>
        <w:spacing w:after="120" w:line="276" w:lineRule="auto"/>
      </w:pPr>
      <w:r>
        <w:rPr>
          <w:b/>
          <w:bCs/>
        </w:rPr>
        <w:t>Comply Globally - A Connect Ventures Initiative</w:t>
      </w:r>
    </w:p>
    <w:p w:rsidR="00253005" w:rsidRDefault="008575F9">
      <w:pPr>
        <w:spacing w:after="120" w:line="276" w:lineRule="auto"/>
      </w:pPr>
      <w:r>
        <w:rPr>
          <w:b/>
          <w:bCs/>
        </w:rPr>
        <w:t xml:space="preserve">Email: </w:t>
      </w:r>
      <w:r>
        <w:t>anil.gupta@TheConnectVen</w:t>
      </w:r>
      <w:r>
        <w:t>tures.com</w:t>
      </w:r>
    </w:p>
    <w:p w:rsidR="00253005" w:rsidRDefault="008575F9">
      <w:pPr>
        <w:spacing w:after="120" w:line="276" w:lineRule="auto"/>
      </w:pPr>
      <w:r>
        <w:rPr>
          <w:b/>
          <w:bCs/>
        </w:rPr>
        <w:lastRenderedPageBreak/>
        <w:t xml:space="preserve">Phone: </w:t>
      </w:r>
      <w:r>
        <w:t>+91 99999 81613 | +1 302 214 1717</w:t>
      </w:r>
    </w:p>
    <w:p w:rsidR="00253005" w:rsidRDefault="00253005">
      <w:pPr>
        <w:spacing w:after="80"/>
      </w:pPr>
    </w:p>
    <w:p w:rsidR="00253005" w:rsidRDefault="008575F9">
      <w:pPr>
        <w:spacing w:after="120" w:line="276" w:lineRule="auto"/>
      </w:pPr>
      <w:r>
        <w:t>We look forward to supporting your successful entry into the Netherlands market and the broader European Union.</w:t>
      </w:r>
    </w:p>
    <w:p w:rsidR="00253005" w:rsidRDefault="008575F9">
      <w:r>
        <w:br w:type="page"/>
      </w:r>
    </w:p>
    <w:p w:rsidR="00253005" w:rsidRDefault="008575F9">
      <w:r>
        <w:rPr>
          <w:b/>
          <w:sz w:val="28"/>
        </w:rPr>
        <w:lastRenderedPageBreak/>
        <w:t>Appendix – Updated Netherlands Monthly Compliance Calendar</w:t>
      </w:r>
    </w:p>
    <w:p w:rsidR="00253005" w:rsidRDefault="008575F9">
      <w:r>
        <w:rPr>
          <w:b/>
        </w:rPr>
        <w:t>January</w:t>
      </w:r>
    </w:p>
    <w:p w:rsidR="00253005" w:rsidRDefault="008575F9">
      <w:r>
        <w:t>Q4 VAT (BTW) return and</w:t>
      </w:r>
      <w:r>
        <w:t xml:space="preserve"> payment due.</w:t>
      </w:r>
    </w:p>
    <w:p w:rsidR="00253005" w:rsidRDefault="008575F9">
      <w:r>
        <w:t>December payroll tax filing and payment.</w:t>
      </w:r>
    </w:p>
    <w:p w:rsidR="00253005" w:rsidRDefault="008575F9">
      <w:r>
        <w:t>Review provisional corporate income tax assessments.</w:t>
      </w:r>
    </w:p>
    <w:p w:rsidR="00253005" w:rsidRDefault="008575F9">
      <w:r>
        <w:rPr>
          <w:b/>
        </w:rPr>
        <w:t>February</w:t>
      </w:r>
    </w:p>
    <w:p w:rsidR="00253005" w:rsidRDefault="008575F9">
      <w:r>
        <w:t>Issue Jaaropgaaf annual payroll statements to employees.</w:t>
      </w:r>
    </w:p>
    <w:p w:rsidR="00253005" w:rsidRDefault="008575F9">
      <w:r>
        <w:t>January payroll tax filing and payment.</w:t>
      </w:r>
    </w:p>
    <w:p w:rsidR="00253005" w:rsidRDefault="008575F9">
      <w:r>
        <w:rPr>
          <w:b/>
        </w:rPr>
        <w:t>March</w:t>
      </w:r>
    </w:p>
    <w:p w:rsidR="00253005" w:rsidRDefault="008575F9">
      <w:r>
        <w:t>February payroll tax filing and paym</w:t>
      </w:r>
      <w:r>
        <w:t>ent.</w:t>
      </w:r>
    </w:p>
    <w:p w:rsidR="00253005" w:rsidRDefault="008575F9">
      <w:r>
        <w:t>Prepare annual accounts and audit review.</w:t>
      </w:r>
    </w:p>
    <w:p w:rsidR="00253005" w:rsidRDefault="008575F9">
      <w:r>
        <w:rPr>
          <w:b/>
        </w:rPr>
        <w:t>April</w:t>
      </w:r>
    </w:p>
    <w:p w:rsidR="00253005" w:rsidRDefault="008575F9">
      <w:r>
        <w:t>Q1 VAT return and payment due.</w:t>
      </w:r>
    </w:p>
    <w:p w:rsidR="00253005" w:rsidRDefault="008575F9">
      <w:r>
        <w:t>March payroll filing and payment.</w:t>
      </w:r>
    </w:p>
    <w:p w:rsidR="00253005" w:rsidRDefault="008575F9">
      <w:r>
        <w:rPr>
          <w:b/>
        </w:rPr>
        <w:t>May</w:t>
      </w:r>
    </w:p>
    <w:p w:rsidR="00253005" w:rsidRDefault="008575F9">
      <w:r>
        <w:t>Personal income tax filing deadline for directors/shareholders.</w:t>
      </w:r>
    </w:p>
    <w:p w:rsidR="00253005" w:rsidRDefault="008575F9">
      <w:r>
        <w:t>Annual VPB corporate tax return due for calendar-year taxpayers unless</w:t>
      </w:r>
      <w:r>
        <w:t xml:space="preserve"> extension obtained.</w:t>
      </w:r>
    </w:p>
    <w:p w:rsidR="00253005" w:rsidRDefault="008575F9">
      <w:r>
        <w:t>Holiday allowance (vakantiegeld) payment cycle.</w:t>
      </w:r>
    </w:p>
    <w:p w:rsidR="00253005" w:rsidRDefault="008575F9">
      <w:r>
        <w:rPr>
          <w:b/>
        </w:rPr>
        <w:t>June</w:t>
      </w:r>
    </w:p>
    <w:p w:rsidR="00253005" w:rsidRDefault="008575F9">
      <w:r>
        <w:t>AGM approval of annual accounts.</w:t>
      </w:r>
    </w:p>
    <w:p w:rsidR="00253005" w:rsidRDefault="008575F9">
      <w:r>
        <w:t>May payroll filing and payment.</w:t>
      </w:r>
    </w:p>
    <w:p w:rsidR="00253005" w:rsidRDefault="008575F9">
      <w:r>
        <w:rPr>
          <w:b/>
        </w:rPr>
        <w:t>July</w:t>
      </w:r>
    </w:p>
    <w:p w:rsidR="00253005" w:rsidRDefault="008575F9">
      <w:r>
        <w:t>Q2 VAT return and payment due.</w:t>
      </w:r>
    </w:p>
    <w:p w:rsidR="00253005" w:rsidRDefault="008575F9">
      <w:r>
        <w:t>June payroll filing and payment.</w:t>
      </w:r>
    </w:p>
    <w:p w:rsidR="00253005" w:rsidRDefault="008575F9">
      <w:r>
        <w:rPr>
          <w:b/>
        </w:rPr>
        <w:t>August</w:t>
      </w:r>
    </w:p>
    <w:p w:rsidR="00253005" w:rsidRDefault="008575F9">
      <w:r>
        <w:t>July payroll filing and payment.</w:t>
      </w:r>
    </w:p>
    <w:p w:rsidR="00253005" w:rsidRDefault="008575F9">
      <w:r>
        <w:t>Mid-year</w:t>
      </w:r>
      <w:r>
        <w:t xml:space="preserve"> transfer pricing and intercompany review.</w:t>
      </w:r>
    </w:p>
    <w:p w:rsidR="00253005" w:rsidRDefault="008575F9">
      <w:r>
        <w:rPr>
          <w:b/>
        </w:rPr>
        <w:t>September</w:t>
      </w:r>
    </w:p>
    <w:p w:rsidR="00253005" w:rsidRDefault="008575F9">
      <w:r>
        <w:t>August payroll filing and payment.</w:t>
      </w:r>
    </w:p>
    <w:p w:rsidR="00253005" w:rsidRDefault="008575F9">
      <w:r>
        <w:t>Review WBSO and Innovation Box eligibility.</w:t>
      </w:r>
    </w:p>
    <w:p w:rsidR="00253005" w:rsidRDefault="008575F9">
      <w:r>
        <w:rPr>
          <w:b/>
        </w:rPr>
        <w:t>October</w:t>
      </w:r>
    </w:p>
    <w:p w:rsidR="00253005" w:rsidRDefault="008575F9">
      <w:r>
        <w:t>Q3 VAT return and payment due.</w:t>
      </w:r>
    </w:p>
    <w:p w:rsidR="00253005" w:rsidRDefault="008575F9">
      <w:r>
        <w:t>September payroll filing and payment.</w:t>
      </w:r>
    </w:p>
    <w:p w:rsidR="00253005" w:rsidRDefault="008575F9">
      <w:r>
        <w:rPr>
          <w:b/>
        </w:rPr>
        <w:t>November</w:t>
      </w:r>
    </w:p>
    <w:p w:rsidR="00253005" w:rsidRDefault="008575F9">
      <w:r>
        <w:t>October payroll filing and payment.</w:t>
      </w:r>
    </w:p>
    <w:p w:rsidR="00253005" w:rsidRDefault="008575F9">
      <w:r>
        <w:t>Year-end tax planning and dividend review.</w:t>
      </w:r>
    </w:p>
    <w:p w:rsidR="00253005" w:rsidRDefault="008575F9">
      <w:r>
        <w:rPr>
          <w:b/>
        </w:rPr>
        <w:t>December</w:t>
      </w:r>
    </w:p>
    <w:p w:rsidR="00253005" w:rsidRDefault="008575F9">
      <w:r>
        <w:t>November payroll filing and payment.</w:t>
      </w:r>
    </w:p>
    <w:p w:rsidR="00253005" w:rsidRDefault="008575F9">
      <w:r>
        <w:t>Annual FEMA ODI/APR review for Indian parent entities.</w:t>
      </w:r>
    </w:p>
    <w:p w:rsidR="00253005" w:rsidRDefault="008575F9">
      <w:r>
        <w:t>Year-end closing entries and audit preparation.</w:t>
      </w:r>
    </w:p>
    <w:p w:rsidR="00253005" w:rsidRDefault="008575F9">
      <w:r>
        <w:br w:type="page"/>
      </w:r>
    </w:p>
    <w:p w:rsidR="00253005" w:rsidRDefault="008575F9">
      <w:r>
        <w:rPr>
          <w:b/>
        </w:rPr>
        <w:lastRenderedPageBreak/>
        <w:t>Key Netherlands-Specific Revisions Included</w:t>
      </w:r>
    </w:p>
    <w:p w:rsidR="00253005" w:rsidRDefault="008575F9">
      <w:r>
        <w:t xml:space="preserve">Enhanced Dutch BV </w:t>
      </w:r>
      <w:r>
        <w:t>incorporation process and KVK compliance guidance.</w:t>
      </w:r>
    </w:p>
    <w:p w:rsidR="00253005" w:rsidRDefault="008575F9">
      <w:r>
        <w:t>Updated Dutch corporate income tax, VAT, and withholding tax framework.</w:t>
      </w:r>
    </w:p>
    <w:p w:rsidR="00253005" w:rsidRDefault="008575F9">
      <w:r>
        <w:t>Expanded UBO, Vifo Act, GDPR, and payroll compliance obligations.</w:t>
      </w:r>
    </w:p>
    <w:p w:rsidR="00253005" w:rsidRDefault="008575F9">
      <w:r>
        <w:t>Updated immigration and Highly Skilled Migrant compliance requireme</w:t>
      </w:r>
      <w:r>
        <w:t>nts.</w:t>
      </w:r>
    </w:p>
    <w:p w:rsidR="00253005" w:rsidRDefault="008575F9">
      <w:r>
        <w:t>Expanded transfer pricing and substance requirements for Indian groups.</w:t>
      </w:r>
    </w:p>
    <w:p w:rsidR="00253005" w:rsidRDefault="008575F9">
      <w:r>
        <w:t>Improved annual and monthly compliance calendar for Dutch operations.</w:t>
      </w:r>
    </w:p>
    <w:p w:rsidR="00253005" w:rsidRDefault="008575F9">
      <w:r>
        <w:br/>
        <w:t>Revised and updated on 23 May 2026.</w:t>
      </w:r>
    </w:p>
    <w:sectPr w:rsidR="0025300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75F9" w:rsidRDefault="008575F9">
      <w:r>
        <w:separator/>
      </w:r>
    </w:p>
  </w:endnote>
  <w:endnote w:type="continuationSeparator" w:id="0">
    <w:p w:rsidR="008575F9" w:rsidRDefault="00857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3005" w:rsidRDefault="008575F9">
    <w:pPr>
      <w:pBdr>
        <w:top w:val="single" w:sz="6" w:space="4" w:color="003366"/>
      </w:pBdr>
      <w:tabs>
        <w:tab w:val="right" w:pos="9360"/>
      </w:tabs>
    </w:pPr>
    <w:r>
      <w:rPr>
        <w:color w:val="666666"/>
        <w:sz w:val="14"/>
        <w:szCs w:val="14"/>
      </w:rPr>
      <w:t>Comply Globally - A Connect Ventures Initiative  |  anil.gupta@TheConnectVentures.com</w:t>
    </w:r>
    <w:r>
      <w:rPr>
        <w:sz w:val="14"/>
        <w:szCs w:val="14"/>
      </w:rPr>
      <w:tab/>
    </w:r>
    <w:r>
      <w:rPr>
        <w:color w:val="666666"/>
        <w:sz w:val="14"/>
        <w:szCs w:val="14"/>
      </w:rPr>
      <w:t xml:space="preserve">Page </w:t>
    </w:r>
    <w:r>
      <w:rPr>
        <w:color w:val="666666"/>
        <w:sz w:val="14"/>
        <w:szCs w:val="14"/>
      </w:rPr>
      <w:fldChar w:fldCharType="begin"/>
    </w:r>
    <w:r>
      <w:rPr>
        <w:color w:val="666666"/>
        <w:sz w:val="14"/>
        <w:szCs w:val="14"/>
      </w:rPr>
      <w:instrText>PAGE</w:instrText>
    </w:r>
    <w:r w:rsidR="005F1919">
      <w:rPr>
        <w:color w:val="666666"/>
        <w:sz w:val="14"/>
        <w:szCs w:val="14"/>
      </w:rPr>
      <w:fldChar w:fldCharType="separate"/>
    </w:r>
    <w:r w:rsidR="005F1919">
      <w:rPr>
        <w:noProof/>
        <w:color w:val="666666"/>
        <w:sz w:val="14"/>
        <w:szCs w:val="14"/>
      </w:rPr>
      <w:t>22</w:t>
    </w:r>
    <w:r>
      <w:rPr>
        <w:color w:val="666666"/>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75F9" w:rsidRDefault="008575F9">
      <w:r>
        <w:separator/>
      </w:r>
    </w:p>
  </w:footnote>
  <w:footnote w:type="continuationSeparator" w:id="0">
    <w:p w:rsidR="008575F9" w:rsidRDefault="008575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3005" w:rsidRDefault="008575F9">
    <w:pPr>
      <w:pBdr>
        <w:bottom w:val="single" w:sz="6" w:space="4" w:color="003366"/>
      </w:pBdr>
    </w:pPr>
    <w:r>
      <w:rPr>
        <w:b/>
        <w:bCs/>
        <w:color w:val="003366"/>
        <w:sz w:val="16"/>
        <w:szCs w:val="16"/>
      </w:rPr>
      <w:t>COMPLY GLOBALLY</w:t>
    </w:r>
    <w:r>
      <w:rPr>
        <w:color w:val="666666"/>
        <w:sz w:val="16"/>
        <w:szCs w:val="16"/>
      </w:rPr>
      <w:t xml:space="preserve">  |  Entry Netherlands Guide  |  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A33B9A"/>
    <w:multiLevelType w:val="hybridMultilevel"/>
    <w:tmpl w:val="843ED98C"/>
    <w:lvl w:ilvl="0" w:tplc="92F2DCE8">
      <w:start w:val="1"/>
      <w:numFmt w:val="bullet"/>
      <w:lvlText w:val="●"/>
      <w:lvlJc w:val="left"/>
      <w:pPr>
        <w:ind w:left="720" w:hanging="360"/>
      </w:pPr>
    </w:lvl>
    <w:lvl w:ilvl="1" w:tplc="5D702C48">
      <w:start w:val="1"/>
      <w:numFmt w:val="bullet"/>
      <w:lvlText w:val="○"/>
      <w:lvlJc w:val="left"/>
      <w:pPr>
        <w:ind w:left="1440" w:hanging="360"/>
      </w:pPr>
    </w:lvl>
    <w:lvl w:ilvl="2" w:tplc="121863DA">
      <w:start w:val="1"/>
      <w:numFmt w:val="bullet"/>
      <w:lvlText w:val="■"/>
      <w:lvlJc w:val="left"/>
      <w:pPr>
        <w:ind w:left="2160" w:hanging="360"/>
      </w:pPr>
    </w:lvl>
    <w:lvl w:ilvl="3" w:tplc="3E8A8D54">
      <w:start w:val="1"/>
      <w:numFmt w:val="bullet"/>
      <w:lvlText w:val="●"/>
      <w:lvlJc w:val="left"/>
      <w:pPr>
        <w:ind w:left="2880" w:hanging="360"/>
      </w:pPr>
    </w:lvl>
    <w:lvl w:ilvl="4" w:tplc="3378D82C">
      <w:start w:val="1"/>
      <w:numFmt w:val="bullet"/>
      <w:lvlText w:val="○"/>
      <w:lvlJc w:val="left"/>
      <w:pPr>
        <w:ind w:left="3600" w:hanging="360"/>
      </w:pPr>
    </w:lvl>
    <w:lvl w:ilvl="5" w:tplc="C5ACFD66">
      <w:start w:val="1"/>
      <w:numFmt w:val="bullet"/>
      <w:lvlText w:val="■"/>
      <w:lvlJc w:val="left"/>
      <w:pPr>
        <w:ind w:left="4320" w:hanging="360"/>
      </w:pPr>
    </w:lvl>
    <w:lvl w:ilvl="6" w:tplc="C7827126">
      <w:start w:val="1"/>
      <w:numFmt w:val="bullet"/>
      <w:lvlText w:val="●"/>
      <w:lvlJc w:val="left"/>
      <w:pPr>
        <w:ind w:left="5040" w:hanging="360"/>
      </w:pPr>
    </w:lvl>
    <w:lvl w:ilvl="7" w:tplc="5B867FDC">
      <w:start w:val="1"/>
      <w:numFmt w:val="bullet"/>
      <w:lvlText w:val="●"/>
      <w:lvlJc w:val="left"/>
      <w:pPr>
        <w:ind w:left="5760" w:hanging="360"/>
      </w:pPr>
    </w:lvl>
    <w:lvl w:ilvl="8" w:tplc="BEEE51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253005"/>
    <w:rsid w:val="00253005"/>
    <w:rsid w:val="005F1919"/>
    <w:rsid w:val="008575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03366"/>
      <w:sz w:val="36"/>
      <w:szCs w:val="36"/>
    </w:rPr>
  </w:style>
  <w:style w:type="paragraph" w:styleId="Heading2">
    <w:name w:val="heading 2"/>
    <w:qFormat/>
    <w:pPr>
      <w:spacing w:before="240" w:after="160"/>
      <w:outlineLvl w:val="1"/>
    </w:pPr>
    <w:rPr>
      <w:b/>
      <w:bCs/>
      <w:color w:val="0066CC"/>
      <w:sz w:val="28"/>
      <w:szCs w:val="28"/>
    </w:rPr>
  </w:style>
  <w:style w:type="paragraph" w:styleId="Heading3">
    <w:name w:val="heading 3"/>
    <w:qFormat/>
    <w:pPr>
      <w:spacing w:before="200" w:after="120"/>
      <w:outlineLvl w:val="2"/>
    </w:pPr>
    <w:rPr>
      <w:b/>
      <w:bCs/>
      <w:color w:val="1A1A2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F1919"/>
    <w:pPr>
      <w:spacing w:after="100"/>
    </w:pPr>
  </w:style>
  <w:style w:type="paragraph" w:styleId="TOC2">
    <w:name w:val="toc 2"/>
    <w:basedOn w:val="Normal"/>
    <w:next w:val="Normal"/>
    <w:autoRedefine/>
    <w:uiPriority w:val="39"/>
    <w:unhideWhenUsed/>
    <w:rsid w:val="005F1919"/>
    <w:pPr>
      <w:spacing w:after="100"/>
      <w:ind w:left="220"/>
    </w:pPr>
  </w:style>
  <w:style w:type="paragraph" w:styleId="TOC3">
    <w:name w:val="toc 3"/>
    <w:basedOn w:val="Normal"/>
    <w:next w:val="Normal"/>
    <w:autoRedefine/>
    <w:uiPriority w:val="39"/>
    <w:unhideWhenUsed/>
    <w:rsid w:val="005F1919"/>
    <w:pPr>
      <w:spacing w:after="100"/>
      <w:ind w:left="440"/>
    </w:pPr>
  </w:style>
  <w:style w:type="paragraph" w:styleId="BalloonText">
    <w:name w:val="Balloon Text"/>
    <w:basedOn w:val="Normal"/>
    <w:link w:val="BalloonTextChar"/>
    <w:uiPriority w:val="99"/>
    <w:semiHidden/>
    <w:unhideWhenUsed/>
    <w:rsid w:val="005F1919"/>
    <w:rPr>
      <w:rFonts w:ascii="Tahoma" w:hAnsi="Tahoma" w:cs="Tahoma"/>
      <w:sz w:val="16"/>
      <w:szCs w:val="16"/>
    </w:rPr>
  </w:style>
  <w:style w:type="character" w:customStyle="1" w:styleId="BalloonTextChar">
    <w:name w:val="Balloon Text Char"/>
    <w:basedOn w:val="DefaultParagraphFont"/>
    <w:link w:val="BalloonText"/>
    <w:uiPriority w:val="99"/>
    <w:semiHidden/>
    <w:rsid w:val="005F191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03366"/>
      <w:sz w:val="36"/>
      <w:szCs w:val="36"/>
    </w:rPr>
  </w:style>
  <w:style w:type="paragraph" w:styleId="Heading2">
    <w:name w:val="heading 2"/>
    <w:qFormat/>
    <w:pPr>
      <w:spacing w:before="240" w:after="160"/>
      <w:outlineLvl w:val="1"/>
    </w:pPr>
    <w:rPr>
      <w:b/>
      <w:bCs/>
      <w:color w:val="0066CC"/>
      <w:sz w:val="28"/>
      <w:szCs w:val="28"/>
    </w:rPr>
  </w:style>
  <w:style w:type="paragraph" w:styleId="Heading3">
    <w:name w:val="heading 3"/>
    <w:qFormat/>
    <w:pPr>
      <w:spacing w:before="200" w:after="120"/>
      <w:outlineLvl w:val="2"/>
    </w:pPr>
    <w:rPr>
      <w:b/>
      <w:bCs/>
      <w:color w:val="1A1A2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F1919"/>
    <w:pPr>
      <w:spacing w:after="100"/>
    </w:pPr>
  </w:style>
  <w:style w:type="paragraph" w:styleId="TOC2">
    <w:name w:val="toc 2"/>
    <w:basedOn w:val="Normal"/>
    <w:next w:val="Normal"/>
    <w:autoRedefine/>
    <w:uiPriority w:val="39"/>
    <w:unhideWhenUsed/>
    <w:rsid w:val="005F1919"/>
    <w:pPr>
      <w:spacing w:after="100"/>
      <w:ind w:left="220"/>
    </w:pPr>
  </w:style>
  <w:style w:type="paragraph" w:styleId="TOC3">
    <w:name w:val="toc 3"/>
    <w:basedOn w:val="Normal"/>
    <w:next w:val="Normal"/>
    <w:autoRedefine/>
    <w:uiPriority w:val="39"/>
    <w:unhideWhenUsed/>
    <w:rsid w:val="005F1919"/>
    <w:pPr>
      <w:spacing w:after="100"/>
      <w:ind w:left="440"/>
    </w:pPr>
  </w:style>
  <w:style w:type="paragraph" w:styleId="BalloonText">
    <w:name w:val="Balloon Text"/>
    <w:basedOn w:val="Normal"/>
    <w:link w:val="BalloonTextChar"/>
    <w:uiPriority w:val="99"/>
    <w:semiHidden/>
    <w:unhideWhenUsed/>
    <w:rsid w:val="005F1919"/>
    <w:rPr>
      <w:rFonts w:ascii="Tahoma" w:hAnsi="Tahoma" w:cs="Tahoma"/>
      <w:sz w:val="16"/>
      <w:szCs w:val="16"/>
    </w:rPr>
  </w:style>
  <w:style w:type="character" w:customStyle="1" w:styleId="BalloonTextChar">
    <w:name w:val="Balloon Text Char"/>
    <w:basedOn w:val="DefaultParagraphFont"/>
    <w:link w:val="BalloonText"/>
    <w:uiPriority w:val="99"/>
    <w:semiHidden/>
    <w:rsid w:val="005F191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31</Pages>
  <Words>8315</Words>
  <Characters>47401</Characters>
  <Application>Microsoft Office Word</Application>
  <DocSecurity>0</DocSecurity>
  <Lines>395</Lines>
  <Paragraphs>111</Paragraphs>
  <ScaleCrop>false</ScaleCrop>
  <Company/>
  <LinksUpToDate>false</LinksUpToDate>
  <CharactersWithSpaces>55605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2026-04-15T18:54:00Z</dcterms:created>
  <dcterms:modified xsi:type="dcterms:W3CDTF">2026-05-23T11:00:00Z</dcterms:modified>
</cp:coreProperties>
</file>