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EC4" w:rsidRDefault="00E43EC4">
      <w:pPr>
        <w:spacing w:before="2400"/>
      </w:pPr>
    </w:p>
    <w:p w:rsidR="00E43EC4" w:rsidRDefault="00F83C66">
      <w:pPr>
        <w:spacing w:after="200"/>
        <w:jc w:val="center"/>
      </w:pPr>
      <w:r>
        <w:rPr>
          <w:b/>
          <w:bCs/>
          <w:color w:val="003366"/>
          <w:sz w:val="48"/>
          <w:szCs w:val="48"/>
        </w:rPr>
        <w:t>COMPLY GLOBALLY</w:t>
      </w:r>
    </w:p>
    <w:p w:rsidR="00E43EC4" w:rsidRDefault="00F83C66">
      <w:pPr>
        <w:spacing w:after="100"/>
        <w:jc w:val="center"/>
      </w:pPr>
      <w:r>
        <w:rPr>
          <w:color w:val="666666"/>
          <w:sz w:val="24"/>
          <w:szCs w:val="24"/>
        </w:rPr>
        <w:t>A Connect Ventures Initiative</w:t>
      </w:r>
    </w:p>
    <w:p w:rsidR="00E43EC4" w:rsidRDefault="00F83C66">
      <w:pPr>
        <w:spacing w:after="600"/>
        <w:jc w:val="center"/>
      </w:pPr>
      <w:r>
        <w:rPr>
          <w:color w:val="FF6600"/>
          <w:sz w:val="24"/>
          <w:szCs w:val="24"/>
        </w:rPr>
        <w:t>___________________________________</w:t>
      </w:r>
    </w:p>
    <w:p w:rsidR="00E43EC4" w:rsidRDefault="00F83C66">
      <w:pPr>
        <w:spacing w:after="200"/>
        <w:jc w:val="center"/>
      </w:pPr>
      <w:r>
        <w:rPr>
          <w:b/>
          <w:bCs/>
          <w:color w:val="1A1A2E"/>
          <w:sz w:val="52"/>
          <w:szCs w:val="52"/>
        </w:rPr>
        <w:t>ENTRY INDONESIA</w:t>
      </w:r>
    </w:p>
    <w:p w:rsidR="00E43EC4" w:rsidRDefault="00F83C66">
      <w:pPr>
        <w:spacing w:after="200"/>
        <w:jc w:val="center"/>
      </w:pPr>
      <w:r>
        <w:rPr>
          <w:color w:val="666666"/>
          <w:sz w:val="28"/>
          <w:szCs w:val="28"/>
        </w:rPr>
        <w:t>Comprehensive Country Guide for</w:t>
      </w:r>
    </w:p>
    <w:p w:rsidR="00E43EC4" w:rsidRDefault="00F83C66">
      <w:pPr>
        <w:spacing w:after="200"/>
        <w:jc w:val="center"/>
      </w:pPr>
      <w:r>
        <w:rPr>
          <w:color w:val="0066CC"/>
          <w:sz w:val="28"/>
          <w:szCs w:val="28"/>
        </w:rPr>
        <w:t>Indian Entrepreneurs, Investors &amp; Expansion-Stage Companies</w:t>
      </w:r>
    </w:p>
    <w:p w:rsidR="00E43EC4" w:rsidRDefault="00F83C66">
      <w:pPr>
        <w:spacing w:after="600"/>
        <w:jc w:val="center"/>
      </w:pPr>
      <w:r>
        <w:rPr>
          <w:color w:val="666666"/>
        </w:rPr>
        <w:t>Compliance | Taxation | Market Entry | Operations</w:t>
      </w:r>
    </w:p>
    <w:p w:rsidR="00E43EC4" w:rsidRDefault="00F83C66">
      <w:pPr>
        <w:spacing w:after="200"/>
        <w:jc w:val="center"/>
      </w:pPr>
      <w:r>
        <w:rPr>
          <w:b/>
          <w:bCs/>
          <w:color w:val="FF6600"/>
          <w:sz w:val="28"/>
          <w:szCs w:val="28"/>
        </w:rPr>
        <w:t>2026 Edition</w:t>
      </w:r>
    </w:p>
    <w:p w:rsidR="00E43EC4" w:rsidRDefault="00F83C66">
      <w:pPr>
        <w:spacing w:before="1200"/>
        <w:jc w:val="center"/>
      </w:pPr>
      <w:r>
        <w:rPr>
          <w:color w:val="666666"/>
          <w:sz w:val="20"/>
          <w:szCs w:val="20"/>
        </w:rPr>
        <w:t>Contact: anil.gupta@TheConnectVentures.com</w:t>
      </w:r>
    </w:p>
    <w:p w:rsidR="00E43EC4" w:rsidRDefault="00F83C66">
      <w:pPr>
        <w:jc w:val="center"/>
      </w:pPr>
      <w:r>
        <w:rPr>
          <w:color w:val="666666"/>
          <w:sz w:val="20"/>
          <w:szCs w:val="20"/>
        </w:rPr>
        <w:t>Phone: +91 99999 81613 | +1 302 214 1717</w:t>
      </w:r>
    </w:p>
    <w:p w:rsidR="00E43EC4" w:rsidRDefault="00F83C66">
      <w:pPr>
        <w:spacing w:after="200"/>
        <w:jc w:val="center"/>
      </w:pPr>
      <w:r>
        <w:rPr>
          <w:color w:val="999999"/>
          <w:sz w:val="16"/>
          <w:szCs w:val="16"/>
        </w:rPr>
        <w:t>Disclaimer: This guide is for informational purposes only and does not constitute legal or tax advice. Users should verify all information independently.</w:t>
      </w:r>
    </w:p>
    <w:p w:rsidR="00E43EC4" w:rsidRDefault="00F83C66">
      <w:r>
        <w:br w:type="page"/>
      </w:r>
    </w:p>
    <w:p w:rsidR="00E43EC4" w:rsidRDefault="00F83C66">
      <w:pPr>
        <w:spacing w:after="400"/>
        <w:jc w:val="center"/>
      </w:pPr>
      <w:r>
        <w:rPr>
          <w:b/>
          <w:bCs/>
          <w:color w:val="003366"/>
          <w:sz w:val="36"/>
          <w:szCs w:val="36"/>
        </w:rPr>
        <w:lastRenderedPageBreak/>
        <w:t>TABLE OF CONTENT</w:t>
      </w:r>
      <w:r>
        <w:rPr>
          <w:b/>
          <w:bCs/>
          <w:color w:val="003366"/>
          <w:sz w:val="36"/>
          <w:szCs w:val="36"/>
        </w:rPr>
        <w:t>S</w:t>
      </w:r>
    </w:p>
    <w:sdt>
      <w:sdtPr>
        <w:rPr>
          <w:color w:val="FF0000"/>
        </w:rPr>
        <w:alias w:val="Table of Contents"/>
        <w:id w:val="820623343"/>
      </w:sdtPr>
      <w:sdtEndPr/>
      <w:sdtContent>
        <w:p w:rsidR="00E43EC4" w:rsidRPr="006D3FA5" w:rsidRDefault="00F83C66">
          <w:pPr>
            <w:rPr>
              <w:color w:val="FF0000"/>
            </w:rPr>
          </w:pPr>
          <w:r w:rsidRPr="006D3FA5">
            <w:rPr>
              <w:color w:val="FF0000"/>
            </w:rPr>
            <w:fldChar w:fldCharType="begin"/>
          </w:r>
          <w:r w:rsidRPr="006D3FA5">
            <w:rPr>
              <w:color w:val="FF0000"/>
            </w:rPr>
            <w:instrText>TOC \h \o "1-3"</w:instrText>
          </w:r>
          <w:r w:rsidRPr="006D3FA5">
            <w:rPr>
              <w:color w:val="FF0000"/>
            </w:rPr>
            <w:fldChar w:fldCharType="separate"/>
          </w:r>
        </w:p>
        <w:p w:rsidR="00E43EC4" w:rsidRPr="006D3FA5" w:rsidRDefault="00F83C66">
          <w:pPr>
            <w:rPr>
              <w:color w:val="FF0000"/>
            </w:rPr>
          </w:pPr>
          <w:r w:rsidRPr="006D3FA5">
            <w:rPr>
              <w:color w:val="FF0000"/>
            </w:rPr>
            <w:fldChar w:fldCharType="end"/>
          </w:r>
        </w:p>
      </w:sdtContent>
    </w:sdt>
    <w:p w:rsidR="00E43EC4" w:rsidRPr="006D3FA5" w:rsidRDefault="00F83C66">
      <w:pPr>
        <w:rPr>
          <w:color w:val="FF0000"/>
        </w:rPr>
      </w:pPr>
      <w:r w:rsidRPr="006D3FA5">
        <w:rPr>
          <w:color w:val="FF0000"/>
        </w:rPr>
        <w:br w:type="page"/>
      </w:r>
    </w:p>
    <w:p w:rsidR="00E43EC4" w:rsidRDefault="00F83C66">
      <w:pPr>
        <w:pStyle w:val="Heading1"/>
      </w:pPr>
      <w:r>
        <w:lastRenderedPageBreak/>
        <w:t>1. Executive Overview</w:t>
      </w:r>
    </w:p>
    <w:p w:rsidR="00E43EC4" w:rsidRDefault="00F83C66">
      <w:pPr>
        <w:spacing w:after="120" w:line="276" w:lineRule="auto"/>
      </w:pPr>
      <w:r>
        <w:t>This guide is designed for Indian entrepreneurs, investors, and expansion-stage companies seeking to establish or expand business operations in Indonesia. It provides a comprehensive overview of the legal, regulatory, tax, and operational framework governi</w:t>
      </w:r>
      <w:r>
        <w:t>ng foreign-owned businesses in Indonesia, with specific focus on cross-border considerations relevant to Indian businesses.</w:t>
      </w:r>
    </w:p>
    <w:p w:rsidR="00E43EC4" w:rsidRDefault="00F83C66">
      <w:pPr>
        <w:pStyle w:val="Heading2"/>
      </w:pPr>
      <w:r>
        <w:t>1.1 Why Indonesia?</w:t>
      </w:r>
    </w:p>
    <w:p w:rsidR="00E43EC4" w:rsidRDefault="00F83C66">
      <w:pPr>
        <w:spacing w:after="120" w:line="276" w:lineRule="auto"/>
      </w:pPr>
      <w:r>
        <w:t>Indonesia offers an extraordinary opportunity for Indian businesses: Southeast Asia's largest economy (GDP ~USD 1</w:t>
      </w:r>
      <w:r>
        <w:t>.4 trillion, 2025), the world's 4th most populous country (280+ million people), a rapidly growing digital economy (one of the world's fastest-growing internet economies), massive consumer market with a rising middle class (100+ million), strategic ASEAN l</w:t>
      </w:r>
      <w:r>
        <w:t>ocation, abundant natural resources, significant Omnibus Law (Job Creation Law) reforms simplifying business regulations, growing India-Indonesia bilateral trade under ASEAN-India FTA and India-Indonesia CECA negotiations, and generous tax incentives inclu</w:t>
      </w:r>
      <w:r>
        <w:t>ding tax holidays of up to 20 years for pioneer industries and Special Economic Zones (SEZs). Indonesia aims to become the world's 5th largest economy by 2030 under the Golden Indonesia 2045 vision.</w:t>
      </w:r>
    </w:p>
    <w:p w:rsidR="00E43EC4" w:rsidRDefault="00F83C66">
      <w:pPr>
        <w:pStyle w:val="Heading2"/>
      </w:pPr>
      <w:r>
        <w:t>1.2 Typical Entry Timelines and Cost Ranges</w:t>
      </w:r>
    </w:p>
    <w:p w:rsidR="00E43EC4" w:rsidRDefault="00F83C66">
      <w:pPr>
        <w:spacing w:after="120" w:line="276" w:lineRule="auto"/>
      </w:pPr>
      <w:r>
        <w:t xml:space="preserve">Setting up a </w:t>
      </w:r>
      <w:r>
        <w:t>PT PMA (foreign-owned limited liability company) typically takes 4-8 weeks through the OSS-RBA (Online Single Submission Risk-Based Approach) system. Total costs range from IDR 50-150 million (approximately USD 3,000-10,000) for full setup including notari</w:t>
      </w:r>
      <w:r>
        <w:t>al deed, Ministry of Law and Human Rights approval, OSS licensing, and professional services. Minimum investment plan is IDR 10 billion per business line (excluding land and buildings) with minimum paid-up capital of IDR 2.5 billion. Full operational setup</w:t>
      </w:r>
      <w:r>
        <w:t xml:space="preserve"> including bank account opening, tax registrations (NPWP, VAT/PKP), work permits (ITAS), and sector-specific licences typically takes 8-16 weeks.</w:t>
      </w:r>
    </w:p>
    <w:p w:rsidR="00E43EC4" w:rsidRDefault="00F83C66">
      <w:r>
        <w:br w:type="page"/>
      </w:r>
    </w:p>
    <w:p w:rsidR="00E43EC4" w:rsidRDefault="00F83C66">
      <w:pPr>
        <w:pStyle w:val="Heading1"/>
      </w:pPr>
      <w:r>
        <w:lastRenderedPageBreak/>
        <w:t>2. Country Snapshot</w:t>
      </w:r>
    </w:p>
    <w:p w:rsidR="00E43EC4" w:rsidRDefault="00F83C66">
      <w:pPr>
        <w:pStyle w:val="Heading2"/>
      </w:pPr>
      <w:r>
        <w:t>2.1 Political and Economic Overview</w:t>
      </w:r>
    </w:p>
    <w:p w:rsidR="00E43EC4" w:rsidRDefault="00F83C66">
      <w:pPr>
        <w:spacing w:after="120" w:line="276" w:lineRule="auto"/>
      </w:pPr>
      <w:r>
        <w:t>Indonesia is a presidential republic and the world's largest archipelagic state (17,000+ islands). It is Southeast Asia's largest economy with GDP of approximately USD 1.4 trillion (2025), growing at approximately 5% annually. The Indonesian Rupiah (IDR) i</w:t>
      </w:r>
      <w:r>
        <w:t>s the national currency. Key sectors include manufacturing (palm oil, textiles, electronics), mining and commodities (coal, nickel, tin), financial services, digital economy (5 unicorns including GoTo, Tokopedia/TikTok Shop), agriculture, tourism, and infr</w:t>
      </w:r>
      <w:r>
        <w:t>astructure development. Indonesia is a member of the G20 and is rapidly positioning itself as a global hub for nickel processing, EV battery supply chains, and the green economy. The government under President Prabowo Subianto (inaugurated October 2024) co</w:t>
      </w:r>
      <w:r>
        <w:t>ntinues pro-investment policies with a focus on downstream processing, food security, and the new capital Nusantara (IKN) in East Kalimantan.</w:t>
      </w:r>
    </w:p>
    <w:p w:rsidR="00E43EC4" w:rsidRDefault="00F83C66">
      <w:pPr>
        <w:pStyle w:val="Heading2"/>
      </w:pPr>
      <w:r>
        <w:t>2.2 Demographics and Key Economic Hubs</w:t>
      </w:r>
    </w:p>
    <w:p w:rsidR="00E43EC4" w:rsidRDefault="00F83C66">
      <w:pPr>
        <w:spacing w:after="120" w:line="276" w:lineRule="auto"/>
      </w:pPr>
      <w:r>
        <w:t>With approximately 280 million people, Indonesia has the world's 4th larges</w:t>
      </w:r>
      <w:r>
        <w:t>t population and the largest Muslim-majority population globally. Median age is approximately 30 years - a very young demographic. Jakarta (Greater Jakarta / Jabodetabek) is the primary business hub with approximately 35 million people in the metro area. S</w:t>
      </w:r>
      <w:r>
        <w:t>urabaya is the second-largest city and industrial centre. Bali is a tourism and digital nomad hub. Batam is a Free Trade Zone near Singapore. Bandung is a tech and creative industries centre. Semarang, Makassar, and Medan are key regional hubs. The new cap</w:t>
      </w:r>
      <w:r>
        <w:t>ital Nusantara (IKN) in East Kalimantan is under development. The Indian diaspora numbers approximately 120,000+, with strong business linkages particularly in textiles, commodities, and technology.</w:t>
      </w:r>
    </w:p>
    <w:p w:rsidR="00E43EC4" w:rsidRDefault="00F83C66">
      <w:pPr>
        <w:pStyle w:val="Heading2"/>
      </w:pPr>
      <w:r>
        <w:t>2.3 Trade Agreements and Tax Treaties</w:t>
      </w:r>
    </w:p>
    <w:p w:rsidR="00E43EC4" w:rsidRDefault="00F83C66">
      <w:pPr>
        <w:spacing w:after="120" w:line="276" w:lineRule="auto"/>
      </w:pPr>
      <w:r>
        <w:t>Indonesia has an ex</w:t>
      </w:r>
      <w:r>
        <w:t xml:space="preserve">tensive network of double tax agreements (DTAs), including with India (signed 1987, with subsequent protocol amendments). As an ASEAN member, Indonesia benefits from the ASEAN Free Trade Area (AFTA), RCEP (Regional Comprehensive Economic Partnership), and </w:t>
      </w:r>
      <w:r>
        <w:t>the ASEAN-India FTA (AIFTA). India-Indonesia bilateral trade benefits from AIFTA preferential tariffs and the ongoing negotiations for the India-Indonesia Comprehensive Economic Cooperation Agreement (CECA). Indonesia is a member of the WTO, G20, APEC, and</w:t>
      </w:r>
      <w:r>
        <w:t xml:space="preserve"> the Organisation of Islamic Cooperation (OIC). The India-Indonesia DTAA provides reduced withholding tax rates on dividends, interest, and royalties, subject to conditions.</w:t>
      </w:r>
    </w:p>
    <w:p w:rsidR="00E43EC4" w:rsidRDefault="00F83C66">
      <w:r>
        <w:br w:type="page"/>
      </w:r>
    </w:p>
    <w:p w:rsidR="00E43EC4" w:rsidRDefault="00F83C66">
      <w:pPr>
        <w:pStyle w:val="Heading1"/>
      </w:pPr>
      <w:r>
        <w:lastRenderedPageBreak/>
        <w:t>3. Investment Climate &amp; Business Environment</w:t>
      </w:r>
    </w:p>
    <w:p w:rsidR="00E43EC4" w:rsidRDefault="00F83C66">
      <w:pPr>
        <w:pStyle w:val="Heading2"/>
      </w:pPr>
      <w:r>
        <w:t>3.1 Openness to Foreign Investment</w:t>
      </w:r>
    </w:p>
    <w:p w:rsidR="00E43EC4" w:rsidRDefault="00F83C66">
      <w:pPr>
        <w:spacing w:after="120" w:line="276" w:lineRule="auto"/>
      </w:pPr>
      <w:r>
        <w:t>Indonesia has significantly liberalized its foreign investment regime through the Omnibus Law on Job Creation (Law No. 6 of 2023, replacing the original 2020 law after a Constitutional Court ruling) and its implementing regulations. The Positive Investment</w:t>
      </w:r>
      <w:r>
        <w:t xml:space="preserve"> List (Presidential Regulation No. 10 of 2021, as amended by GR 2/2024) replaced the old Negative Investment List (DNI) and identifies sectors open for 100% foreign investment, sectors with conditions (partnership requirements, capital thresholds), and sec</w:t>
      </w:r>
      <w:r>
        <w:t>tors reserved for central/local government or cooperatives/MSMEs. Many sectors previously restricted to foreign investment were opened or liberalized. The Investment Coordinating Board (BKPM / Ministry of Investment) administers the OSS-RBA licensing syste</w:t>
      </w:r>
      <w:r>
        <w:t>m. Foreign ownership up to 100% is now permitted in most sectors, though some sectors retain equity caps or partnership requirements.</w:t>
      </w:r>
    </w:p>
    <w:p w:rsidR="00E43EC4" w:rsidRDefault="00F83C66">
      <w:pPr>
        <w:pStyle w:val="Heading2"/>
      </w:pPr>
      <w:r>
        <w:t>3.2 Ease of Doing Business</w:t>
      </w:r>
    </w:p>
    <w:p w:rsidR="00E43EC4" w:rsidRDefault="00F83C66">
      <w:pPr>
        <w:spacing w:after="120" w:line="276" w:lineRule="auto"/>
      </w:pPr>
      <w:r>
        <w:t>Indonesia has made substantial progress in simplifying business registration through the OSS-RB</w:t>
      </w:r>
      <w:r>
        <w:t>A (Online Single Submission Risk-Based Approach) system, which replaced the previous OSS 1.1 system. The OSS-RBA categorises businesses into low, medium-low, medium-high, and high risk, with corresponding licensing requirements. The Omnibus Law streamlined</w:t>
      </w:r>
      <w:r>
        <w:t xml:space="preserve"> over 70 laws, reduced licensing requirements, and simplified labour regulations. The Coretax Administration System (CTAS), fully implemented from January 2025, integrates tax registration, filing, payments, and audits into a single digital platform with p</w:t>
      </w:r>
      <w:r>
        <w:t>re-populated data. Indonesia still faces challenges with bureaucracy, infrastructure gaps outside Java, and the need for local partners in certain sectors, but the reform trajectory is strongly positive.</w:t>
      </w:r>
    </w:p>
    <w:p w:rsidR="00E43EC4" w:rsidRDefault="00F83C66">
      <w:pPr>
        <w:pStyle w:val="Heading2"/>
      </w:pPr>
      <w:r>
        <w:t>3.3 Priority Sectors and Incentives</w:t>
      </w:r>
    </w:p>
    <w:p w:rsidR="00E43EC4" w:rsidRDefault="00F83C66">
      <w:pPr>
        <w:spacing w:after="120" w:line="276" w:lineRule="auto"/>
      </w:pPr>
      <w:r>
        <w:t>Government strat</w:t>
      </w:r>
      <w:r>
        <w:t>egic priorities include: downstream processing (nickel, bauxite, copper), electric vehicle (EV) battery ecosystem, digital economy and data centres, renewable energy and green economy, manufacturing (automotive, electronics, textiles), agriculture and food</w:t>
      </w:r>
      <w:r>
        <w:t xml:space="preserve"> security, tourism, infrastructure (toll roads, ports, IKN new capital), and the creative economy. Available incentives include: Tax Holiday - 100% CIT exemption for 5-20 years for pioneer industries with minimum IDR 100 billion investment (expandable to 2</w:t>
      </w:r>
      <w:r>
        <w:t>5 years for IDR 30 trillion+); Tax Allowance - 30% reduction of net income over 6 years for qualifying investment in priority sectors; Super Deduction for R&amp;D (up to 300%), vocational training (200%), and apprenticeship (200%); SEZ incentives (VAT/import d</w:t>
      </w:r>
      <w:r>
        <w:t>uty exemptions, income tax facilities); and reduced CIT rate for public companies listing 40%+ shares on IDX (3 percentage point reduction to 19%).</w:t>
      </w:r>
    </w:p>
    <w:p w:rsidR="00E43EC4" w:rsidRDefault="00F83C66">
      <w:r>
        <w:br w:type="page"/>
      </w:r>
    </w:p>
    <w:p w:rsidR="00E43EC4" w:rsidRDefault="00F83C66">
      <w:pPr>
        <w:pStyle w:val="Heading1"/>
      </w:pPr>
      <w:r>
        <w:lastRenderedPageBreak/>
        <w:t>4. Market Entry Strategy</w:t>
      </w:r>
    </w:p>
    <w:p w:rsidR="00E43EC4" w:rsidRDefault="00F83C66">
      <w:pPr>
        <w:pStyle w:val="Heading2"/>
      </w:pPr>
      <w:r>
        <w:t>4.1 Go-to-Market Models</w:t>
      </w:r>
    </w:p>
    <w:p w:rsidR="00E43EC4" w:rsidRDefault="00F83C66">
      <w:pPr>
        <w:spacing w:after="120" w:line="276" w:lineRule="auto"/>
      </w:pPr>
      <w:r>
        <w:t xml:space="preserve">Indian entrants typically consider: (a) Direct export to </w:t>
      </w:r>
      <w:r>
        <w:t>Indonesian customers; (b) Appointing an Indonesian distributor or agent; (c) Establishing a wholly-owned subsidiary as a PT PMA (Perseroan Terbatas Penanaman Modal Asing) - the most common structure for foreign businesses; (d) Forming a joint venture PT PM</w:t>
      </w:r>
      <w:r>
        <w:t>A with an Indonesian partner (sometimes required by sector regulations or for local market knowledge); (e) Opening a Representative Office (KPPA - Kantor Perwakilan Perusahaan Asing) for non-revenue activities; (f) Opening a Branch Office (limited to speci</w:t>
      </w:r>
      <w:r>
        <w:t>fic sectors like banking, O&amp;G); (g) PT PMDN (domestic company) with Indonesian partners holding majority; and (h) Acquisition of an existing Indonesian business.</w:t>
      </w:r>
    </w:p>
    <w:p w:rsidR="00E43EC4" w:rsidRDefault="00F83C66">
      <w:pPr>
        <w:pStyle w:val="Heading2"/>
      </w:pPr>
      <w:r>
        <w:t>4.2 Strategic Considerations</w:t>
      </w:r>
    </w:p>
    <w:p w:rsidR="00E43EC4" w:rsidRDefault="00F83C66">
      <w:pPr>
        <w:spacing w:after="120" w:line="276" w:lineRule="auto"/>
      </w:pPr>
      <w:r>
        <w:t>Key considerations for Indian businesses include: the Positive In</w:t>
      </w:r>
      <w:r>
        <w:t>vestment List (checking if your sector allows 100% foreign ownership or requires local partners); minimum investment threshold (IDR 10 billion per business line for PT PMA - a significant capital commitment); paid-up capital requirement (minimum IDR 2.5 bi</w:t>
      </w:r>
      <w:r>
        <w:t>llion); the OSS-RBA risk classification of your business activity; labour-intensive industries may face specific requirements; Indonesian language requirements for certain documents and filings; the 4:1 ratio of Indonesian to foreign employees (with specif</w:t>
      </w:r>
      <w:r>
        <w:t>ic expertise requirements for foreign workers); Branch Profit Tax of 20% (reducible under DTAA); transfer pricing regulations (arm's length principle strictly enforced); and FEMA ODI compliance on the Indian side.</w:t>
      </w:r>
    </w:p>
    <w:p w:rsidR="00E43EC4" w:rsidRDefault="00E43EC4">
      <w:pPr>
        <w:spacing w:after="8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400"/>
        <w:gridCol w:w="2200"/>
        <w:gridCol w:w="2160"/>
      </w:tblGrid>
      <w:tr w:rsidR="00E43E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Entry Model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Control</w:t>
            </w:r>
          </w:p>
        </w:tc>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Speed</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Tax Efficiency</w:t>
            </w:r>
          </w:p>
        </w:tc>
        <w:tc>
          <w:tcPr>
            <w:tcW w:w="21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Regulatory Risk</w:t>
            </w:r>
          </w:p>
        </w:tc>
      </w:tr>
      <w:tr w:rsidR="00E43E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PT PMA (100% Foreign)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4-8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High (tax holiday eligible)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Low-Medium</w:t>
            </w:r>
          </w:p>
        </w:tc>
      </w:tr>
      <w:tr w:rsidR="00E43E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PT PMA (Joint Venture)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Shared</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4-8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High</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Low</w:t>
            </w:r>
          </w:p>
        </w:tc>
      </w:tr>
      <w:tr w:rsidR="00E43E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Representative Office (KPPA)</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Limited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4-6 weeks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N/A (non-revenue)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Low</w:t>
            </w:r>
          </w:p>
        </w:tc>
      </w:tr>
      <w:tr w:rsidR="00E43E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Branch Office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6-12 weeks</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Medium (20% BPT)</w:t>
            </w:r>
          </w:p>
        </w:tc>
        <w:tc>
          <w:tcPr>
            <w:tcW w:w="21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Medium</w:t>
            </w:r>
          </w:p>
        </w:tc>
      </w:tr>
      <w:tr w:rsidR="00E43E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Acquisition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High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3-12 months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Variable</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Medium-High</w:t>
            </w:r>
          </w:p>
        </w:tc>
      </w:tr>
    </w:tbl>
    <w:p w:rsidR="00E43EC4" w:rsidRDefault="00F83C66">
      <w:r>
        <w:br w:type="page"/>
      </w:r>
    </w:p>
    <w:p w:rsidR="00E43EC4" w:rsidRDefault="00F83C66">
      <w:pPr>
        <w:pStyle w:val="Heading1"/>
      </w:pPr>
      <w:r>
        <w:lastRenderedPageBreak/>
        <w:t>5. Legal and Regulatory Framework</w:t>
      </w:r>
    </w:p>
    <w:p w:rsidR="00E43EC4" w:rsidRDefault="00F83C66">
      <w:pPr>
        <w:pStyle w:val="Heading2"/>
      </w:pPr>
      <w:r>
        <w:t>5.1 Overview of the Legal System</w:t>
      </w:r>
    </w:p>
    <w:p w:rsidR="00E43EC4" w:rsidRDefault="00F83C66">
      <w:pPr>
        <w:spacing w:after="120" w:line="276" w:lineRule="auto"/>
      </w:pPr>
      <w:r>
        <w:t>Indonesia operates under a civil law legal system inherited from the Dutch colonial era, with significant influence of Islamic law (for personal matters of Muslim citizens), adat (customary) law, and modern statutory law. Key business laws include the Comp</w:t>
      </w:r>
      <w:r>
        <w:t>any Law (Law No. 40 of 2007), the Investment Law (Law No. 25 of 2007), the Omnibus Law on Job Creation (Law No. 6 of 2023), the Income Tax Law (Law No. 7 of 1983 as amended by Law No. 7 of 2021 - Harmonized Tax Law / UU HPP), the VAT Law, the Labour Law (a</w:t>
      </w:r>
      <w:r>
        <w:t>s amended by Omnibus Law), the Personal Data Protection Law (Law No. 27 of 2022 - PDP Law), the Anti-Corruption Law, the Anti-Money Laundering Law, and the Competition Law (Law No. 5 of 1999).</w:t>
      </w:r>
    </w:p>
    <w:p w:rsidR="00E43EC4" w:rsidRDefault="00F83C66">
      <w:pPr>
        <w:pStyle w:val="Heading2"/>
      </w:pPr>
      <w:r>
        <w:t>5.2 Key Regulatory Bodies</w:t>
      </w:r>
    </w:p>
    <w:p w:rsidR="00E43EC4" w:rsidRDefault="00F83C66">
      <w:pPr>
        <w:spacing w:after="120" w:line="276" w:lineRule="auto"/>
      </w:pPr>
      <w:r>
        <w:t>Ministry of Investment / BKPM - inves</w:t>
      </w:r>
      <w:r>
        <w:t>tment coordination and licensing (OSS-RBA). Ministry of Law and Human Rights (Kemenkumham) - company registration and legal entity approval. Directorate General of Taxes (DJP / DGT) - tax administration (Coretax system). Bank Indonesia (BI) - central bank,</w:t>
      </w:r>
      <w:r>
        <w:t xml:space="preserve"> monetary policy, foreign exchange regulation. Otoritas Jasa Keuangan (OJK) - financial services authority. KPPU (Business Competition Supervisory Commission) - competition regulation. Badan Koordinasi Penanaman Modal (BKPM) - investment promotion (part of</w:t>
      </w:r>
      <w:r>
        <w:t xml:space="preserve"> Ministry of Investment). Ministry of Manpower - labour regulations and foreign worker permits (RPTKA/ITAS). Ministry of Trade - import/export licences. BPOM - food and drug administration. Kominfo / Komdigi - telecommunications and digital regulation. PPA</w:t>
      </w:r>
      <w:r>
        <w:t>TK - financial intelligence (AML).</w:t>
      </w:r>
    </w:p>
    <w:p w:rsidR="00E43EC4" w:rsidRDefault="00F83C66">
      <w:pPr>
        <w:pStyle w:val="Heading2"/>
      </w:pPr>
      <w:r>
        <w:t>5.3 Competition, Consumer Protection, and Data Privacy</w:t>
      </w:r>
    </w:p>
    <w:p w:rsidR="00E43EC4" w:rsidRDefault="00F83C66">
      <w:pPr>
        <w:spacing w:after="120" w:line="276" w:lineRule="auto"/>
      </w:pPr>
      <w:r>
        <w:t>The Competition Law (Law No. 5/1999) prohibits monopolistic practices and unfair business competition, administered by KPPU. Consumer protection is governed by Consum</w:t>
      </w:r>
      <w:r>
        <w:t>er Protection Law No. 8/1999. Data privacy is governed by the Personal Data Protection Law (PDP Law No. 27 of 2022) - Indonesia's first comprehensive data protection law, modelled partly on the EU GDPR. Key PDP requirements include: lawful processing bases</w:t>
      </w:r>
      <w:r>
        <w:t xml:space="preserve"> (consent, legitimate interest, etc.), data subject rights (access, correction, deletion, portability), mandatory Data Protection Officer for large-scale processors, data breach notification within 72 hours, restrictions on cross-border data transfers (ade</w:t>
      </w:r>
      <w:r>
        <w:t>quate protection or binding corporate rules), and data localisation requirements for certain strategic electronic systems. Maximum penalties under the PDP Law: fines up to 2% of annual revenue for corporations; criminal penalties up to 6 years imprisonment</w:t>
      </w:r>
      <w:r>
        <w:t xml:space="preserve"> and IDR 6 billion fine.</w:t>
      </w:r>
    </w:p>
    <w:p w:rsidR="00E43EC4" w:rsidRDefault="00F83C66">
      <w:r>
        <w:br w:type="page"/>
      </w:r>
    </w:p>
    <w:p w:rsidR="00E43EC4" w:rsidRDefault="00F83C66">
      <w:pPr>
        <w:pStyle w:val="Heading1"/>
      </w:pPr>
      <w:r>
        <w:lastRenderedPageBreak/>
        <w:t>6. Business Structures for Foreign Investors</w:t>
      </w:r>
    </w:p>
    <w:p w:rsidR="00E43EC4" w:rsidRDefault="00F83C66">
      <w:pPr>
        <w:pStyle w:val="Heading2"/>
      </w:pPr>
      <w:r>
        <w:t>6.1 Available Business Vehicles</w:t>
      </w:r>
    </w:p>
    <w:p w:rsidR="00E43EC4" w:rsidRDefault="00F83C66">
      <w:pPr>
        <w:spacing w:after="120" w:line="276" w:lineRule="auto"/>
      </w:pPr>
      <w:r>
        <w:t>Foreign investors may choose from: PT PMA (Perseroan Terbatas Penanaman Modal Asing) - foreign-owned limited liability company, the standard vehicle for</w:t>
      </w:r>
      <w:r>
        <w:t xml:space="preserve"> foreign investment with minimum IDR 10 billion investment plan and IDR 2.5 billion paid-up capital, minimum 2 shareholders; PT PMDN (domestic company) - local limited liability company, no minimum investment but limited foreign participation; Representati</w:t>
      </w:r>
      <w:r>
        <w:t>ve Office (KPPA) - non-revenue generating, for market research, liaison, and coordination only; Branch Office - limited to specific sectors (banking, O&amp;G, construction, insurance); and Foreign Investment in Cooperatives (CV) or partnerships. For most India</w:t>
      </w:r>
      <w:r>
        <w:t>n businesses entering Indonesia, a PT PMA is the only viable structure for conducting revenue-generating activities.</w:t>
      </w:r>
    </w:p>
    <w:p w:rsidR="00E43EC4" w:rsidRDefault="00F83C66">
      <w:pPr>
        <w:pStyle w:val="Heading2"/>
      </w:pPr>
      <w:r>
        <w:t>6.2 Comparative Table of Structures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920"/>
        <w:gridCol w:w="1920"/>
        <w:gridCol w:w="1920"/>
      </w:tblGrid>
      <w:tr w:rsidR="00E43EC4">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Feature</w:t>
            </w:r>
          </w:p>
        </w:tc>
        <w:tc>
          <w:tcPr>
            <w:tcW w:w="19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PT PMA (Subsidiary)</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Representative Office</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Branch Office</w:t>
            </w:r>
          </w:p>
        </w:tc>
        <w:tc>
          <w:tcPr>
            <w:tcW w:w="192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PT PMDN</w:t>
            </w:r>
          </w:p>
        </w:tc>
      </w:tr>
      <w:tr w:rsidR="00E43EC4">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Legal Personality</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Separate entity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Extension of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Separate entity</w:t>
            </w:r>
          </w:p>
        </w:tc>
      </w:tr>
      <w:tr w:rsidR="00E43EC4">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Foreign Ownership</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Up to 100% (sector-dependent)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N/A (100% parent)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N/A (100% parent)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Limited/no foreign</w:t>
            </w:r>
          </w:p>
        </w:tc>
      </w:tr>
      <w:tr w:rsidR="00E43EC4">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Min. Investment</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IDR 10B per KBLI + IDR 2.5B paid-up</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Allocated by parent</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Varies by sector</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No minimum</w:t>
            </w:r>
          </w:p>
        </w:tc>
      </w:tr>
      <w:tr w:rsidR="00E43EC4">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Tax Treatment</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CIT 22% (tax holiday eligible)</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Non-revenue; no CIT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CIT 22% + 20% BPT</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CIT 22%</w:t>
            </w:r>
          </w:p>
        </w:tc>
      </w:tr>
      <w:tr w:rsidR="00E43EC4">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Revenue Generation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Yes - can invoice and trade</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No - liaison only</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Yes (sector-limited)</w:t>
            </w:r>
          </w:p>
        </w:tc>
        <w:tc>
          <w:tcPr>
            <w:tcW w:w="19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Yes</w:t>
            </w:r>
          </w:p>
        </w:tc>
      </w:tr>
      <w:tr w:rsidR="00E43EC4">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Best For</w:t>
            </w:r>
          </w:p>
        </w:tc>
        <w:tc>
          <w:tcPr>
            <w:tcW w:w="19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Most foreign investors</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Market research/liaison</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Banking, O&amp;G</w:t>
            </w:r>
          </w:p>
        </w:tc>
        <w:tc>
          <w:tcPr>
            <w:tcW w:w="192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Indonesian partners</w:t>
            </w:r>
          </w:p>
        </w:tc>
      </w:tr>
    </w:tbl>
    <w:p w:rsidR="00E43EC4" w:rsidRDefault="00F83C66">
      <w:pPr>
        <w:spacing w:after="120" w:line="276" w:lineRule="auto"/>
      </w:pPr>
      <w:r>
        <w:t>Note: The PT PMA is the standard and recommended vehicle for Indian businesses entering Indonesia. The minimum investment plan of IDR 10 billion per business line (KBLI code) is a key planning consideration - this includes total equity + loans + assets (no</w:t>
      </w:r>
      <w:r>
        <w:t>t just cash). Paid-up capital must be at minimum IDR 2.5 billion.</w:t>
      </w:r>
    </w:p>
    <w:p w:rsidR="00E43EC4" w:rsidRDefault="00F83C66">
      <w:r>
        <w:br w:type="page"/>
      </w:r>
    </w:p>
    <w:p w:rsidR="00E43EC4" w:rsidRDefault="00F83C66">
      <w:pPr>
        <w:pStyle w:val="Heading1"/>
      </w:pPr>
      <w:r>
        <w:lastRenderedPageBreak/>
        <w:t>7. Foreign Investment Rules and Exchange Control</w:t>
      </w:r>
    </w:p>
    <w:p w:rsidR="00E43EC4" w:rsidRDefault="00F83C66">
      <w:pPr>
        <w:pStyle w:val="Heading2"/>
      </w:pPr>
      <w:r>
        <w:t>7.1 FDI Regime Overview</w:t>
      </w:r>
    </w:p>
    <w:p w:rsidR="00E43EC4" w:rsidRDefault="00F83C66">
      <w:pPr>
        <w:spacing w:after="120" w:line="276" w:lineRule="auto"/>
      </w:pPr>
      <w:r>
        <w:t>Indonesia's FDI regime is governed by the Investment Law (No. 25/2007), the Omnibus Law (No. 6/2023), and the Posit</w:t>
      </w:r>
      <w:r>
        <w:t>ive Investment List (Presidential Regulation No. 10/2021, as amended by GR 2/2024). The Positive Investment List classifies business sectors (identified by KBLI codes) into: sectors open for 100% foreign investment (the majority), sectors with conditions (</w:t>
      </w:r>
      <w:r>
        <w:t>partnership requirements with MSMEs/cooperatives, maximum foreign equity caps, or minimum capital thresholds), sectors reserved for central/local government, and sectors reserved for cooperatives/MSMEs. The Omnibus Law significantly liberalized foreign own</w:t>
      </w:r>
      <w:r>
        <w:t>ership - many sectors previously restricted (including distribution, warehousing, cold storage, catering, and e-commerce) are now open to 100% foreign ownership. However, sectors like media, defence, and certain agribusiness activities remain restricted. A</w:t>
      </w:r>
      <w:r>
        <w:t>lways check the current KBLI classification for your specific business activity.</w:t>
      </w:r>
    </w:p>
    <w:p w:rsidR="00E43EC4" w:rsidRDefault="00F83C66">
      <w:pPr>
        <w:pStyle w:val="Heading2"/>
      </w:pPr>
      <w:r>
        <w:t>7.2 Key Conditions for Foreign Shareholders</w:t>
      </w:r>
    </w:p>
    <w:p w:rsidR="00E43EC4" w:rsidRDefault="00F83C66">
      <w:pPr>
        <w:spacing w:after="120" w:line="276" w:lineRule="auto"/>
      </w:pPr>
      <w:r>
        <w:t>Foreign nationals and companies can own up to 100% of a PT PMA in most sectors. Minimum 2 shareholders required (can be individuals</w:t>
      </w:r>
      <w:r>
        <w:t xml:space="preserve"> or companies, any nationality). No Indonesian director requirement (but at least one director must reside in Indonesia for practical purposes). Minimum investment plan of IDR 10 billion per business line (KBLI code) excluding land and buildings. Minimum p</w:t>
      </w:r>
      <w:r>
        <w:t xml:space="preserve">aid-up capital of IDR 2.5 billion. Investment realisation plan must be submitted through OSS-RBA. Foreign workers require RPTKA (Manpower Utilisation Plan) approval and ITAS (Limited Stay Permit). The 1:1 ratio of Indonesian to foreign employees generally </w:t>
      </w:r>
      <w:r>
        <w:t>applies (varies by sector). UBO disclosure is required through the beneficial ownership reporting system.</w:t>
      </w:r>
    </w:p>
    <w:p w:rsidR="00E43EC4" w:rsidRDefault="00F83C66">
      <w:pPr>
        <w:pStyle w:val="Heading2"/>
      </w:pPr>
      <w:r>
        <w:t>7.3 Foreign Exchange Regulations</w:t>
      </w:r>
    </w:p>
    <w:p w:rsidR="00E43EC4" w:rsidRDefault="00F83C66">
      <w:pPr>
        <w:spacing w:after="120" w:line="276" w:lineRule="auto"/>
      </w:pPr>
      <w:r>
        <w:t>Indonesia maintains some exchange controls administered by Bank Indonesia (BI). Key rules: all export proceeds must be deposited in Indonesian banks (DHE requirement - mandatory holding of export proceeds in Indonesian banking system for 3 months). Foreign</w:t>
      </w:r>
      <w:r>
        <w:t xml:space="preserve"> currency transactions above USD 25,000 per month require supporting documentation. Capital account transactions are generally free but subject to reporting. Dividends, profits, and capital can be repatriated freely in foreign currency, subject to Branch P</w:t>
      </w:r>
      <w:r>
        <w:t>rofit Tax (20% for branches, often reduced to 10-15% under DTAA) and withholding tax on dividends (20% domestic, often reduced to 10-15% under DTAA). Indonesian Rupiah is a managed floating currency. All domestic transactions must generally be settled in R</w:t>
      </w:r>
      <w:r>
        <w:t>upiah under BI Regulation (some exceptions for international trade).</w:t>
      </w:r>
    </w:p>
    <w:p w:rsidR="00E43EC4" w:rsidRDefault="00F83C66">
      <w:r>
        <w:br w:type="page"/>
      </w:r>
    </w:p>
    <w:p w:rsidR="00E43EC4" w:rsidRDefault="00F83C66">
      <w:pPr>
        <w:pStyle w:val="Heading1"/>
      </w:pPr>
      <w:r>
        <w:lastRenderedPageBreak/>
        <w:t>8. Step-by-Step Incorporation &amp; Registration Process</w:t>
      </w:r>
    </w:p>
    <w:p w:rsidR="00E43EC4" w:rsidRDefault="00F83C66">
      <w:pPr>
        <w:pStyle w:val="Heading2"/>
      </w:pPr>
      <w:r>
        <w:t>8.1 Pre-Incorporation Planning</w:t>
      </w:r>
    </w:p>
    <w:p w:rsidR="00E43EC4" w:rsidRDefault="00F83C66">
      <w:pPr>
        <w:spacing w:after="120" w:line="276" w:lineRule="auto"/>
      </w:pPr>
      <w:r>
        <w:t>Before incorporation, plan the following: (a) Identify your KBLI code(s) - the Indonesian Standard Classification of Business Activities that determines foreign ownership limits, licensing requirements, and OSS risk classification; (b) Check the Positive I</w:t>
      </w:r>
      <w:r>
        <w:t xml:space="preserve">nvestment List for foreign ownership eligibility; (c) Determine investment plan (minimum IDR 10B per KBLI) and paid-up capital (minimum IDR 2.5B); (d) Identify shareholders (minimum 2), directors (minimum 1), and commissioners (minimum 1 - required for PT </w:t>
      </w:r>
      <w:r>
        <w:t>PMA); (e) Engage an Indonesian notary (Notaris) - mandatory for deed preparation; (f) Prepare company name (minimum 3 words in Bahasa Indonesia); (g) Secure a commercial office address in Indonesia (residential addresses generally not accepted); (h) Prepar</w:t>
      </w:r>
      <w:r>
        <w:t>e apostilled and translated documents from India (parent company incorporation certificate, board resolution, passport copies).</w:t>
      </w:r>
    </w:p>
    <w:p w:rsidR="00E43EC4" w:rsidRDefault="00F83C66">
      <w:pPr>
        <w:pStyle w:val="Heading2"/>
      </w:pPr>
      <w:r>
        <w:t>8.2 Step-by-Step Incorporation Workflow</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4340"/>
        <w:gridCol w:w="1794"/>
        <w:gridCol w:w="2592"/>
      </w:tblGrid>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Step</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Timeline</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Name reservation and approval via AHU Online system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1-3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Kemenkumham</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Notary drafts Deed of Establishment (Akta Pendirian) and Articles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3-7 days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Indonesian Notary</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Obtain Legal Entity Approval (SK Pengesahan) from Kemenkumham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3-7 days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Kemenkumham</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Register on OSS-RBA for Business Identification Number (NIB)</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1-3 days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OSS / BKPM</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Obtain risk-based business licences via OSS-RBA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1-4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OSS / Sectoral</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Register for Tax ID (NPWP) via Coretax system</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1-2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 / DJP</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Register as VAT-able entrepreneur (PKP) if applicable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1-2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 / DJP</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Open Indonesian corporate bank account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4-8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Indonesian Bank</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Deposit paid-up capital (min IDR 2.5B) into company account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Upon account opening</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Bank</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Apply for RPTKA + ITAS for foreign workers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4-8 weeks</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Ministry of Manpower</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Obtain domicile letter (SKDP/SKD) from local authority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1-2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Kelurahan / Kecamatan</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Register with BPJS Ketenagakerjaan and BPJS Kesehatan</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Before first payroll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BPJS</w:t>
            </w:r>
          </w:p>
        </w:tc>
      </w:tr>
    </w:tbl>
    <w:p w:rsidR="00E43EC4" w:rsidRDefault="00F83C66">
      <w:r>
        <w:br w:type="page"/>
      </w:r>
    </w:p>
    <w:p w:rsidR="00E43EC4" w:rsidRDefault="00F83C66">
      <w:pPr>
        <w:pStyle w:val="Heading1"/>
      </w:pPr>
      <w:r>
        <w:lastRenderedPageBreak/>
        <w:t>9. Licenses, Approvals, and Sector-Specific Requirements</w:t>
      </w:r>
    </w:p>
    <w:p w:rsidR="00E43EC4" w:rsidRDefault="00F83C66">
      <w:pPr>
        <w:pStyle w:val="Heading2"/>
      </w:pPr>
      <w:r>
        <w:t>9.1 Common Cross-Sector Requirements</w:t>
      </w:r>
    </w:p>
    <w:p w:rsidR="00E43EC4" w:rsidRDefault="00F83C66">
      <w:pPr>
        <w:spacing w:after="120" w:line="276" w:lineRule="auto"/>
      </w:pPr>
      <w:r>
        <w:t xml:space="preserve">Under the OSS-RBA system, all businesses receive a Business Identification Number (NIB) which serves as the basic business licence. Additional licences depend on </w:t>
      </w:r>
      <w:r>
        <w:t>the risk classification: Low Risk - NIB serves as the licence (no additional requirements). Medium-Low Risk - NIB + Standard Certificate (self-declaration). Medium-High Risk - NIB + Standard Certificate (verified by government). High Risk - NIB + Permit (f</w:t>
      </w:r>
      <w:r>
        <w:t>ull government approval required). Common requirements for all PT PMAs include: NPWP (tax identification number), PKP status (VAT-able entrepreneur if turnover exceeds IDR 4.8 billion), BPJS registration (social security), domicile letter (SKDP/SKD), and c</w:t>
      </w:r>
      <w:r>
        <w:t>ompliance with UBO reporting requirements.</w:t>
      </w:r>
    </w:p>
    <w:p w:rsidR="00E43EC4" w:rsidRDefault="00F83C66">
      <w:pPr>
        <w:pStyle w:val="Heading2"/>
      </w:pPr>
      <w:r>
        <w:t>9.2 Sector-Specific Approvals</w:t>
      </w:r>
    </w:p>
    <w:p w:rsidR="00E43EC4" w:rsidRDefault="00F83C66">
      <w:pPr>
        <w:spacing w:after="120" w:line="276" w:lineRule="auto"/>
      </w:pPr>
      <w:r>
        <w:t>Manufacturing: OSS-RBA licensing through BKPM and the relevant technical ministry; specific technical standards (SNI) may apply. Financial services: OJK licence for banking, insurance</w:t>
      </w:r>
      <w:r>
        <w:t xml:space="preserve">, securities. Telecommunications: Komdigi/Kominfo licence. Healthcare/pharmaceutical: BPOM registration for drugs, medical devices, food. Mining and natural resources: IUP (Mining Business Permit) from ESDM. Construction: SBU (Business Entity Certificate) </w:t>
      </w:r>
      <w:r>
        <w:t>from LPJK. Education: Ministry of Education licence. Restaurant/F&amp;B: TDUP from local government. E-commerce: specific provisions under GR 80/2019. Halal certification: mandatory for food, beverages, cosmetics, and pharmaceuticals under the Halal Product As</w:t>
      </w:r>
      <w:r>
        <w:t>surance Law (through BPJPH). Import/export: API (Importer Identification Number) and specific commodity licences (LFLI, NPIK, etc.). Franchise: registration with Ministry of Trade.</w:t>
      </w:r>
    </w:p>
    <w:p w:rsidR="00E43EC4" w:rsidRDefault="00F83C66">
      <w:r>
        <w:br w:type="page"/>
      </w:r>
    </w:p>
    <w:p w:rsidR="00E43EC4" w:rsidRDefault="00F83C66">
      <w:pPr>
        <w:pStyle w:val="Heading1"/>
      </w:pPr>
      <w:r>
        <w:lastRenderedPageBreak/>
        <w:t>10. Taxation and Incentives</w:t>
      </w:r>
    </w:p>
    <w:p w:rsidR="00E43EC4" w:rsidRDefault="00F83C66">
      <w:pPr>
        <w:pStyle w:val="Heading2"/>
      </w:pPr>
      <w:r>
        <w:t>10.1 Overview of the Tax System</w:t>
      </w:r>
    </w:p>
    <w:p w:rsidR="00E43EC4" w:rsidRDefault="00F83C66">
      <w:pPr>
        <w:spacing w:after="120" w:line="276" w:lineRule="auto"/>
      </w:pPr>
      <w:r>
        <w:t>The Indonesia</w:t>
      </w:r>
      <w:r>
        <w:t xml:space="preserve">n tax system is administered by the Directorate General of Taxes (DJP/DGT) under the Ministry of Finance. The main taxes affecting businesses are Corporate Income Tax (PPh Badan - 22%), Value Added Tax (PPN/VAT - effectively 11% for most goods, officially </w:t>
      </w:r>
      <w:r>
        <w:t>12% from January 2025 but applied on a transitional basis), Withholding Taxes (PPh 21 on employment income, PPh 23 on domestic services/royalties/interest, PPh 26 on payments to non-residents - 20%), Branch Profit Tax (PPh 26 - 20%), Stamp Duty, Land and B</w:t>
      </w:r>
      <w:r>
        <w:t>uilding Tax (PBB), and local taxes. The Harmonised Tax Law (UU HPP - Law No. 7/2021) introduced major reforms including the new CIT rate, VAT increase, carbon tax provisions, voluntary disclosure programme, and Pillar Two implementation. The Coretax system</w:t>
      </w:r>
      <w:r>
        <w:t xml:space="preserve"> (CTAS) from January 2025 integrates all tax administration digitally.</w:t>
      </w:r>
    </w:p>
    <w:p w:rsidR="00E43EC4" w:rsidRDefault="00F83C66">
      <w:pPr>
        <w:pStyle w:val="Heading2"/>
      </w:pPr>
      <w:r>
        <w:t>10.2 Corporate Income Tax</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Category (2025-2026)</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Tax Rate</w:t>
            </w:r>
          </w:p>
        </w:tc>
        <w:tc>
          <w:tcPr>
            <w:tcW w:w="39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Notes</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Standard CIT Rate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22%</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Applies to all resident companies and PEs on net taxable income</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Listed Company Discount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19% (3pp reduction)</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For companies listing 40%+ shares on IDX and meeting conditions</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SME Rate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11% effective (50% reduction)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50% CIT reduction on taxable income up to IDR 4.8B for companies with revenue &lt; IDR 50B</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MSME Final Tax</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0.5% of turnover</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For MSMEs with annual turnover &lt; IDR 4.8B (time-limited: 3-4 years)</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Tax Holiday (Pioneer Industry)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100% CIT exemption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For 5-20 years (IDR 100B-30T+ investment); extendable to 25 years</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Tax Allowance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30% reduction over 6 years</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For qualifying investment in priority sectors/areas</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Branch Profit Tax (PPh 26)</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20% (treaty: 10-15%)</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On after-tax profits remitted by branches of foreign companies</w:t>
            </w:r>
          </w:p>
        </w:tc>
      </w:tr>
    </w:tbl>
    <w:p w:rsidR="006D3FA5" w:rsidRDefault="006D3FA5">
      <w:pPr>
        <w:spacing w:after="120" w:line="276" w:lineRule="auto"/>
      </w:pPr>
    </w:p>
    <w:p w:rsidR="00E43EC4" w:rsidRDefault="00F83C66">
      <w:pPr>
        <w:spacing w:after="120" w:line="276" w:lineRule="auto"/>
      </w:pPr>
      <w:bookmarkStart w:id="0" w:name="_GoBack"/>
      <w:bookmarkEnd w:id="0"/>
      <w:r>
        <w:t>Important: Indonesia's VAT rate was officially increased to 12% from 1 January 2025. However, for most goods and services (excluding certain luxury goods), the government applies the tax on a transitional basis with an effective rate of approximately 11% t</w:t>
      </w:r>
      <w:r>
        <w:t>hrough specific calculation mechanisms. Always confirm the applicable rate for your specific goods/services.</w:t>
      </w:r>
    </w:p>
    <w:p w:rsidR="00E43EC4" w:rsidRDefault="00F83C66">
      <w:pPr>
        <w:pStyle w:val="Heading2"/>
      </w:pPr>
      <w:r>
        <w:t>10.3 Value Added Tax (PPN/VAT)</w:t>
      </w:r>
    </w:p>
    <w:p w:rsidR="00E43EC4" w:rsidRDefault="00F83C66">
      <w:pPr>
        <w:spacing w:after="120" w:line="276" w:lineRule="auto"/>
      </w:pPr>
      <w:r>
        <w:t>VAT is levied at an effective rate of 11% for most goods and services (officially 12% from January 2025 with transit</w:t>
      </w:r>
      <w:r>
        <w:t xml:space="preserve">ional mechanisms keeping most effective rates at 11%). VAT registration (PKP status) is mandatory for businesses with annual turnover exceeding IDR 4.8 billion. Monthly VAT returns (SPT Masa PPN) must be filed by the end of the following month. </w:t>
      </w:r>
      <w:r>
        <w:lastRenderedPageBreak/>
        <w:t xml:space="preserve">Output VAT </w:t>
      </w:r>
      <w:r>
        <w:t>on sales is offset by input VAT on purchases. Certain goods and services are exempt from VAT (basic necessities, healthcare, education, financial services). Export of goods is zero-rated. The VAT system includes a Goods and Services Tax on luxury items (PP</w:t>
      </w:r>
      <w:r>
        <w:t>nBM) ranging from 10% to 200%. E-invoicing (e-Faktur) is mandatory for all VAT-able transactions.</w:t>
      </w:r>
    </w:p>
    <w:p w:rsidR="00E43EC4" w:rsidRDefault="00F83C66">
      <w:pPr>
        <w:pStyle w:val="Heading2"/>
      </w:pPr>
      <w:r>
        <w:t>10.4 Withholding Tax Rates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E43E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Payment Type</w:t>
            </w:r>
          </w:p>
        </w:tc>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Indonesian Domestic Rate</w:t>
            </w:r>
          </w:p>
        </w:tc>
        <w:tc>
          <w:tcPr>
            <w:tcW w:w="3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Rate to Indian Resident (DTAA)</w:t>
            </w:r>
          </w:p>
        </w:tc>
      </w:tr>
      <w:tr w:rsidR="00E43E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Dividends to non-residents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20% (PPh 26)</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10-15% under DTAA (10% for 25%+ holding)</w:t>
            </w:r>
          </w:p>
        </w:tc>
      </w:tr>
      <w:tr w:rsidR="00E43E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Interest to non-residents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20% (PPh 26)</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10% under DTAA</w:t>
            </w:r>
          </w:p>
        </w:tc>
      </w:tr>
      <w:tr w:rsidR="00E43E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Royalties to non-residents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20% (PPh 26)</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10-15% under DTAA (10% for equipment; 15% other)</w:t>
            </w:r>
          </w:p>
        </w:tc>
      </w:tr>
      <w:tr w:rsidR="00E43E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Service fees to non-residents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20% (PPh 26)</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Subject to PE / business profits article</w:t>
            </w:r>
          </w:p>
        </w:tc>
      </w:tr>
      <w:tr w:rsidR="00E43E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Branch Profit Tax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20% (PPh 26)</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10-15% under DTAA</w:t>
            </w:r>
          </w:p>
        </w:tc>
      </w:tr>
      <w:tr w:rsidR="00E43E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Domestic interest/royalties/services</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 (PPh 23)</w:t>
            </w:r>
          </w:p>
        </w:tc>
        <w:tc>
          <w:tcPr>
            <w:tcW w:w="3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N/A (domestic rate)</w:t>
            </w:r>
          </w:p>
        </w:tc>
      </w:tr>
      <w:tr w:rsidR="00E43E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Construction services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1.75-4% (PPh 4(2) final)</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Final tax</w:t>
            </w:r>
          </w:p>
        </w:tc>
      </w:tr>
    </w:tbl>
    <w:p w:rsidR="00E43EC4" w:rsidRDefault="00F83C66">
      <w:pPr>
        <w:pStyle w:val="Heading2"/>
      </w:pPr>
      <w:r>
        <w:t>10.5 Tax Incentives and Reliefs</w:t>
      </w:r>
    </w:p>
    <w:p w:rsidR="00E43EC4" w:rsidRDefault="00F83C66">
      <w:pPr>
        <w:spacing w:after="120" w:line="276" w:lineRule="auto"/>
      </w:pPr>
      <w:r>
        <w:t xml:space="preserve">Key incentives include: Tax Holiday (Badan Usaha Penyelenggara Fasilitas Tax Holiday) - 100% CIT exemption for 5-20 years for pioneer industries with minimum IDR 100 billion investment (extendable to 25 years for mega-investments of IDR 30 trillion+). Tax </w:t>
      </w:r>
      <w:r>
        <w:t xml:space="preserve">Allowance - 30% of investment value deductible over 6 years (5% per year) for qualifying investments in priority sectors/areas plus accelerated depreciation, loss carry-forward up to 10 years, and reduced 10% WHT on dividends. Super Deduction - up to 300% </w:t>
      </w:r>
      <w:r>
        <w:t>deduction for R&amp;D, 200% for vocational/competency-based training, 200% for apprenticeship. SEZ Incentives - income tax facilities (reduction or exemption), VAT/import duty exemptions for businesses in Special Economic Zones. Free Trade Zones (FTZ) - Batam,</w:t>
      </w:r>
      <w:r>
        <w:t xml:space="preserve"> Bintan, Karimun offer VAT and import duty exemptions. Reduced CIT for IPO - 3 percentage point reduction (to 19%) for companies listing 40%+ shares. Investment in IKN (new capital Nusantara) - additional tax incentives. Green and renewable energy incentiv</w:t>
      </w:r>
      <w:r>
        <w:t>es under development.</w:t>
      </w:r>
    </w:p>
    <w:p w:rsidR="00E43EC4" w:rsidRDefault="00F83C66">
      <w:r>
        <w:br w:type="page"/>
      </w:r>
    </w:p>
    <w:p w:rsidR="00E43EC4" w:rsidRDefault="00F83C66">
      <w:pPr>
        <w:pStyle w:val="Heading1"/>
      </w:pPr>
      <w:r>
        <w:lastRenderedPageBreak/>
        <w:t>11. Banking, Finance, and Repatriation</w:t>
      </w:r>
    </w:p>
    <w:p w:rsidR="00E43EC4" w:rsidRDefault="00F83C66">
      <w:pPr>
        <w:pStyle w:val="Heading2"/>
      </w:pPr>
      <w:r>
        <w:t>11.1 Opening Corporate Bank Accounts</w:t>
      </w:r>
    </w:p>
    <w:p w:rsidR="00E43EC4" w:rsidRDefault="00F83C66">
      <w:pPr>
        <w:spacing w:after="120" w:line="276" w:lineRule="auto"/>
      </w:pPr>
      <w:r>
        <w:t>Opening an Indonesian corporate bank account typically takes 4-8 weeks for foreign-owned PT PMAs due to strict Bank Indonesia KYC/AML requirements. Required</w:t>
      </w:r>
      <w:r>
        <w:t xml:space="preserve"> documents typically include: Deed of Establishment and amendments, Legal Entity Approval (SK Pengesahan), NIB from OSS, NPWP (tax ID), domicile letter (SKDP), board resolution authorising account opening, passport copies and KITAS/ITAS for foreign directo</w:t>
      </w:r>
      <w:r>
        <w:t xml:space="preserve">rs, proof of registered office address, and company profile/business plan. Physical presence of directors at the bank branch is usually required. Major Indonesian banks include Bank Mandiri, Bank BRI, Bank BNI, Bank BCA, Bank CIMB Niaga, and Bank Danamon. </w:t>
      </w:r>
      <w:r>
        <w:t>Some international banks (HSBC, Standard Chartered, DBS) also serve PT PMAs.</w:t>
      </w:r>
    </w:p>
    <w:p w:rsidR="00E43EC4" w:rsidRDefault="00F83C66">
      <w:pPr>
        <w:pStyle w:val="Heading2"/>
      </w:pPr>
      <w:r>
        <w:t>11.2 Funding Options</w:t>
      </w:r>
    </w:p>
    <w:p w:rsidR="00E43EC4" w:rsidRDefault="00F83C66">
      <w:pPr>
        <w:spacing w:after="120" w:line="276" w:lineRule="auto"/>
      </w:pPr>
      <w:r>
        <w:t>PT PMAs have diverse funding options: equity from Indian parent (through ODI - must meet IDR 10B investment plan), shareholder loans (subject to thin capitali</w:t>
      </w:r>
      <w:r>
        <w:t>sation rules - 4:1 debt-to-equity ratio under PMK 169/2015), Indonesian bank lending, venture capital (Indonesia has a vibrant VC ecosystem - notable funds include East Ventures, AC Ventures, Alpha JWC), government-backed financing (through BKPM coordinati</w:t>
      </w:r>
      <w:r>
        <w:t>on), multilateral financing (IFC, ADB), Islamic finance (sukuk, Islamic banking), and capital markets (IDX listing for larger companies).</w:t>
      </w:r>
    </w:p>
    <w:p w:rsidR="00E43EC4" w:rsidRDefault="00F83C66">
      <w:pPr>
        <w:pStyle w:val="Heading2"/>
      </w:pPr>
      <w:r>
        <w:t>11.3 Repatriation Rules</w:t>
      </w:r>
    </w:p>
    <w:p w:rsidR="00E43EC4" w:rsidRDefault="00F83C66">
      <w:pPr>
        <w:spacing w:after="120" w:line="276" w:lineRule="auto"/>
      </w:pPr>
      <w:r>
        <w:t>Profits and capital can be repatriated from Indonesia, subject to: Dividend WHT of 20% (PPh 26</w:t>
      </w:r>
      <w:r>
        <w:t>) on dividends to non-resident shareholders, reducible to 10-15% under the India-Indonesia DTAA. Branch Profit Tax of 20% (PPh 26) on after-tax profits remitted by branches, reducible to 10-15% under DTAA. Note: Under the Harmonised Tax Law (UU HPP), divid</w:t>
      </w:r>
      <w:r>
        <w:t>ends received by Indonesian resident taxpayers from domestic or foreign sources are exempt from income tax if reinvested in Indonesia within a certain period. Export proceeds must be deposited in Indonesian banks for 3 months (DHE requirement). All foreign</w:t>
      </w:r>
      <w:r>
        <w:t xml:space="preserve"> currency transactions above USD 25,000/month require supporting documentation. The Indian parent must comply with Indian FEMA reporting requirements for inward remittances.</w:t>
      </w:r>
    </w:p>
    <w:p w:rsidR="00E43EC4" w:rsidRDefault="00F83C66">
      <w:r>
        <w:br w:type="page"/>
      </w:r>
    </w:p>
    <w:p w:rsidR="00E43EC4" w:rsidRDefault="00F83C66">
      <w:pPr>
        <w:pStyle w:val="Heading1"/>
      </w:pPr>
      <w:r>
        <w:lastRenderedPageBreak/>
        <w:t>12. Employment, Immigration, and Payroll</w:t>
      </w:r>
    </w:p>
    <w:p w:rsidR="00E43EC4" w:rsidRDefault="00F83C66">
      <w:pPr>
        <w:pStyle w:val="Heading2"/>
      </w:pPr>
      <w:r>
        <w:t>12.1 Key Employment Laws</w:t>
      </w:r>
    </w:p>
    <w:p w:rsidR="00E43EC4" w:rsidRDefault="00F83C66">
      <w:pPr>
        <w:spacing w:after="120" w:line="276" w:lineRule="auto"/>
      </w:pPr>
      <w:r>
        <w:t>Indonesian emp</w:t>
      </w:r>
      <w:r>
        <w:t xml:space="preserve">loyment law is governed primarily by the Manpower Law (No. 13/2003) as substantially amended by the Omnibus Law (No. 6/2023) and its implementing Government Regulation (PP 35/2021). Key provisions: standard 40-hour work week (7 hours/day for 6-day week, 8 </w:t>
      </w:r>
      <w:r>
        <w:t>hours/day for 5-day week); minimum wage set by provincial/city government annually (Jakarta 2025: approximately IDR 5.4 million/month); mandatory religious holiday allowance (THR - equal to 1 month salary); mandatory BPJS Ketenagakerjaan (employment social</w:t>
      </w:r>
      <w:r>
        <w:t xml:space="preserve"> security - covering work accident, death, old age, pension, job loss) and BPJS Kesehatan (health insurance); severance pay ranging from 1-9 months salary based on tenure (reduced under Omnibus Law); minimum 12 days annual leave after 12 months; maternity </w:t>
      </w:r>
      <w:r>
        <w:t>leave 3 months (paid); paternity leave 2 days (paid). The Omnibus Law made significant changes to severance, fixed-term contracts, outsourcing, and minimum wage calculations.</w:t>
      </w:r>
    </w:p>
    <w:p w:rsidR="00E43EC4" w:rsidRDefault="00F83C66">
      <w:pPr>
        <w:pStyle w:val="Heading2"/>
      </w:pPr>
      <w:r>
        <w:t>12.2 Immigration and Work Authorization</w:t>
      </w:r>
    </w:p>
    <w:p w:rsidR="00E43EC4" w:rsidRDefault="00F83C66">
      <w:pPr>
        <w:spacing w:after="120" w:line="276" w:lineRule="auto"/>
      </w:pPr>
      <w:r>
        <w:t>Common visa/permit routes for Indian nati</w:t>
      </w:r>
      <w:r>
        <w:t xml:space="preserve">onals: (1) ITAS (Limited Stay Permit) with RPTKA (Foreign Worker Utilisation Plan) - the standard work permit route; employer applies through Ministry of Manpower; RPTKA approval needed before ITAS application; Dana Kompensasi Penggunaan TKA (DKP-TKA) fee </w:t>
      </w:r>
      <w:r>
        <w:t xml:space="preserve">of USD 1,200 per foreign worker per year; maximum 2-year initial period, renewable. (2) ITAP (Permanent Stay Permit) - after 3+ consecutive years on ITAS. (3) Investor KITAS - for shareholders/investors in PT PMA meeting minimum investment thresholds. (4) </w:t>
      </w:r>
      <w:r>
        <w:t>Director KITAS - for appointed directors of Indonesian companies. (5) B211A Business Visa - for short-term business visits (meetings, conferences) up to 60 days, extendable. (6) Second Home Visa - long-term stay (5-10 years) for individuals meeting financi</w:t>
      </w:r>
      <w:r>
        <w:t>al criteria. Foreign workers must have a designated Indonesian counterpart employee for knowledge transfer (Tenaga Kerja Pendamping).</w:t>
      </w:r>
    </w:p>
    <w:p w:rsidR="00E43EC4" w:rsidRDefault="00F83C66">
      <w:pPr>
        <w:pStyle w:val="Heading2"/>
      </w:pPr>
      <w:r>
        <w:t>12.3 Payroll and HR Compliance</w:t>
      </w:r>
    </w:p>
    <w:p w:rsidR="00E43EC4" w:rsidRDefault="00F83C66">
      <w:pPr>
        <w:spacing w:after="120" w:line="276" w:lineRule="auto"/>
      </w:pPr>
      <w:r>
        <w:t>Employers must operate Indonesian payroll through the PPh 21 withholding system using the new TER (Tarif Efektif Rata-rata) method introduced in 2024. Monthly PPh 21 must be deposited by the 15th and filed by the 20th of the following month via the Coretax</w:t>
      </w:r>
      <w:r>
        <w:t xml:space="preserve"> system. BPJS Ketenagakerjaan contributions: employer 5.74-11.74% (covering JKK work accident, JKM death, JHT old age, JP pension, JKP job loss); employee 3-4% (JHT + JP). BPJS Kesehatan (health): employer 4%, employee 1% of salary (capped). Annual PPh 21 </w:t>
      </w:r>
      <w:r>
        <w:t>reconciliation at year-end (December filing). Employer must issue Form 1721-A1 to employees by end of January. Key compliance dates: SPT Masa PPh 21 by the 20th monthly; SPT Tahunan PPh 21 by 30 April; THR payment before religious holidays.</w:t>
      </w:r>
    </w:p>
    <w:p w:rsidR="00E43EC4" w:rsidRDefault="00F83C66">
      <w:r>
        <w:br w:type="page"/>
      </w:r>
    </w:p>
    <w:p w:rsidR="00E43EC4" w:rsidRDefault="00F83C66">
      <w:pPr>
        <w:pStyle w:val="Heading1"/>
      </w:pPr>
      <w:r>
        <w:lastRenderedPageBreak/>
        <w:t>13. Intellect</w:t>
      </w:r>
      <w:r>
        <w:t>ual Property, Data, and Technology</w:t>
      </w:r>
    </w:p>
    <w:p w:rsidR="00E43EC4" w:rsidRDefault="00F83C66">
      <w:pPr>
        <w:pStyle w:val="Heading2"/>
      </w:pPr>
      <w:r>
        <w:t>13.1 IP Protection</w:t>
      </w:r>
    </w:p>
    <w:p w:rsidR="00E43EC4" w:rsidRDefault="00F83C66">
      <w:pPr>
        <w:spacing w:after="120" w:line="276" w:lineRule="auto"/>
      </w:pPr>
      <w:r>
        <w:t>Indonesia's IP regime is administered by the Directorate General of Intellectual Property (DGIP) under the Ministry of Law and Human Rights. Trademarks: registration takes approximately 12-18 months (10</w:t>
      </w:r>
      <w:r>
        <w:t xml:space="preserve"> years protection, renewable). Patents: 20 years from filing (simple patents: 10 years). Industrial Designs: 10 years from filing. Copyright: automatic upon creation (life + 70 years for most works). Indonesia is a member of WIPO, Paris Convention, Berne C</w:t>
      </w:r>
      <w:r>
        <w:t>onvention, PCT, Madrid Protocol (since 2018), and TRIPS. IP enforcement has improved but piracy and counterfeiting remain challenges. The Omnibus Law introduced provisions to simplify IP registration processes.</w:t>
      </w:r>
    </w:p>
    <w:p w:rsidR="00E43EC4" w:rsidRDefault="00F83C66">
      <w:pPr>
        <w:pStyle w:val="Heading2"/>
      </w:pPr>
      <w:r>
        <w:t>13.2 Data Protection and Privacy</w:t>
      </w:r>
    </w:p>
    <w:p w:rsidR="00E43EC4" w:rsidRDefault="00F83C66">
      <w:pPr>
        <w:spacing w:after="120" w:line="276" w:lineRule="auto"/>
      </w:pPr>
      <w:r>
        <w:t>The Personal</w:t>
      </w:r>
      <w:r>
        <w:t xml:space="preserve"> Data Protection Law (PDP Law No. 27 of 2022) is Indonesia's comprehensive data protection framework, with a 2-year transition period ending October 2024 (full enforcement from October 2024). Key requirements: lawful processing bases (consent, contract, le</w:t>
      </w:r>
      <w:r>
        <w:t>gitimate interest, etc.); data subject rights (access, correction, deletion, portability, objection); mandatory Data Protection Officer for processors handling large-scale or sensitive data; data breach notification within 72 hours; cross-border data trans</w:t>
      </w:r>
      <w:r>
        <w:t>fer restrictions (adequate protection, binding corporate rules, or explicit consent); and data localisation requirements for strategic electronic systems (Government Regulation 71/2019). Maximum penalties: fines up to 2% of annual revenue for corporations;</w:t>
      </w:r>
      <w:r>
        <w:t xml:space="preserve"> criminal penalties up to 6 years imprisonment and IDR 6 billion fine for individuals. The government is establishing a dedicated Data Protection Authority.</w:t>
      </w:r>
    </w:p>
    <w:p w:rsidR="00E43EC4" w:rsidRDefault="00F83C66">
      <w:r>
        <w:br w:type="page"/>
      </w:r>
    </w:p>
    <w:p w:rsidR="00E43EC4" w:rsidRDefault="00F83C66">
      <w:pPr>
        <w:pStyle w:val="Heading1"/>
      </w:pPr>
      <w:r>
        <w:lastRenderedPageBreak/>
        <w:t>14. Commercial Contracts and Local Practices</w:t>
      </w:r>
    </w:p>
    <w:p w:rsidR="00E43EC4" w:rsidRDefault="00F83C66">
      <w:pPr>
        <w:spacing w:after="120" w:line="276" w:lineRule="auto"/>
      </w:pPr>
      <w:r>
        <w:t>Indonesian contract law is governed by the Indonesia</w:t>
      </w:r>
      <w:r>
        <w:t>n Civil Code (Kitab Undang-Undang Hukum Perdata / KUHPer), inherited from the Dutch colonial era. Key principles: freedom of contract, good faith, pacta sunt servanda. Contracts are generally enforceable regardless of form (oral or written), though written</w:t>
      </w:r>
      <w:r>
        <w:t xml:space="preserve"> contracts are strongly recommended and required for certain transactions. Indonesian-language contracts are technically required for agreements involving Indonesian parties (under Presidential Regulation No. 63 of 2019 on Use of Indonesian Language), thou</w:t>
      </w:r>
      <w:r>
        <w:t>gh bilingual (Indonesian-English) contracts are standard practice with the Indonesian version prevailing in case of conflict. Choice of foreign law is possible in international commercial contracts, but enforcement of foreign court judgments requires re-li</w:t>
      </w:r>
      <w:r>
        <w:t xml:space="preserve">tigation in Indonesian courts (Indonesia is not party to many enforcement treaties). Arbitration via BANI (Badan Arbitrase Nasional Indonesia) or international institutions (ICC, SIAC) is preferred for dispute resolution. Indonesia is signatory to the New </w:t>
      </w:r>
      <w:r>
        <w:t>York Convention, so foreign arbitral awards are enforceable.</w:t>
      </w:r>
    </w:p>
    <w:p w:rsidR="00E43EC4" w:rsidRDefault="00F83C66">
      <w:r>
        <w:br w:type="page"/>
      </w:r>
    </w:p>
    <w:p w:rsidR="00E43EC4" w:rsidRDefault="00F83C66">
      <w:pPr>
        <w:pStyle w:val="Heading1"/>
      </w:pPr>
      <w:r>
        <w:lastRenderedPageBreak/>
        <w:t>15. Operations, Location, and Economic Zones</w:t>
      </w:r>
    </w:p>
    <w:p w:rsidR="00E43EC4" w:rsidRDefault="00F83C66">
      <w:pPr>
        <w:pStyle w:val="Heading2"/>
      </w:pPr>
      <w:r>
        <w:t>15.1 Key Business Locations</w:t>
      </w:r>
    </w:p>
    <w:p w:rsidR="00E43EC4" w:rsidRDefault="00F83C66">
      <w:pPr>
        <w:spacing w:after="120" w:line="276" w:lineRule="auto"/>
      </w:pPr>
      <w:r>
        <w:t>Jakarta (Greater Jakarta / Jabodetabek) is the primary business, financial, and government hub - approximately 35 millio</w:t>
      </w:r>
      <w:r>
        <w:t xml:space="preserve">n in the metro area. Key business districts include SCBD (Sudirman Central Business District), Kuningan, Thamrin, and TB Simatupang. Surabaya is the second-largest city and industrial centre for East Java. Bali is a tourism powerhouse and emerging digital </w:t>
      </w:r>
      <w:r>
        <w:t>nomad/tech hub. Batam (Free Trade Zone) borders Singapore - electronics manufacturing and logistics. Bandung is a creative industries, fashion, and tech hub. Semarang and Makassar are growing regional industrial centres. Medan is the gateway to Sumatra. Th</w:t>
      </w:r>
      <w:r>
        <w:t>e new capital Nusantara (IKN) in East Kalimantan offers pioneering investment opportunities with special incentives.</w:t>
      </w:r>
    </w:p>
    <w:p w:rsidR="00E43EC4" w:rsidRDefault="00F83C66">
      <w:pPr>
        <w:pStyle w:val="Heading2"/>
      </w:pPr>
      <w:r>
        <w:t>15.2 Special Economic Zones and Incentive Areas</w:t>
      </w:r>
    </w:p>
    <w:p w:rsidR="00E43EC4" w:rsidRDefault="00F83C66">
      <w:pPr>
        <w:spacing w:after="120" w:line="276" w:lineRule="auto"/>
      </w:pPr>
      <w:r>
        <w:t>Indonesia has multiple types of special zones: Special Economic Zones (KEK - Kawasan Ekonom</w:t>
      </w:r>
      <w:r>
        <w:t>i Khusus) - 19 designated KEKs offering income tax facilities, VAT/import duty exemptions, and simplified licensing; notable KEKs include Sei Mangkei (palm oil downstream), Mandalika (tourism), Galang Batang (industrial). Free Trade Zones (FTZ) - Batam, Bi</w:t>
      </w:r>
      <w:r>
        <w:t>ntan, Karimun offer VAT and import duty exemptions for manufacturing and logistics. Industrial Estates - Cikarang (EJIP, Jababeka), Bekasi, Karawang in West Java; Surabaya Industrial Estate Rungkut (SIER) in East Java; and various estates in Kalimantan and</w:t>
      </w:r>
      <w:r>
        <w:t xml:space="preserve"> Sulawesi. Nusantara (IKN) New Capital - special incentive package for investors in the new capital including tax holidays, super deductions, and simplified licensing. Bonded Zones (Kawasan Berikat) - for manufacturing and export-oriented companies with cu</w:t>
      </w:r>
      <w:r>
        <w:t>stoms facilities.</w:t>
      </w:r>
    </w:p>
    <w:p w:rsidR="00E43EC4" w:rsidRDefault="00F83C66">
      <w:r>
        <w:br w:type="page"/>
      </w:r>
    </w:p>
    <w:p w:rsidR="00E43EC4" w:rsidRDefault="00F83C66">
      <w:pPr>
        <w:pStyle w:val="Heading1"/>
      </w:pPr>
      <w:r>
        <w:lastRenderedPageBreak/>
        <w:t>16. Compliance Calendar and Ongoing Obligations</w:t>
      </w:r>
    </w:p>
    <w:p w:rsidR="00E43EC4" w:rsidRDefault="00F83C66">
      <w:pPr>
        <w:spacing w:after="120" w:line="276" w:lineRule="auto"/>
      </w:pPr>
      <w:r>
        <w:t>Indonesian compliance obligations span Kemenkumham (corporate filings), DJP/DGT (tax), Ministry of Manpower (labour), and various sector regulators. Below is a comprehensive summary.</w:t>
      </w:r>
    </w:p>
    <w:p w:rsidR="00E43EC4" w:rsidRDefault="00F83C66">
      <w:pPr>
        <w:pStyle w:val="Heading2"/>
      </w:pPr>
      <w:r>
        <w:t xml:space="preserve">16.1 </w:t>
      </w:r>
      <w:r>
        <w:t>Periodic Compliance Obligations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PPh 21 (Employee WHT) deposit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15th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 (via Coretax)</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21 return (SPT Masa)</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20th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 (via Coretax)</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PPh 23/26 (WHT on services/non-residents)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10th deposit; 20th filing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VAT Return (SPT Masa PPN) + e-Faktur</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End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PPh 25 (Monthly CIT instalment)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15th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BPJS Ketenagakerjaan + Kesehatan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15th of following month</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BPJS</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PPh 4(2) Final Tax (if applicable)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Monthly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15th deposit; 20th filing of following month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bl>
    <w:p w:rsidR="00E43EC4" w:rsidRDefault="00F83C66">
      <w:pPr>
        <w:pStyle w:val="Heading2"/>
      </w:pPr>
      <w:r>
        <w:t>16.2 Annual Compliance Obligations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200"/>
        <w:gridCol w:w="1760"/>
      </w:tblGrid>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Form / Reference</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Due Date</w:t>
            </w:r>
          </w:p>
        </w:tc>
        <w:tc>
          <w:tcPr>
            <w:tcW w:w="17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Annual CIT Return (SPT Tahunan PPh Badan)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Form 1771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30 April (4 months after FY 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Annual Employee Tax Return reconciliation</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Form 1721-A1 + SPT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30 April</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Audited Financial Statements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Per Company Law</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Within 6 months of FY end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Kemenkumham / OSS</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Annual General Meeting (AGM)</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Company Law</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Within 6 months of FY 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Company</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LKPM (Investment Activity Report)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Quarterly + Annual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Quarterly: 10 days after quarter; Annual: by Jan 30</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BKPM / OSS</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Foreign Worker Report (RPTKA renewal)</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As per permit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Before expiry</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Ministry of Manpower</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Transfer Pricing Documentation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Local File + Master File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Available by time of CIT return filing</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Country-by-Country Report (if applicable)</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CbCR</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12 months after FY end</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Beneficial Ownership reporting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Per regulation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Within 7 working days of change</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Kemenkumham</w:t>
            </w:r>
          </w:p>
        </w:tc>
      </w:tr>
      <w:tr w:rsidR="00E43EC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DHE Export Proceed report</w:t>
            </w:r>
          </w:p>
        </w:tc>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Per BI regulation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Monthly for exporters</w:t>
            </w:r>
          </w:p>
        </w:tc>
        <w:tc>
          <w:tcPr>
            <w:tcW w:w="17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Bank Indonesia</w:t>
            </w:r>
          </w:p>
        </w:tc>
      </w:tr>
    </w:tbl>
    <w:p w:rsidR="00E43EC4" w:rsidRDefault="00F83C66">
      <w:pPr>
        <w:pStyle w:val="Heading2"/>
      </w:pPr>
      <w:r>
        <w:lastRenderedPageBreak/>
        <w:t>16.3 Month-wise Indonesian Calendar (January to December)</w:t>
      </w:r>
    </w:p>
    <w:p w:rsidR="00E43EC4" w:rsidRDefault="00F83C66">
      <w:pPr>
        <w:spacing w:after="120" w:line="276" w:lineRule="auto"/>
      </w:pPr>
      <w:r>
        <w:t>The Indonesian tax year is the calendar year (1 January to 31 December) for most companies. Companies may apply for a non-calendar fiscal year with DGT approval. Below are key recurring dates.</w:t>
      </w:r>
    </w:p>
    <w:p w:rsidR="00E43EC4" w:rsidRDefault="00F83C66">
      <w:pPr>
        <w:pStyle w:val="Heading3"/>
      </w:pPr>
      <w:r>
        <w:t>January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New Indonesian tax year begins; new minimum wages effective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 / Manpower</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15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PPh 21/23/25/4(2) deposit for December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20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SPT Masa PPh 21/23/26/4(2) for December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30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Annual LKPM (Investment Activity Report)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BKPM / OSS</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Form 1721-A1 issued to employees for prior year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Employer</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31 Jan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VAT Return (SPT Masa PPN) for December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February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21/23/25/4(2) deposit for January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20 Feb</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SPT Masa PPh 21/23/26/4(2) for January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28 Feb</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VAT Return for January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March</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21/23/25/4(2) deposit for February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20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SPT Masa PPh filing for February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31 Mar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Personal Income Tax Return (SPT Tahunan PPh OP) for prior year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31 Mar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VAT Return for February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April</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Quarterly LKPM for Q1</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BKPM / OSS</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15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PPh monthly deposits for March</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30 Apr</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Annual CIT Return (SPT Tahunan PPh Badan) for prior FY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30 Apr</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VAT Return for March</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May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lastRenderedPageBreak/>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monthly deposits for April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20 May</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SPT Masa PPh filing for April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31 May</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VAT Return for April</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June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 Jun</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monthly deposits for May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30 Jun</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VAT Return for May; AGM deadline (if FY ending 31 Dec)</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 / Company</w:t>
            </w:r>
          </w:p>
        </w:tc>
      </w:tr>
    </w:tbl>
    <w:p w:rsidR="00E43EC4" w:rsidRDefault="00E43EC4">
      <w:pPr>
        <w:spacing w:after="80"/>
      </w:pPr>
    </w:p>
    <w:p w:rsidR="00E43EC4" w:rsidRDefault="00F83C66">
      <w:pPr>
        <w:pStyle w:val="Heading3"/>
      </w:pPr>
      <w:r>
        <w:t>July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10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Quarterly LKPM for Q2</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BKPM / OSS</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15 Jul</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PPh monthly deposits for June</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31 Jul</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VAT Return for June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August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 Aug</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monthly deposits for July</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31 Aug</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VAT Return for July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September</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 Sep</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monthly deposits for August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30 Sep</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VAT Return for August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October</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10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Quarterly LKPM for Q3</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BKPM / OSS</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15 Oct</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PPh monthly deposits for September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31 Oct</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VAT Return for September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November</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lastRenderedPageBreak/>
              <w:t>15 Nov</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monthly deposits for October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30 Nov</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VAT Return for October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pStyle w:val="Heading3"/>
      </w:pPr>
      <w:r>
        <w:t>December</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2560"/>
      </w:tblGrid>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Date</w:t>
            </w:r>
          </w:p>
        </w:tc>
        <w:tc>
          <w:tcPr>
            <w:tcW w:w="54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Filing / Obligation</w:t>
            </w:r>
          </w:p>
        </w:tc>
        <w:tc>
          <w:tcPr>
            <w:tcW w:w="25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15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PPh monthly deposits for November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31 Dec</w:t>
            </w:r>
          </w:p>
        </w:tc>
        <w:tc>
          <w:tcPr>
            <w:tcW w:w="5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End of Indonesian tax year; THR payment before Eid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 / Employer</w:t>
            </w:r>
          </w:p>
        </w:tc>
      </w:tr>
      <w:tr w:rsidR="00E43EC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31 Dec</w:t>
            </w:r>
          </w:p>
        </w:tc>
        <w:tc>
          <w:tcPr>
            <w:tcW w:w="54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VAT Return for November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bl>
    <w:p w:rsidR="00E43EC4" w:rsidRDefault="00E43EC4">
      <w:pPr>
        <w:spacing w:after="80"/>
      </w:pPr>
    </w:p>
    <w:p w:rsidR="00E43EC4" w:rsidRDefault="00F83C66">
      <w:pPr>
        <w:spacing w:after="120" w:line="276" w:lineRule="auto"/>
      </w:pPr>
      <w:r>
        <w:t xml:space="preserve">Company-specific deadlines: Annual CIT Return (SPT Tahunan) due 4 months after FY end (30 April for calendar year). AGM within 6 months of FY end. LKPM quarterly reports to BKPM via OSS. Monthly PPh deposits by 15th and filings by 20th. VAT returns by end </w:t>
      </w:r>
      <w:r>
        <w:t>of following month. Foreign worker permits tracked per permit tenure. All filings now through the Coretax system.</w:t>
      </w:r>
    </w:p>
    <w:p w:rsidR="00E43EC4" w:rsidRDefault="00F83C66">
      <w:r>
        <w:br w:type="page"/>
      </w:r>
    </w:p>
    <w:p w:rsidR="00E43EC4" w:rsidRDefault="00F83C66">
      <w:pPr>
        <w:pStyle w:val="Heading1"/>
      </w:pPr>
      <w:r>
        <w:lastRenderedPageBreak/>
        <w:t>17. Risk, Disputes, and Exit Options</w:t>
      </w:r>
    </w:p>
    <w:p w:rsidR="00E43EC4" w:rsidRDefault="00F83C66">
      <w:pPr>
        <w:pStyle w:val="Heading2"/>
      </w:pPr>
      <w:r>
        <w:t>17.1 Dispute Resolution</w:t>
      </w:r>
    </w:p>
    <w:p w:rsidR="00E43EC4" w:rsidRDefault="00F83C66">
      <w:pPr>
        <w:spacing w:after="120" w:line="276" w:lineRule="auto"/>
      </w:pPr>
      <w:r>
        <w:t>Indonesia has a court system comprising District Courts (Pengadilan Negeri), Hi</w:t>
      </w:r>
      <w:r>
        <w:t>gh Courts (Pengadilan Tinggi), and the Supreme Court (Mahkamah Agung). Specialised courts include the Commercial Court (for bankruptcy, IP), Tax Court (Pengadilan Pajak), Industrial Relations Court, and Religious Courts (for Islamic law matters). BANI (Bad</w:t>
      </w:r>
      <w:r>
        <w:t>an Arbitrase Nasional Indonesia) is the primary domestic arbitration institution. Indonesia is signatory to the New York Convention - foreign arbitral awards are enforceable through District Court, though the process can be lengthy. Choice of foreign law i</w:t>
      </w:r>
      <w:r>
        <w:t>s permissible in international contracts. Indonesian-language requirement applies to contracts involving Indonesian parties. Mediation is increasingly used, particularly for labour disputes.</w:t>
      </w:r>
    </w:p>
    <w:p w:rsidR="00E43EC4" w:rsidRDefault="00F83C66">
      <w:pPr>
        <w:pStyle w:val="Heading2"/>
      </w:pPr>
      <w:r>
        <w:t>17.2 Key Risk Areas</w:t>
      </w:r>
    </w:p>
    <w:p w:rsidR="00E43EC4" w:rsidRDefault="00F83C66">
      <w:pPr>
        <w:spacing w:after="120" w:line="276" w:lineRule="auto"/>
      </w:pPr>
      <w:r>
        <w:t>Indian businesses should be aware of: the IDR</w:t>
      </w:r>
      <w:r>
        <w:t xml:space="preserve"> 10 billion minimum investment plan per KBLI (a significant capital commitment); Positive Investment List sector restrictions; strict anti-nominee rules (nominee arrangements are void under Company Law); Indonesian-language contract requirement; complex la</w:t>
      </w:r>
      <w:r>
        <w:t xml:space="preserve">nd title system (foreign individuals cannot own freehold land - Hak Milik - but PT PMAs can hold HGB/Hak Guna Bangunan for 30+20+30 years); labour law rigidity despite Omnibus Law reforms (severance still significant); transfer pricing enforcement (DGT is </w:t>
      </w:r>
      <w:r>
        <w:t>increasingly sophisticated); DHE export proceeds holding requirement (3 months in Indonesian banks); Pillar Two / GloBE rules from 2025; the Coretax system teething issues; corruption risk (Indonesia ranks in mid-range on CPI); and regional regulatory vari</w:t>
      </w:r>
      <w:r>
        <w:t>ations across provinces and cities.</w:t>
      </w:r>
    </w:p>
    <w:p w:rsidR="00E43EC4" w:rsidRDefault="00F83C66">
      <w:pPr>
        <w:pStyle w:val="Heading2"/>
      </w:pPr>
      <w:r>
        <w:t>17.3 Exit and Restructuring Options</w:t>
      </w:r>
    </w:p>
    <w:p w:rsidR="00E43EC4" w:rsidRDefault="00F83C66">
      <w:pPr>
        <w:spacing w:after="120" w:line="276" w:lineRule="auto"/>
      </w:pPr>
      <w:r>
        <w:t>Exit options include: Share sale (generally no capital gains tax for the seller if structured correctly; buyer pays 0.1% stamp duty on share transfers); Asset sale; Voluntary liquidati</w:t>
      </w:r>
      <w:r>
        <w:t>on (pembubaran) - requires shareholders' resolution, RUPS approval, appointment of liquidator, publication in newspapers, 30-day creditor notice period, settlement of liabilities, tax clearance from DGT, and de-registration from OSS/Kemenkumham (process ty</w:t>
      </w:r>
      <w:r>
        <w:t>pically 12-24 months); Bankruptcy (pailit) - through Commercial Court for insolvent companies; Merger / Acquisition (penggabungan / pengambilalihan) - regulated under Company Law and OJK for listed companies. Pre-closure: file final tax returns, obtain tax</w:t>
      </w:r>
      <w:r>
        <w:t xml:space="preserve"> clearance (SKB), deregister from BPJS, settle all employee severance, publish dissolution notice, and complete Kemenkumham de-registration.</w:t>
      </w:r>
    </w:p>
    <w:p w:rsidR="00E43EC4" w:rsidRDefault="00F83C66">
      <w:r>
        <w:br w:type="page"/>
      </w:r>
    </w:p>
    <w:p w:rsidR="00E43EC4" w:rsidRDefault="00F83C66">
      <w:pPr>
        <w:pStyle w:val="Heading1"/>
      </w:pPr>
      <w:r>
        <w:lastRenderedPageBreak/>
        <w:t>18. Practical Checklists and Tools</w:t>
      </w:r>
    </w:p>
    <w:p w:rsidR="00E43EC4" w:rsidRDefault="00F83C66">
      <w:pPr>
        <w:pStyle w:val="Heading2"/>
      </w:pPr>
      <w:r>
        <w:t>18.1 Pre-Entry Checklist for Indian Entrepreneurs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60"/>
        <w:gridCol w:w="1800"/>
        <w:gridCol w:w="2600"/>
      </w:tblGrid>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No.</w:t>
            </w:r>
          </w:p>
        </w:tc>
        <w:tc>
          <w:tcPr>
            <w:tcW w:w="4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Status</w:t>
            </w:r>
          </w:p>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Identify KBLI code(s) and check Positive Investment List for FDI eligibility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Strategic</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Determine entity structure (PT PMA / JV / Rep Office / Branch)</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Plan IDR 10B investment plan per KBLI + IDR 2.5B paid-up capital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Financial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Verify FEMA ODI eligibility (400% net worth limit)</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Indian Compliance</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Engage Indonesian notary (Notaris) and legal counsel</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Prepare apostilled and translated Indian parent company 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Documentation</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Secure commercial office address in Indonesia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Operational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Reserve company name (3 words in Bahasa Indonesia)</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Identify Commissioner (minimum 1 required for PT PMA)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Governance</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Plan Indonesian bank account opening (allow 4-8 weeks)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Financial</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Assess Tax Holiday / Tax Allowance / SEZ eligibility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Obtain India Tax Residency Certificate (TRC) and Form 10F for treaty benefits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Plan immigration/visa needs (RPTKA + ITAS for foreign staff)</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HR</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Budget for DKP-TKA fee (USD 1,200/foreign worker/year)</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HR</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File Form FC with AD bank in India before first remittance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FEMA</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16</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Plan transfer pricing documentation for intercompany flows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Tax</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17</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Assess PDP Law compliance for personal data processing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Legal</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E43EC4"/>
        </w:tc>
      </w:tr>
      <w:tr w:rsidR="00E43EC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18</w:t>
            </w:r>
          </w:p>
        </w:tc>
        <w:tc>
          <w:tcPr>
            <w:tcW w:w="4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Evaluate halal certification requirements (if applicable)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Regulatory</w:t>
            </w:r>
          </w:p>
        </w:tc>
        <w:tc>
          <w:tcPr>
            <w:tcW w:w="26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E43EC4"/>
        </w:tc>
      </w:tr>
    </w:tbl>
    <w:p w:rsidR="00E43EC4" w:rsidRDefault="00F83C66">
      <w:r>
        <w:br w:type="page"/>
      </w:r>
    </w:p>
    <w:p w:rsidR="00E43EC4" w:rsidRDefault="00F83C66">
      <w:pPr>
        <w:pStyle w:val="Heading1"/>
      </w:pPr>
      <w:r>
        <w:lastRenderedPageBreak/>
        <w:t>19. Compliance Penalty Matrix</w:t>
      </w:r>
    </w:p>
    <w:p w:rsidR="00E43EC4" w:rsidRDefault="00F83C66">
      <w:pPr>
        <w:spacing w:after="120" w:line="276" w:lineRule="auto"/>
      </w:pPr>
      <w:r>
        <w:t>Non-compliance with Indonesian regulatory and tax obligations may result in the following penalties: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3000"/>
        <w:gridCol w:w="2360"/>
      </w:tblGrid>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Compliance Area</w:t>
            </w:r>
          </w:p>
        </w:tc>
        <w:tc>
          <w:tcPr>
            <w:tcW w:w="22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Violation</w:t>
            </w:r>
          </w:p>
        </w:tc>
        <w:tc>
          <w:tcPr>
            <w:tcW w:w="300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Penalty</w:t>
            </w:r>
          </w:p>
        </w:tc>
        <w:tc>
          <w:tcPr>
            <w:tcW w:w="2360" w:type="dxa"/>
            <w:tcBorders>
              <w:top w:val="single" w:sz="1" w:space="0" w:color="CCCCCC"/>
              <w:left w:val="single" w:sz="1" w:space="0" w:color="CCCCCC"/>
              <w:bottom w:val="single" w:sz="1" w:space="0" w:color="CCCCCC"/>
              <w:right w:val="single" w:sz="1" w:space="0" w:color="CCCCCC"/>
            </w:tcBorders>
            <w:shd w:val="clear" w:color="auto" w:fill="003366"/>
            <w:tcMar>
              <w:top w:w="60" w:type="dxa"/>
              <w:left w:w="100" w:type="dxa"/>
              <w:bottom w:w="60" w:type="dxa"/>
              <w:right w:w="100" w:type="dxa"/>
            </w:tcMar>
            <w:vAlign w:val="center"/>
          </w:tcPr>
          <w:p w:rsidR="00E43EC4" w:rsidRDefault="00F83C66">
            <w:r>
              <w:rPr>
                <w:b/>
                <w:bCs/>
                <w:color w:val="FFFFFF"/>
                <w:sz w:val="20"/>
                <w:szCs w:val="20"/>
              </w:rPr>
              <w:t>Authority</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Annual CIT Return (SPT Tahunan)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IDR 1 million fine + 2% monthly interest on unpaid tax</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Monthly Tax Returns (SPT Masa)</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IDR 100K-500K per return + 2% monthly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Tax payment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Late/underpayment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2% monthly interest (max 48 months) + potential 200% penalty for fraud</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VAT Return (SPT Masa PPN)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Late filing/payment</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IDR 500K per return + 2% monthly interest</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Transfer Pricing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Non-arm's length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Adjustment + 48% penalty (200% of 2% x 24 months)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DGT</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LKPM Report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Late/non-filing</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Warning, suspension of facilities, revocation of NIB</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BKPM / OSS</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t>Financial Statements / Annual Report Filing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Late filing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Administrative sanctions; potential dissolution for non-filing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Kemenkumham</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Nominee arrangement</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Void structure</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Agreement legally void; potential criminal sanctions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Court</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PDP Law</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Data privacy breach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Up to 2% of annual revenue; criminal: 6 years + IDR 6B</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PDP Authority</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Work permit violation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Working without ITAS/RPTKA</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Deportation; IDR 500M fine; criminal sanctions</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Immigration</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BPJS non-compliance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Non-registration/payment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Written warning; administrative fines; denial of public services</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BPJS</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Anti-Corruption (UUTPK)</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Bribery/corruption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Up to life imprisonment; corporate liability under Article 20</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KPK / Court</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DHE violation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Export proceeds not deposited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Administrative sanctions; potential export licence suspension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rsidR="00E43EC4" w:rsidRDefault="00F83C66">
            <w:r>
              <w:rPr>
                <w:sz w:val="19"/>
                <w:szCs w:val="19"/>
              </w:rPr>
              <w:t>Bank Indonesia</w:t>
            </w:r>
          </w:p>
        </w:tc>
      </w:tr>
      <w:tr w:rsidR="00E43EC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Investment plan non-realisation</w:t>
            </w:r>
          </w:p>
        </w:tc>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Not meeting IDR 10B plan</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Warning; potential licence revocation</w:t>
            </w:r>
          </w:p>
        </w:tc>
        <w:tc>
          <w:tcPr>
            <w:tcW w:w="2360" w:type="dxa"/>
            <w:tcBorders>
              <w:top w:val="single" w:sz="1" w:space="0" w:color="CCCCCC"/>
              <w:left w:val="single" w:sz="1" w:space="0" w:color="CCCCCC"/>
              <w:bottom w:val="single" w:sz="1" w:space="0" w:color="CCCCCC"/>
              <w:right w:val="single" w:sz="1" w:space="0" w:color="CCCCCC"/>
            </w:tcBorders>
            <w:shd w:val="clear" w:color="auto" w:fill="EBF2FA"/>
            <w:tcMar>
              <w:top w:w="60" w:type="dxa"/>
              <w:left w:w="100" w:type="dxa"/>
              <w:bottom w:w="60" w:type="dxa"/>
              <w:right w:w="100" w:type="dxa"/>
            </w:tcMar>
            <w:vAlign w:val="center"/>
          </w:tcPr>
          <w:p w:rsidR="00E43EC4" w:rsidRDefault="00F83C66">
            <w:r>
              <w:rPr>
                <w:sz w:val="19"/>
                <w:szCs w:val="19"/>
              </w:rPr>
              <w:t>BKPM</w:t>
            </w:r>
          </w:p>
        </w:tc>
      </w:tr>
    </w:tbl>
    <w:p w:rsidR="00E43EC4" w:rsidRDefault="00F83C66">
      <w:r>
        <w:br w:type="page"/>
      </w:r>
    </w:p>
    <w:p w:rsidR="00E43EC4" w:rsidRDefault="00F83C66">
      <w:pPr>
        <w:pStyle w:val="Heading1"/>
      </w:pPr>
      <w:r>
        <w:lastRenderedPageBreak/>
        <w:t>20. How Comply Globally Supports Entry Indonesia</w:t>
      </w:r>
    </w:p>
    <w:p w:rsidR="00E43EC4" w:rsidRDefault="00F83C66">
      <w:pPr>
        <w:spacing w:after="120" w:line="276" w:lineRule="auto"/>
      </w:pPr>
      <w:r>
        <w:t>Comply Globally, a Connect Ventures Initiative, provides end-to-end advisory and execution support for Indian businesses entering the Indonesian market. Our integrated India-Indonesia service model covers both ends of the cross-border journey.</w:t>
      </w:r>
    </w:p>
    <w:p w:rsidR="00E43EC4" w:rsidRDefault="00F83C66">
      <w:pPr>
        <w:pStyle w:val="Heading2"/>
      </w:pPr>
      <w:r>
        <w:t>20.1 Our Ser</w:t>
      </w:r>
      <w:r>
        <w:t>vices</w:t>
      </w:r>
    </w:p>
    <w:p w:rsidR="00E43EC4" w:rsidRDefault="00F83C66">
      <w:pPr>
        <w:spacing w:after="120" w:line="276" w:lineRule="auto"/>
      </w:pPr>
      <w:r>
        <w:rPr>
          <w:b/>
          <w:bCs/>
        </w:rPr>
        <w:t xml:space="preserve">Pre-Entry Advisory: </w:t>
      </w:r>
      <w:r>
        <w:t>KBLI analysis, Positive Investment List assessment, FEMA ODI structuring, India-Indonesia DTAA planning, Tax Holiday/Allowance eligibility, SEZ strategy.</w:t>
      </w:r>
    </w:p>
    <w:p w:rsidR="00E43EC4" w:rsidRDefault="00F83C66">
      <w:pPr>
        <w:spacing w:after="120" w:line="276" w:lineRule="auto"/>
      </w:pPr>
      <w:r>
        <w:rPr>
          <w:b/>
          <w:bCs/>
        </w:rPr>
        <w:t xml:space="preserve">FEMA &amp; RBI Compliance: </w:t>
      </w:r>
      <w:r>
        <w:t>Form FC filing through AD bank, Annual Performance Re</w:t>
      </w:r>
      <w:r>
        <w:t>port (APR), Foreign Liabilities and Assets (FLA) Return, ongoing FEMA reporting.</w:t>
      </w:r>
    </w:p>
    <w:p w:rsidR="00E43EC4" w:rsidRDefault="00F83C66">
      <w:pPr>
        <w:spacing w:after="120" w:line="276" w:lineRule="auto"/>
      </w:pPr>
      <w:r>
        <w:rPr>
          <w:b/>
          <w:bCs/>
        </w:rPr>
        <w:t xml:space="preserve">Indonesian PT PMA Incorporation: </w:t>
      </w:r>
      <w:r>
        <w:t>Notary coordination, Kemenkumham registration, OSS-RBA licensing, NPWP/PKP registration, domicile letter, investment plan structuring.</w:t>
      </w:r>
    </w:p>
    <w:p w:rsidR="00E43EC4" w:rsidRDefault="00F83C66">
      <w:pPr>
        <w:spacing w:after="120" w:line="276" w:lineRule="auto"/>
      </w:pPr>
      <w:r>
        <w:rPr>
          <w:b/>
          <w:bCs/>
        </w:rPr>
        <w:t>Indones</w:t>
      </w:r>
      <w:r>
        <w:rPr>
          <w:b/>
          <w:bCs/>
        </w:rPr>
        <w:t xml:space="preserve">ian Tax Registration &amp; Advisory: </w:t>
      </w:r>
      <w:r>
        <w:t>CIT, VAT (PPN), WHT optimisation, Tax Holiday/Tax Allowance applications, transfer pricing documentation, Coretax system setup, e-Faktur compliance.</w:t>
      </w:r>
    </w:p>
    <w:p w:rsidR="00E43EC4" w:rsidRDefault="00F83C66">
      <w:pPr>
        <w:spacing w:after="120" w:line="276" w:lineRule="auto"/>
      </w:pPr>
      <w:r>
        <w:rPr>
          <w:b/>
          <w:bCs/>
        </w:rPr>
        <w:t xml:space="preserve">Indonesian Banking Support: </w:t>
      </w:r>
      <w:r>
        <w:t>Bank account opening with Bank Mandiri, BCA, B</w:t>
      </w:r>
      <w:r>
        <w:t>NI; KYC documentation preparation; DHE compliance.</w:t>
      </w:r>
    </w:p>
    <w:p w:rsidR="00E43EC4" w:rsidRDefault="00F83C66">
      <w:pPr>
        <w:spacing w:after="120" w:line="276" w:lineRule="auto"/>
      </w:pPr>
      <w:r>
        <w:rPr>
          <w:b/>
          <w:bCs/>
        </w:rPr>
        <w:t xml:space="preserve">Immigration Support: </w:t>
      </w:r>
      <w:r>
        <w:t>RPTKA approval, ITAS/KITAS applications, Investor KITAS, Director KITAS, visa extensions, companion TKA requirements.</w:t>
      </w:r>
    </w:p>
    <w:p w:rsidR="00E43EC4" w:rsidRDefault="00F83C66">
      <w:pPr>
        <w:spacing w:after="120" w:line="276" w:lineRule="auto"/>
      </w:pPr>
      <w:r>
        <w:rPr>
          <w:b/>
          <w:bCs/>
        </w:rPr>
        <w:t xml:space="preserve">Ongoing Indonesian Compliance: </w:t>
      </w:r>
      <w:r>
        <w:t>Monthly PPh/PPN filings via Coretax</w:t>
      </w:r>
      <w:r>
        <w:t>, BPJS administration, annual SPT Tahunan, LKPM quarterly reports, audited financial statements, OSS licence maintenance.</w:t>
      </w:r>
    </w:p>
    <w:p w:rsidR="00E43EC4" w:rsidRDefault="00F83C66">
      <w:pPr>
        <w:spacing w:after="120" w:line="276" w:lineRule="auto"/>
      </w:pPr>
      <w:r>
        <w:rPr>
          <w:b/>
          <w:bCs/>
        </w:rPr>
        <w:t xml:space="preserve">Indian Parent Compliance: </w:t>
      </w:r>
      <w:r>
        <w:t>Consolidated Financial Statements, Companies Act reporting, Form AOC-1, Foreign Tax Credit (FTC) claims unde</w:t>
      </w:r>
      <w:r>
        <w:t>r Section 90/Rule 128.</w:t>
      </w:r>
    </w:p>
    <w:p w:rsidR="00E43EC4" w:rsidRDefault="00F83C66">
      <w:pPr>
        <w:pStyle w:val="Heading2"/>
      </w:pPr>
      <w:r>
        <w:t>20.2 Contact Us</w:t>
      </w:r>
    </w:p>
    <w:p w:rsidR="00E43EC4" w:rsidRDefault="00E43EC4">
      <w:pPr>
        <w:spacing w:after="80"/>
      </w:pPr>
    </w:p>
    <w:p w:rsidR="00E43EC4" w:rsidRDefault="00F83C66">
      <w:pPr>
        <w:spacing w:after="120" w:line="276" w:lineRule="auto"/>
      </w:pPr>
      <w:r>
        <w:rPr>
          <w:b/>
          <w:bCs/>
        </w:rPr>
        <w:t>Comply Globally - A Connect Ventures Initiative</w:t>
      </w:r>
    </w:p>
    <w:p w:rsidR="00E43EC4" w:rsidRDefault="00F83C66">
      <w:pPr>
        <w:spacing w:after="120" w:line="276" w:lineRule="auto"/>
      </w:pPr>
      <w:r>
        <w:rPr>
          <w:b/>
          <w:bCs/>
        </w:rPr>
        <w:t xml:space="preserve">Email: </w:t>
      </w:r>
      <w:r>
        <w:t>anil.gupta@TheConnectVentures.com</w:t>
      </w:r>
    </w:p>
    <w:p w:rsidR="00E43EC4" w:rsidRDefault="00F83C66">
      <w:pPr>
        <w:spacing w:after="120" w:line="276" w:lineRule="auto"/>
      </w:pPr>
      <w:r>
        <w:rPr>
          <w:b/>
          <w:bCs/>
        </w:rPr>
        <w:t xml:space="preserve">Phone: </w:t>
      </w:r>
      <w:r>
        <w:t>+91 99999 81613 | +1 302 214 1717</w:t>
      </w:r>
    </w:p>
    <w:p w:rsidR="00E43EC4" w:rsidRDefault="00E43EC4">
      <w:pPr>
        <w:spacing w:after="80"/>
      </w:pPr>
    </w:p>
    <w:p w:rsidR="00E43EC4" w:rsidRDefault="00F83C66">
      <w:pPr>
        <w:spacing w:after="120" w:line="276" w:lineRule="auto"/>
      </w:pPr>
      <w:r>
        <w:t>We look forward to supporting your successful entry into the Indonesian market.</w:t>
      </w:r>
    </w:p>
    <w:sectPr w:rsidR="00E43EC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3C66" w:rsidRDefault="00F83C66">
      <w:r>
        <w:separator/>
      </w:r>
    </w:p>
  </w:endnote>
  <w:endnote w:type="continuationSeparator" w:id="0">
    <w:p w:rsidR="00F83C66" w:rsidRDefault="00F83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EC4" w:rsidRDefault="00F83C66">
    <w:pPr>
      <w:pBdr>
        <w:top w:val="single" w:sz="6" w:space="4" w:color="003366"/>
      </w:pBdr>
      <w:tabs>
        <w:tab w:val="right" w:pos="9360"/>
      </w:tabs>
    </w:pPr>
    <w:r>
      <w:rPr>
        <w:color w:val="666666"/>
        <w:sz w:val="14"/>
        <w:szCs w:val="14"/>
      </w:rPr>
      <w:t>Comply Globally - A Connect Ventures Initiative  |  anil.gupta@TheConnectVentures.com</w:t>
    </w:r>
    <w:r>
      <w:rPr>
        <w:sz w:val="14"/>
        <w:szCs w:val="14"/>
      </w:rPr>
      <w:tab/>
    </w:r>
    <w:r>
      <w:rPr>
        <w:color w:val="666666"/>
        <w:sz w:val="14"/>
        <w:szCs w:val="14"/>
      </w:rPr>
      <w:t xml:space="preserve">Page </w:t>
    </w:r>
    <w:r>
      <w:rPr>
        <w:color w:val="666666"/>
        <w:sz w:val="14"/>
        <w:szCs w:val="14"/>
      </w:rPr>
      <w:fldChar w:fldCharType="begin"/>
    </w:r>
    <w:r>
      <w:rPr>
        <w:color w:val="666666"/>
        <w:sz w:val="14"/>
        <w:szCs w:val="14"/>
      </w:rPr>
      <w:instrText>PAGE</w:instrText>
    </w:r>
    <w:r w:rsidR="006D3FA5">
      <w:rPr>
        <w:color w:val="666666"/>
        <w:sz w:val="14"/>
        <w:szCs w:val="14"/>
      </w:rPr>
      <w:fldChar w:fldCharType="separate"/>
    </w:r>
    <w:r w:rsidR="006D3FA5">
      <w:rPr>
        <w:noProof/>
        <w:color w:val="666666"/>
        <w:sz w:val="14"/>
        <w:szCs w:val="14"/>
      </w:rPr>
      <w:t>20</w:t>
    </w:r>
    <w:r>
      <w:rPr>
        <w:color w:val="666666"/>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3C66" w:rsidRDefault="00F83C66">
      <w:r>
        <w:separator/>
      </w:r>
    </w:p>
  </w:footnote>
  <w:footnote w:type="continuationSeparator" w:id="0">
    <w:p w:rsidR="00F83C66" w:rsidRDefault="00F83C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EC4" w:rsidRDefault="00F83C66">
    <w:pPr>
      <w:pBdr>
        <w:bottom w:val="single" w:sz="6" w:space="4" w:color="003366"/>
      </w:pBdr>
    </w:pPr>
    <w:r>
      <w:rPr>
        <w:b/>
        <w:bCs/>
        <w:color w:val="003366"/>
        <w:sz w:val="16"/>
        <w:szCs w:val="16"/>
      </w:rPr>
      <w:t>COMPLY GLOBALLY</w:t>
    </w:r>
    <w:r>
      <w:rPr>
        <w:color w:val="666666"/>
        <w:sz w:val="16"/>
        <w:szCs w:val="16"/>
      </w:rPr>
      <w:t xml:space="preserve">  |  Entry Indonesia Guide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E01E05"/>
    <w:multiLevelType w:val="hybridMultilevel"/>
    <w:tmpl w:val="B1941BCE"/>
    <w:lvl w:ilvl="0" w:tplc="1A8CF63A">
      <w:start w:val="1"/>
      <w:numFmt w:val="bullet"/>
      <w:lvlText w:val="●"/>
      <w:lvlJc w:val="left"/>
      <w:pPr>
        <w:ind w:left="720" w:hanging="360"/>
      </w:pPr>
    </w:lvl>
    <w:lvl w:ilvl="1" w:tplc="A78C57FC">
      <w:start w:val="1"/>
      <w:numFmt w:val="bullet"/>
      <w:lvlText w:val="○"/>
      <w:lvlJc w:val="left"/>
      <w:pPr>
        <w:ind w:left="1440" w:hanging="360"/>
      </w:pPr>
    </w:lvl>
    <w:lvl w:ilvl="2" w:tplc="E8464C8A">
      <w:start w:val="1"/>
      <w:numFmt w:val="bullet"/>
      <w:lvlText w:val="■"/>
      <w:lvlJc w:val="left"/>
      <w:pPr>
        <w:ind w:left="2160" w:hanging="360"/>
      </w:pPr>
    </w:lvl>
    <w:lvl w:ilvl="3" w:tplc="C254BC0E">
      <w:start w:val="1"/>
      <w:numFmt w:val="bullet"/>
      <w:lvlText w:val="●"/>
      <w:lvlJc w:val="left"/>
      <w:pPr>
        <w:ind w:left="2880" w:hanging="360"/>
      </w:pPr>
    </w:lvl>
    <w:lvl w:ilvl="4" w:tplc="D89A30E0">
      <w:start w:val="1"/>
      <w:numFmt w:val="bullet"/>
      <w:lvlText w:val="○"/>
      <w:lvlJc w:val="left"/>
      <w:pPr>
        <w:ind w:left="3600" w:hanging="360"/>
      </w:pPr>
    </w:lvl>
    <w:lvl w:ilvl="5" w:tplc="633EB3CA">
      <w:start w:val="1"/>
      <w:numFmt w:val="bullet"/>
      <w:lvlText w:val="■"/>
      <w:lvlJc w:val="left"/>
      <w:pPr>
        <w:ind w:left="4320" w:hanging="360"/>
      </w:pPr>
    </w:lvl>
    <w:lvl w:ilvl="6" w:tplc="E11ECF84">
      <w:start w:val="1"/>
      <w:numFmt w:val="bullet"/>
      <w:lvlText w:val="●"/>
      <w:lvlJc w:val="left"/>
      <w:pPr>
        <w:ind w:left="5040" w:hanging="360"/>
      </w:pPr>
    </w:lvl>
    <w:lvl w:ilvl="7" w:tplc="9316188E">
      <w:start w:val="1"/>
      <w:numFmt w:val="bullet"/>
      <w:lvlText w:val="●"/>
      <w:lvlJc w:val="left"/>
      <w:pPr>
        <w:ind w:left="5760" w:hanging="360"/>
      </w:pPr>
    </w:lvl>
    <w:lvl w:ilvl="8" w:tplc="495247F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43EC4"/>
    <w:rsid w:val="006D3FA5"/>
    <w:rsid w:val="00E43EC4"/>
    <w:rsid w:val="00F83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D3FA5"/>
    <w:rPr>
      <w:rFonts w:ascii="Tahoma" w:hAnsi="Tahoma" w:cs="Tahoma"/>
      <w:sz w:val="16"/>
      <w:szCs w:val="16"/>
    </w:rPr>
  </w:style>
  <w:style w:type="character" w:customStyle="1" w:styleId="BalloonTextChar">
    <w:name w:val="Balloon Text Char"/>
    <w:basedOn w:val="DefaultParagraphFont"/>
    <w:link w:val="BalloonText"/>
    <w:uiPriority w:val="99"/>
    <w:semiHidden/>
    <w:rsid w:val="006D3F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03366"/>
      <w:sz w:val="36"/>
      <w:szCs w:val="36"/>
    </w:rPr>
  </w:style>
  <w:style w:type="paragraph" w:styleId="Heading2">
    <w:name w:val="heading 2"/>
    <w:qFormat/>
    <w:pPr>
      <w:spacing w:before="240" w:after="160"/>
      <w:outlineLvl w:val="1"/>
    </w:pPr>
    <w:rPr>
      <w:b/>
      <w:bCs/>
      <w:color w:val="0066CC"/>
      <w:sz w:val="28"/>
      <w:szCs w:val="28"/>
    </w:rPr>
  </w:style>
  <w:style w:type="paragraph" w:styleId="Heading3">
    <w:name w:val="heading 3"/>
    <w:qFormat/>
    <w:pPr>
      <w:spacing w:before="200" w:after="120"/>
      <w:outlineLvl w:val="2"/>
    </w:pPr>
    <w:rPr>
      <w:b/>
      <w:bCs/>
      <w:color w:val="1A1A2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6D3FA5"/>
    <w:rPr>
      <w:rFonts w:ascii="Tahoma" w:hAnsi="Tahoma" w:cs="Tahoma"/>
      <w:sz w:val="16"/>
      <w:szCs w:val="16"/>
    </w:rPr>
  </w:style>
  <w:style w:type="character" w:customStyle="1" w:styleId="BalloonTextChar">
    <w:name w:val="Balloon Text Char"/>
    <w:basedOn w:val="DefaultParagraphFont"/>
    <w:link w:val="BalloonText"/>
    <w:uiPriority w:val="99"/>
    <w:semiHidden/>
    <w:rsid w:val="006D3F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26</Pages>
  <Words>7034</Words>
  <Characters>40096</Characters>
  <Application>Microsoft Office Word</Application>
  <DocSecurity>0</DocSecurity>
  <Lines>334</Lines>
  <Paragraphs>94</Paragraphs>
  <ScaleCrop>false</ScaleCrop>
  <Company/>
  <LinksUpToDate>false</LinksUpToDate>
  <CharactersWithSpaces>47036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cp:revision>
  <dcterms:created xsi:type="dcterms:W3CDTF">2026-04-17T07:15:00Z</dcterms:created>
  <dcterms:modified xsi:type="dcterms:W3CDTF">2026-05-21T12:39:00Z</dcterms:modified>
</cp:coreProperties>
</file>