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2EC0" w:rsidRDefault="00C82EC0">
      <w:pPr>
        <w:spacing w:before="2400"/>
      </w:pPr>
    </w:p>
    <w:p w:rsidR="00C82EC0" w:rsidRDefault="00CA1EFB">
      <w:pPr>
        <w:spacing w:after="200"/>
        <w:jc w:val="center"/>
      </w:pPr>
      <w:r>
        <w:rPr>
          <w:b/>
          <w:bCs/>
          <w:color w:val="003366"/>
          <w:sz w:val="48"/>
          <w:szCs w:val="48"/>
        </w:rPr>
        <w:t>COMPLY GLOBALLY</w:t>
      </w:r>
    </w:p>
    <w:p w:rsidR="00C82EC0" w:rsidRDefault="00CA1EFB">
      <w:pPr>
        <w:spacing w:after="100"/>
        <w:jc w:val="center"/>
      </w:pPr>
      <w:r>
        <w:rPr>
          <w:color w:val="666666"/>
          <w:sz w:val="24"/>
          <w:szCs w:val="24"/>
        </w:rPr>
        <w:t>A Connect Ventures Initiative</w:t>
      </w:r>
    </w:p>
    <w:p w:rsidR="00C82EC0" w:rsidRDefault="00CA1EFB">
      <w:pPr>
        <w:spacing w:after="600"/>
        <w:jc w:val="center"/>
      </w:pPr>
      <w:r>
        <w:rPr>
          <w:color w:val="FF6600"/>
          <w:sz w:val="24"/>
          <w:szCs w:val="24"/>
        </w:rPr>
        <w:t>___________________________________</w:t>
      </w:r>
    </w:p>
    <w:p w:rsidR="00C82EC0" w:rsidRDefault="00CA1EFB">
      <w:pPr>
        <w:spacing w:after="200"/>
        <w:jc w:val="center"/>
      </w:pPr>
      <w:r>
        <w:rPr>
          <w:b/>
          <w:bCs/>
          <w:color w:val="1A1A2E"/>
          <w:sz w:val="52"/>
          <w:szCs w:val="52"/>
        </w:rPr>
        <w:t>ENTRY THAILAND</w:t>
      </w:r>
    </w:p>
    <w:p w:rsidR="00C82EC0" w:rsidRDefault="00CA1EFB">
      <w:pPr>
        <w:spacing w:after="200"/>
        <w:jc w:val="center"/>
      </w:pPr>
      <w:r>
        <w:rPr>
          <w:color w:val="666666"/>
          <w:sz w:val="28"/>
          <w:szCs w:val="28"/>
        </w:rPr>
        <w:t>Comprehensive Country Guide for</w:t>
      </w:r>
    </w:p>
    <w:p w:rsidR="00C82EC0" w:rsidRDefault="00CA1EFB">
      <w:pPr>
        <w:spacing w:after="200"/>
        <w:jc w:val="center"/>
      </w:pPr>
      <w:r>
        <w:rPr>
          <w:color w:val="0066CC"/>
          <w:sz w:val="28"/>
          <w:szCs w:val="28"/>
        </w:rPr>
        <w:t>Indian Entrepreneurs, Investors &amp; Expansion-Stage Companies</w:t>
      </w:r>
    </w:p>
    <w:p w:rsidR="00C82EC0" w:rsidRDefault="00CA1EFB">
      <w:pPr>
        <w:spacing w:after="600"/>
        <w:jc w:val="center"/>
      </w:pPr>
      <w:r>
        <w:rPr>
          <w:color w:val="666666"/>
        </w:rPr>
        <w:t>Compliance | Taxation | Market Entry | Operations</w:t>
      </w:r>
    </w:p>
    <w:p w:rsidR="00C82EC0" w:rsidRDefault="00CA1EFB">
      <w:pPr>
        <w:spacing w:after="200"/>
        <w:jc w:val="center"/>
      </w:pPr>
      <w:r>
        <w:rPr>
          <w:b/>
          <w:bCs/>
          <w:color w:val="FF6600"/>
          <w:sz w:val="28"/>
          <w:szCs w:val="28"/>
        </w:rPr>
        <w:t>2026 Edition</w:t>
      </w:r>
    </w:p>
    <w:p w:rsidR="00C82EC0" w:rsidRDefault="00CA1EFB">
      <w:pPr>
        <w:spacing w:before="1200"/>
        <w:jc w:val="center"/>
      </w:pPr>
      <w:r>
        <w:rPr>
          <w:color w:val="666666"/>
          <w:sz w:val="20"/>
          <w:szCs w:val="20"/>
        </w:rPr>
        <w:t xml:space="preserve">Contact: </w:t>
      </w:r>
      <w:hyperlink r:id="rId8" w:history="1">
        <w:r w:rsidR="0051621E" w:rsidRPr="00A969E2">
          <w:rPr>
            <w:rStyle w:val="Hyperlink"/>
            <w:sz w:val="20"/>
            <w:szCs w:val="20"/>
          </w:rPr>
          <w:t>anil.gupta@TheConnectVentures.com</w:t>
        </w:r>
      </w:hyperlink>
      <w:r w:rsidR="0051621E">
        <w:rPr>
          <w:color w:val="666666"/>
          <w:sz w:val="20"/>
          <w:szCs w:val="20"/>
        </w:rPr>
        <w:t xml:space="preserve"> </w:t>
      </w:r>
    </w:p>
    <w:p w:rsidR="00C82EC0" w:rsidRDefault="00CA1EFB">
      <w:pPr>
        <w:jc w:val="center"/>
      </w:pPr>
      <w:r>
        <w:rPr>
          <w:color w:val="666666"/>
          <w:sz w:val="20"/>
          <w:szCs w:val="20"/>
        </w:rPr>
        <w:t>Phone: +91 99999 81613 | +1 302 214 1717</w:t>
      </w:r>
    </w:p>
    <w:p w:rsidR="00C82EC0" w:rsidRDefault="00CA1EFB">
      <w:pPr>
        <w:spacing w:after="200"/>
        <w:jc w:val="center"/>
      </w:pPr>
      <w:r>
        <w:rPr>
          <w:color w:val="999999"/>
          <w:sz w:val="16"/>
          <w:szCs w:val="16"/>
        </w:rPr>
        <w:t>Disclaimer: This guide is for informational purposes only and does not constitute legal or tax advice. Users should verify all information independently.</w:t>
      </w:r>
    </w:p>
    <w:p w:rsidR="00C82EC0" w:rsidRDefault="00CA1EFB">
      <w:r>
        <w:br w:type="page"/>
      </w:r>
    </w:p>
    <w:p w:rsidR="00C82EC0" w:rsidRDefault="00CA1EFB">
      <w:pPr>
        <w:spacing w:after="400"/>
        <w:jc w:val="center"/>
      </w:pPr>
      <w:r>
        <w:rPr>
          <w:b/>
          <w:bCs/>
          <w:color w:val="003366"/>
          <w:sz w:val="36"/>
          <w:szCs w:val="36"/>
        </w:rPr>
        <w:lastRenderedPageBreak/>
        <w:t>TABLE OF CONTENT</w:t>
      </w:r>
      <w:r>
        <w:rPr>
          <w:b/>
          <w:bCs/>
          <w:color w:val="003366"/>
          <w:sz w:val="36"/>
          <w:szCs w:val="36"/>
        </w:rPr>
        <w:t>S</w:t>
      </w:r>
    </w:p>
    <w:sdt>
      <w:sdtPr>
        <w:alias w:val="Table of Contents"/>
        <w:id w:val="634457935"/>
      </w:sdtPr>
      <w:sdtEndPr/>
      <w:sdtContent>
        <w:p w:rsidR="0051621E" w:rsidRDefault="00CA1EFB">
          <w:pPr>
            <w:pStyle w:val="TOC1"/>
            <w:tabs>
              <w:tab w:val="right" w:leader="dot" w:pos="9350"/>
            </w:tabs>
            <w:rPr>
              <w:noProof/>
            </w:rPr>
          </w:pPr>
          <w:r>
            <w:fldChar w:fldCharType="begin"/>
          </w:r>
          <w:r>
            <w:instrText>TOC \h \o "1-3"</w:instrText>
          </w:r>
          <w:r>
            <w:fldChar w:fldCharType="separate"/>
          </w:r>
          <w:hyperlink w:anchor="_Toc230279676" w:history="1">
            <w:r w:rsidR="0051621E" w:rsidRPr="00CC31CE">
              <w:rPr>
                <w:rStyle w:val="Hyperlink"/>
                <w:noProof/>
              </w:rPr>
              <w:t>1. Executive Overview</w:t>
            </w:r>
            <w:r w:rsidR="0051621E">
              <w:rPr>
                <w:noProof/>
              </w:rPr>
              <w:tab/>
            </w:r>
            <w:r w:rsidR="0051621E">
              <w:rPr>
                <w:noProof/>
              </w:rPr>
              <w:fldChar w:fldCharType="begin"/>
            </w:r>
            <w:r w:rsidR="0051621E">
              <w:rPr>
                <w:noProof/>
              </w:rPr>
              <w:instrText xml:space="preserve"> PAGEREF _Toc230279676 \h </w:instrText>
            </w:r>
            <w:r w:rsidR="0051621E">
              <w:rPr>
                <w:noProof/>
              </w:rPr>
            </w:r>
            <w:r w:rsidR="0051621E">
              <w:rPr>
                <w:noProof/>
              </w:rPr>
              <w:fldChar w:fldCharType="separate"/>
            </w:r>
            <w:r w:rsidR="0051621E">
              <w:rPr>
                <w:noProof/>
              </w:rPr>
              <w:t>5</w:t>
            </w:r>
            <w:r w:rsidR="0051621E">
              <w:rPr>
                <w:noProof/>
              </w:rPr>
              <w:fldChar w:fldCharType="end"/>
            </w:r>
          </w:hyperlink>
        </w:p>
        <w:p w:rsidR="0051621E" w:rsidRDefault="0051621E">
          <w:pPr>
            <w:pStyle w:val="TOC2"/>
            <w:tabs>
              <w:tab w:val="right" w:leader="dot" w:pos="9350"/>
            </w:tabs>
            <w:rPr>
              <w:noProof/>
            </w:rPr>
          </w:pPr>
          <w:hyperlink w:anchor="_Toc230279677" w:history="1">
            <w:r w:rsidRPr="00CC31CE">
              <w:rPr>
                <w:rStyle w:val="Hyperlink"/>
                <w:noProof/>
              </w:rPr>
              <w:t>1.1 Why Thailand?</w:t>
            </w:r>
            <w:r>
              <w:rPr>
                <w:noProof/>
              </w:rPr>
              <w:tab/>
            </w:r>
            <w:r>
              <w:rPr>
                <w:noProof/>
              </w:rPr>
              <w:fldChar w:fldCharType="begin"/>
            </w:r>
            <w:r>
              <w:rPr>
                <w:noProof/>
              </w:rPr>
              <w:instrText xml:space="preserve"> PAGEREF _Toc230279677 \h </w:instrText>
            </w:r>
            <w:r>
              <w:rPr>
                <w:noProof/>
              </w:rPr>
            </w:r>
            <w:r>
              <w:rPr>
                <w:noProof/>
              </w:rPr>
              <w:fldChar w:fldCharType="separate"/>
            </w:r>
            <w:r>
              <w:rPr>
                <w:noProof/>
              </w:rPr>
              <w:t>5</w:t>
            </w:r>
            <w:r>
              <w:rPr>
                <w:noProof/>
              </w:rPr>
              <w:fldChar w:fldCharType="end"/>
            </w:r>
          </w:hyperlink>
        </w:p>
        <w:p w:rsidR="0051621E" w:rsidRDefault="0051621E">
          <w:pPr>
            <w:pStyle w:val="TOC2"/>
            <w:tabs>
              <w:tab w:val="right" w:leader="dot" w:pos="9350"/>
            </w:tabs>
            <w:rPr>
              <w:noProof/>
            </w:rPr>
          </w:pPr>
          <w:hyperlink w:anchor="_Toc230279678" w:history="1">
            <w:r w:rsidRPr="00CC31CE">
              <w:rPr>
                <w:rStyle w:val="Hyperlink"/>
                <w:noProof/>
              </w:rPr>
              <w:t>1.2 Typical Entry Timelines and Cost Ranges</w:t>
            </w:r>
            <w:r>
              <w:rPr>
                <w:noProof/>
              </w:rPr>
              <w:tab/>
            </w:r>
            <w:r>
              <w:rPr>
                <w:noProof/>
              </w:rPr>
              <w:fldChar w:fldCharType="begin"/>
            </w:r>
            <w:r>
              <w:rPr>
                <w:noProof/>
              </w:rPr>
              <w:instrText xml:space="preserve"> PAGEREF _Toc230279678 \h </w:instrText>
            </w:r>
            <w:r>
              <w:rPr>
                <w:noProof/>
              </w:rPr>
            </w:r>
            <w:r>
              <w:rPr>
                <w:noProof/>
              </w:rPr>
              <w:fldChar w:fldCharType="separate"/>
            </w:r>
            <w:r>
              <w:rPr>
                <w:noProof/>
              </w:rPr>
              <w:t>5</w:t>
            </w:r>
            <w:r>
              <w:rPr>
                <w:noProof/>
              </w:rPr>
              <w:fldChar w:fldCharType="end"/>
            </w:r>
          </w:hyperlink>
        </w:p>
        <w:p w:rsidR="0051621E" w:rsidRDefault="0051621E">
          <w:pPr>
            <w:pStyle w:val="TOC1"/>
            <w:tabs>
              <w:tab w:val="right" w:leader="dot" w:pos="9350"/>
            </w:tabs>
            <w:rPr>
              <w:noProof/>
            </w:rPr>
          </w:pPr>
          <w:hyperlink w:anchor="_Toc230279679" w:history="1">
            <w:r w:rsidRPr="00CC31CE">
              <w:rPr>
                <w:rStyle w:val="Hyperlink"/>
                <w:noProof/>
              </w:rPr>
              <w:t>2. Country Snapshot</w:t>
            </w:r>
            <w:r>
              <w:rPr>
                <w:noProof/>
              </w:rPr>
              <w:tab/>
            </w:r>
            <w:r>
              <w:rPr>
                <w:noProof/>
              </w:rPr>
              <w:fldChar w:fldCharType="begin"/>
            </w:r>
            <w:r>
              <w:rPr>
                <w:noProof/>
              </w:rPr>
              <w:instrText xml:space="preserve"> PAGEREF _Toc230279679 \h </w:instrText>
            </w:r>
            <w:r>
              <w:rPr>
                <w:noProof/>
              </w:rPr>
            </w:r>
            <w:r>
              <w:rPr>
                <w:noProof/>
              </w:rPr>
              <w:fldChar w:fldCharType="separate"/>
            </w:r>
            <w:r>
              <w:rPr>
                <w:noProof/>
              </w:rPr>
              <w:t>6</w:t>
            </w:r>
            <w:r>
              <w:rPr>
                <w:noProof/>
              </w:rPr>
              <w:fldChar w:fldCharType="end"/>
            </w:r>
          </w:hyperlink>
        </w:p>
        <w:p w:rsidR="0051621E" w:rsidRDefault="0051621E">
          <w:pPr>
            <w:pStyle w:val="TOC2"/>
            <w:tabs>
              <w:tab w:val="right" w:leader="dot" w:pos="9350"/>
            </w:tabs>
            <w:rPr>
              <w:noProof/>
            </w:rPr>
          </w:pPr>
          <w:hyperlink w:anchor="_Toc230279680" w:history="1">
            <w:r w:rsidRPr="00CC31CE">
              <w:rPr>
                <w:rStyle w:val="Hyperlink"/>
                <w:noProof/>
              </w:rPr>
              <w:t>2.1 Political and Economic Overview</w:t>
            </w:r>
            <w:r>
              <w:rPr>
                <w:noProof/>
              </w:rPr>
              <w:tab/>
            </w:r>
            <w:r>
              <w:rPr>
                <w:noProof/>
              </w:rPr>
              <w:fldChar w:fldCharType="begin"/>
            </w:r>
            <w:r>
              <w:rPr>
                <w:noProof/>
              </w:rPr>
              <w:instrText xml:space="preserve"> PAGEREF _Toc230279680 \h </w:instrText>
            </w:r>
            <w:r>
              <w:rPr>
                <w:noProof/>
              </w:rPr>
            </w:r>
            <w:r>
              <w:rPr>
                <w:noProof/>
              </w:rPr>
              <w:fldChar w:fldCharType="separate"/>
            </w:r>
            <w:r>
              <w:rPr>
                <w:noProof/>
              </w:rPr>
              <w:t>6</w:t>
            </w:r>
            <w:r>
              <w:rPr>
                <w:noProof/>
              </w:rPr>
              <w:fldChar w:fldCharType="end"/>
            </w:r>
          </w:hyperlink>
        </w:p>
        <w:p w:rsidR="0051621E" w:rsidRDefault="0051621E">
          <w:pPr>
            <w:pStyle w:val="TOC2"/>
            <w:tabs>
              <w:tab w:val="right" w:leader="dot" w:pos="9350"/>
            </w:tabs>
            <w:rPr>
              <w:noProof/>
            </w:rPr>
          </w:pPr>
          <w:hyperlink w:anchor="_Toc230279681" w:history="1">
            <w:r w:rsidRPr="00CC31CE">
              <w:rPr>
                <w:rStyle w:val="Hyperlink"/>
                <w:noProof/>
              </w:rPr>
              <w:t>2.2 Demographics and Key Economic Hubs</w:t>
            </w:r>
            <w:r>
              <w:rPr>
                <w:noProof/>
              </w:rPr>
              <w:tab/>
            </w:r>
            <w:r>
              <w:rPr>
                <w:noProof/>
              </w:rPr>
              <w:fldChar w:fldCharType="begin"/>
            </w:r>
            <w:r>
              <w:rPr>
                <w:noProof/>
              </w:rPr>
              <w:instrText xml:space="preserve"> PAGEREF _Toc230279681 \h </w:instrText>
            </w:r>
            <w:r>
              <w:rPr>
                <w:noProof/>
              </w:rPr>
            </w:r>
            <w:r>
              <w:rPr>
                <w:noProof/>
              </w:rPr>
              <w:fldChar w:fldCharType="separate"/>
            </w:r>
            <w:r>
              <w:rPr>
                <w:noProof/>
              </w:rPr>
              <w:t>6</w:t>
            </w:r>
            <w:r>
              <w:rPr>
                <w:noProof/>
              </w:rPr>
              <w:fldChar w:fldCharType="end"/>
            </w:r>
          </w:hyperlink>
        </w:p>
        <w:p w:rsidR="0051621E" w:rsidRDefault="0051621E">
          <w:pPr>
            <w:pStyle w:val="TOC2"/>
            <w:tabs>
              <w:tab w:val="right" w:leader="dot" w:pos="9350"/>
            </w:tabs>
            <w:rPr>
              <w:noProof/>
            </w:rPr>
          </w:pPr>
          <w:hyperlink w:anchor="_Toc230279682" w:history="1">
            <w:r w:rsidRPr="00CC31CE">
              <w:rPr>
                <w:rStyle w:val="Hyperlink"/>
                <w:noProof/>
              </w:rPr>
              <w:t>2.3 Trade Agreements and Tax Treaties</w:t>
            </w:r>
            <w:r>
              <w:rPr>
                <w:noProof/>
              </w:rPr>
              <w:tab/>
            </w:r>
            <w:r>
              <w:rPr>
                <w:noProof/>
              </w:rPr>
              <w:fldChar w:fldCharType="begin"/>
            </w:r>
            <w:r>
              <w:rPr>
                <w:noProof/>
              </w:rPr>
              <w:instrText xml:space="preserve"> PAGEREF _Toc230279682 \h </w:instrText>
            </w:r>
            <w:r>
              <w:rPr>
                <w:noProof/>
              </w:rPr>
            </w:r>
            <w:r>
              <w:rPr>
                <w:noProof/>
              </w:rPr>
              <w:fldChar w:fldCharType="separate"/>
            </w:r>
            <w:r>
              <w:rPr>
                <w:noProof/>
              </w:rPr>
              <w:t>6</w:t>
            </w:r>
            <w:r>
              <w:rPr>
                <w:noProof/>
              </w:rPr>
              <w:fldChar w:fldCharType="end"/>
            </w:r>
          </w:hyperlink>
        </w:p>
        <w:p w:rsidR="0051621E" w:rsidRDefault="0051621E">
          <w:pPr>
            <w:pStyle w:val="TOC1"/>
            <w:tabs>
              <w:tab w:val="right" w:leader="dot" w:pos="9350"/>
            </w:tabs>
            <w:rPr>
              <w:noProof/>
            </w:rPr>
          </w:pPr>
          <w:hyperlink w:anchor="_Toc230279683" w:history="1">
            <w:r w:rsidRPr="00CC31CE">
              <w:rPr>
                <w:rStyle w:val="Hyperlink"/>
                <w:noProof/>
              </w:rPr>
              <w:t>3. Investment Climate &amp; Business Environment</w:t>
            </w:r>
            <w:r>
              <w:rPr>
                <w:noProof/>
              </w:rPr>
              <w:tab/>
            </w:r>
            <w:r>
              <w:rPr>
                <w:noProof/>
              </w:rPr>
              <w:fldChar w:fldCharType="begin"/>
            </w:r>
            <w:r>
              <w:rPr>
                <w:noProof/>
              </w:rPr>
              <w:instrText xml:space="preserve"> PAGEREF _Toc230279683 \h </w:instrText>
            </w:r>
            <w:r>
              <w:rPr>
                <w:noProof/>
              </w:rPr>
            </w:r>
            <w:r>
              <w:rPr>
                <w:noProof/>
              </w:rPr>
              <w:fldChar w:fldCharType="separate"/>
            </w:r>
            <w:r>
              <w:rPr>
                <w:noProof/>
              </w:rPr>
              <w:t>7</w:t>
            </w:r>
            <w:r>
              <w:rPr>
                <w:noProof/>
              </w:rPr>
              <w:fldChar w:fldCharType="end"/>
            </w:r>
          </w:hyperlink>
        </w:p>
        <w:p w:rsidR="0051621E" w:rsidRDefault="0051621E">
          <w:pPr>
            <w:pStyle w:val="TOC2"/>
            <w:tabs>
              <w:tab w:val="right" w:leader="dot" w:pos="9350"/>
            </w:tabs>
            <w:rPr>
              <w:noProof/>
            </w:rPr>
          </w:pPr>
          <w:hyperlink w:anchor="_Toc230279684" w:history="1">
            <w:r w:rsidRPr="00CC31CE">
              <w:rPr>
                <w:rStyle w:val="Hyperlink"/>
                <w:noProof/>
              </w:rPr>
              <w:t>3.1 Openness to Foreign Investment</w:t>
            </w:r>
            <w:r>
              <w:rPr>
                <w:noProof/>
              </w:rPr>
              <w:tab/>
            </w:r>
            <w:r>
              <w:rPr>
                <w:noProof/>
              </w:rPr>
              <w:fldChar w:fldCharType="begin"/>
            </w:r>
            <w:r>
              <w:rPr>
                <w:noProof/>
              </w:rPr>
              <w:instrText xml:space="preserve"> PAGEREF _Toc230279684 \h </w:instrText>
            </w:r>
            <w:r>
              <w:rPr>
                <w:noProof/>
              </w:rPr>
            </w:r>
            <w:r>
              <w:rPr>
                <w:noProof/>
              </w:rPr>
              <w:fldChar w:fldCharType="separate"/>
            </w:r>
            <w:r>
              <w:rPr>
                <w:noProof/>
              </w:rPr>
              <w:t>7</w:t>
            </w:r>
            <w:r>
              <w:rPr>
                <w:noProof/>
              </w:rPr>
              <w:fldChar w:fldCharType="end"/>
            </w:r>
          </w:hyperlink>
        </w:p>
        <w:p w:rsidR="0051621E" w:rsidRDefault="0051621E">
          <w:pPr>
            <w:pStyle w:val="TOC2"/>
            <w:tabs>
              <w:tab w:val="right" w:leader="dot" w:pos="9350"/>
            </w:tabs>
            <w:rPr>
              <w:noProof/>
            </w:rPr>
          </w:pPr>
          <w:hyperlink w:anchor="_Toc230279685" w:history="1">
            <w:r w:rsidRPr="00CC31CE">
              <w:rPr>
                <w:rStyle w:val="Hyperlink"/>
                <w:noProof/>
              </w:rPr>
              <w:t>3.2 Ease of Doing Business</w:t>
            </w:r>
            <w:r>
              <w:rPr>
                <w:noProof/>
              </w:rPr>
              <w:tab/>
            </w:r>
            <w:r>
              <w:rPr>
                <w:noProof/>
              </w:rPr>
              <w:fldChar w:fldCharType="begin"/>
            </w:r>
            <w:r>
              <w:rPr>
                <w:noProof/>
              </w:rPr>
              <w:instrText xml:space="preserve"> PAGEREF _Toc230279685 \h </w:instrText>
            </w:r>
            <w:r>
              <w:rPr>
                <w:noProof/>
              </w:rPr>
            </w:r>
            <w:r>
              <w:rPr>
                <w:noProof/>
              </w:rPr>
              <w:fldChar w:fldCharType="separate"/>
            </w:r>
            <w:r>
              <w:rPr>
                <w:noProof/>
              </w:rPr>
              <w:t>7</w:t>
            </w:r>
            <w:r>
              <w:rPr>
                <w:noProof/>
              </w:rPr>
              <w:fldChar w:fldCharType="end"/>
            </w:r>
          </w:hyperlink>
        </w:p>
        <w:p w:rsidR="0051621E" w:rsidRDefault="0051621E">
          <w:pPr>
            <w:pStyle w:val="TOC2"/>
            <w:tabs>
              <w:tab w:val="right" w:leader="dot" w:pos="9350"/>
            </w:tabs>
            <w:rPr>
              <w:noProof/>
            </w:rPr>
          </w:pPr>
          <w:hyperlink w:anchor="_Toc230279686" w:history="1">
            <w:r w:rsidRPr="00CC31CE">
              <w:rPr>
                <w:rStyle w:val="Hyperlink"/>
                <w:noProof/>
              </w:rPr>
              <w:t>3.3 Priority Sectors and Incentives</w:t>
            </w:r>
            <w:r>
              <w:rPr>
                <w:noProof/>
              </w:rPr>
              <w:tab/>
            </w:r>
            <w:r>
              <w:rPr>
                <w:noProof/>
              </w:rPr>
              <w:fldChar w:fldCharType="begin"/>
            </w:r>
            <w:r>
              <w:rPr>
                <w:noProof/>
              </w:rPr>
              <w:instrText xml:space="preserve"> PAGEREF _Toc230279686 \h </w:instrText>
            </w:r>
            <w:r>
              <w:rPr>
                <w:noProof/>
              </w:rPr>
            </w:r>
            <w:r>
              <w:rPr>
                <w:noProof/>
              </w:rPr>
              <w:fldChar w:fldCharType="separate"/>
            </w:r>
            <w:r>
              <w:rPr>
                <w:noProof/>
              </w:rPr>
              <w:t>7</w:t>
            </w:r>
            <w:r>
              <w:rPr>
                <w:noProof/>
              </w:rPr>
              <w:fldChar w:fldCharType="end"/>
            </w:r>
          </w:hyperlink>
        </w:p>
        <w:p w:rsidR="0051621E" w:rsidRDefault="0051621E">
          <w:pPr>
            <w:pStyle w:val="TOC1"/>
            <w:tabs>
              <w:tab w:val="right" w:leader="dot" w:pos="9350"/>
            </w:tabs>
            <w:rPr>
              <w:noProof/>
            </w:rPr>
          </w:pPr>
          <w:hyperlink w:anchor="_Toc230279687" w:history="1">
            <w:r w:rsidRPr="00CC31CE">
              <w:rPr>
                <w:rStyle w:val="Hyperlink"/>
                <w:noProof/>
              </w:rPr>
              <w:t>4. Market Entry Strategy</w:t>
            </w:r>
            <w:r>
              <w:rPr>
                <w:noProof/>
              </w:rPr>
              <w:tab/>
            </w:r>
            <w:r>
              <w:rPr>
                <w:noProof/>
              </w:rPr>
              <w:fldChar w:fldCharType="begin"/>
            </w:r>
            <w:r>
              <w:rPr>
                <w:noProof/>
              </w:rPr>
              <w:instrText xml:space="preserve"> PAGEREF _Toc230279687 \h </w:instrText>
            </w:r>
            <w:r>
              <w:rPr>
                <w:noProof/>
              </w:rPr>
            </w:r>
            <w:r>
              <w:rPr>
                <w:noProof/>
              </w:rPr>
              <w:fldChar w:fldCharType="separate"/>
            </w:r>
            <w:r>
              <w:rPr>
                <w:noProof/>
              </w:rPr>
              <w:t>8</w:t>
            </w:r>
            <w:r>
              <w:rPr>
                <w:noProof/>
              </w:rPr>
              <w:fldChar w:fldCharType="end"/>
            </w:r>
          </w:hyperlink>
        </w:p>
        <w:p w:rsidR="0051621E" w:rsidRDefault="0051621E">
          <w:pPr>
            <w:pStyle w:val="TOC2"/>
            <w:tabs>
              <w:tab w:val="right" w:leader="dot" w:pos="9350"/>
            </w:tabs>
            <w:rPr>
              <w:noProof/>
            </w:rPr>
          </w:pPr>
          <w:hyperlink w:anchor="_Toc230279688" w:history="1">
            <w:r w:rsidRPr="00CC31CE">
              <w:rPr>
                <w:rStyle w:val="Hyperlink"/>
                <w:noProof/>
              </w:rPr>
              <w:t>4.1 Go-to-Market Models</w:t>
            </w:r>
            <w:r>
              <w:rPr>
                <w:noProof/>
              </w:rPr>
              <w:tab/>
            </w:r>
            <w:r>
              <w:rPr>
                <w:noProof/>
              </w:rPr>
              <w:fldChar w:fldCharType="begin"/>
            </w:r>
            <w:r>
              <w:rPr>
                <w:noProof/>
              </w:rPr>
              <w:instrText xml:space="preserve"> PAGEREF _Toc230279688 \h </w:instrText>
            </w:r>
            <w:r>
              <w:rPr>
                <w:noProof/>
              </w:rPr>
            </w:r>
            <w:r>
              <w:rPr>
                <w:noProof/>
              </w:rPr>
              <w:fldChar w:fldCharType="separate"/>
            </w:r>
            <w:r>
              <w:rPr>
                <w:noProof/>
              </w:rPr>
              <w:t>8</w:t>
            </w:r>
            <w:r>
              <w:rPr>
                <w:noProof/>
              </w:rPr>
              <w:fldChar w:fldCharType="end"/>
            </w:r>
          </w:hyperlink>
        </w:p>
        <w:p w:rsidR="0051621E" w:rsidRDefault="0051621E">
          <w:pPr>
            <w:pStyle w:val="TOC2"/>
            <w:tabs>
              <w:tab w:val="right" w:leader="dot" w:pos="9350"/>
            </w:tabs>
            <w:rPr>
              <w:noProof/>
            </w:rPr>
          </w:pPr>
          <w:hyperlink w:anchor="_Toc230279689" w:history="1">
            <w:r w:rsidRPr="00CC31CE">
              <w:rPr>
                <w:rStyle w:val="Hyperlink"/>
                <w:noProof/>
              </w:rPr>
              <w:t>4.2 Strategic Considerations</w:t>
            </w:r>
            <w:r>
              <w:rPr>
                <w:noProof/>
              </w:rPr>
              <w:tab/>
            </w:r>
            <w:r>
              <w:rPr>
                <w:noProof/>
              </w:rPr>
              <w:fldChar w:fldCharType="begin"/>
            </w:r>
            <w:r>
              <w:rPr>
                <w:noProof/>
              </w:rPr>
              <w:instrText xml:space="preserve"> PAGEREF _Toc230279689 \h </w:instrText>
            </w:r>
            <w:r>
              <w:rPr>
                <w:noProof/>
              </w:rPr>
            </w:r>
            <w:r>
              <w:rPr>
                <w:noProof/>
              </w:rPr>
              <w:fldChar w:fldCharType="separate"/>
            </w:r>
            <w:r>
              <w:rPr>
                <w:noProof/>
              </w:rPr>
              <w:t>8</w:t>
            </w:r>
            <w:r>
              <w:rPr>
                <w:noProof/>
              </w:rPr>
              <w:fldChar w:fldCharType="end"/>
            </w:r>
          </w:hyperlink>
        </w:p>
        <w:p w:rsidR="0051621E" w:rsidRDefault="0051621E">
          <w:pPr>
            <w:pStyle w:val="TOC1"/>
            <w:tabs>
              <w:tab w:val="right" w:leader="dot" w:pos="9350"/>
            </w:tabs>
            <w:rPr>
              <w:noProof/>
            </w:rPr>
          </w:pPr>
          <w:hyperlink w:anchor="_Toc230279690" w:history="1">
            <w:r w:rsidRPr="00CC31CE">
              <w:rPr>
                <w:rStyle w:val="Hyperlink"/>
                <w:noProof/>
              </w:rPr>
              <w:t>5. Legal and Regulatory Framework</w:t>
            </w:r>
            <w:r>
              <w:rPr>
                <w:noProof/>
              </w:rPr>
              <w:tab/>
            </w:r>
            <w:r>
              <w:rPr>
                <w:noProof/>
              </w:rPr>
              <w:fldChar w:fldCharType="begin"/>
            </w:r>
            <w:r>
              <w:rPr>
                <w:noProof/>
              </w:rPr>
              <w:instrText xml:space="preserve"> PAGEREF _Toc230279690 \h </w:instrText>
            </w:r>
            <w:r>
              <w:rPr>
                <w:noProof/>
              </w:rPr>
            </w:r>
            <w:r>
              <w:rPr>
                <w:noProof/>
              </w:rPr>
              <w:fldChar w:fldCharType="separate"/>
            </w:r>
            <w:r>
              <w:rPr>
                <w:noProof/>
              </w:rPr>
              <w:t>9</w:t>
            </w:r>
            <w:r>
              <w:rPr>
                <w:noProof/>
              </w:rPr>
              <w:fldChar w:fldCharType="end"/>
            </w:r>
          </w:hyperlink>
        </w:p>
        <w:p w:rsidR="0051621E" w:rsidRDefault="0051621E">
          <w:pPr>
            <w:pStyle w:val="TOC2"/>
            <w:tabs>
              <w:tab w:val="right" w:leader="dot" w:pos="9350"/>
            </w:tabs>
            <w:rPr>
              <w:noProof/>
            </w:rPr>
          </w:pPr>
          <w:hyperlink w:anchor="_Toc230279691" w:history="1">
            <w:r w:rsidRPr="00CC31CE">
              <w:rPr>
                <w:rStyle w:val="Hyperlink"/>
                <w:noProof/>
              </w:rPr>
              <w:t>5.1 Overview of the Legal System</w:t>
            </w:r>
            <w:r>
              <w:rPr>
                <w:noProof/>
              </w:rPr>
              <w:tab/>
            </w:r>
            <w:r>
              <w:rPr>
                <w:noProof/>
              </w:rPr>
              <w:fldChar w:fldCharType="begin"/>
            </w:r>
            <w:r>
              <w:rPr>
                <w:noProof/>
              </w:rPr>
              <w:instrText xml:space="preserve"> PAGEREF _Toc230279691 \h </w:instrText>
            </w:r>
            <w:r>
              <w:rPr>
                <w:noProof/>
              </w:rPr>
            </w:r>
            <w:r>
              <w:rPr>
                <w:noProof/>
              </w:rPr>
              <w:fldChar w:fldCharType="separate"/>
            </w:r>
            <w:r>
              <w:rPr>
                <w:noProof/>
              </w:rPr>
              <w:t>9</w:t>
            </w:r>
            <w:r>
              <w:rPr>
                <w:noProof/>
              </w:rPr>
              <w:fldChar w:fldCharType="end"/>
            </w:r>
          </w:hyperlink>
        </w:p>
        <w:p w:rsidR="0051621E" w:rsidRDefault="0051621E">
          <w:pPr>
            <w:pStyle w:val="TOC2"/>
            <w:tabs>
              <w:tab w:val="right" w:leader="dot" w:pos="9350"/>
            </w:tabs>
            <w:rPr>
              <w:noProof/>
            </w:rPr>
          </w:pPr>
          <w:hyperlink w:anchor="_Toc230279692" w:history="1">
            <w:r w:rsidRPr="00CC31CE">
              <w:rPr>
                <w:rStyle w:val="Hyperlink"/>
                <w:noProof/>
              </w:rPr>
              <w:t>5.2 Key Regulatory Bodies</w:t>
            </w:r>
            <w:r>
              <w:rPr>
                <w:noProof/>
              </w:rPr>
              <w:tab/>
            </w:r>
            <w:r>
              <w:rPr>
                <w:noProof/>
              </w:rPr>
              <w:fldChar w:fldCharType="begin"/>
            </w:r>
            <w:r>
              <w:rPr>
                <w:noProof/>
              </w:rPr>
              <w:instrText xml:space="preserve"> PAGEREF _Toc230279692 \h </w:instrText>
            </w:r>
            <w:r>
              <w:rPr>
                <w:noProof/>
              </w:rPr>
            </w:r>
            <w:r>
              <w:rPr>
                <w:noProof/>
              </w:rPr>
              <w:fldChar w:fldCharType="separate"/>
            </w:r>
            <w:r>
              <w:rPr>
                <w:noProof/>
              </w:rPr>
              <w:t>9</w:t>
            </w:r>
            <w:r>
              <w:rPr>
                <w:noProof/>
              </w:rPr>
              <w:fldChar w:fldCharType="end"/>
            </w:r>
          </w:hyperlink>
        </w:p>
        <w:p w:rsidR="0051621E" w:rsidRDefault="0051621E">
          <w:pPr>
            <w:pStyle w:val="TOC2"/>
            <w:tabs>
              <w:tab w:val="right" w:leader="dot" w:pos="9350"/>
            </w:tabs>
            <w:rPr>
              <w:noProof/>
            </w:rPr>
          </w:pPr>
          <w:hyperlink w:anchor="_Toc230279693" w:history="1">
            <w:r w:rsidRPr="00CC31CE">
              <w:rPr>
                <w:rStyle w:val="Hyperlink"/>
                <w:noProof/>
              </w:rPr>
              <w:t>5.3 Competition, Consumer Protection, and Data Privacy</w:t>
            </w:r>
            <w:r>
              <w:rPr>
                <w:noProof/>
              </w:rPr>
              <w:tab/>
            </w:r>
            <w:r>
              <w:rPr>
                <w:noProof/>
              </w:rPr>
              <w:fldChar w:fldCharType="begin"/>
            </w:r>
            <w:r>
              <w:rPr>
                <w:noProof/>
              </w:rPr>
              <w:instrText xml:space="preserve"> PAGEREF _Toc230279693 \h </w:instrText>
            </w:r>
            <w:r>
              <w:rPr>
                <w:noProof/>
              </w:rPr>
            </w:r>
            <w:r>
              <w:rPr>
                <w:noProof/>
              </w:rPr>
              <w:fldChar w:fldCharType="separate"/>
            </w:r>
            <w:r>
              <w:rPr>
                <w:noProof/>
              </w:rPr>
              <w:t>9</w:t>
            </w:r>
            <w:r>
              <w:rPr>
                <w:noProof/>
              </w:rPr>
              <w:fldChar w:fldCharType="end"/>
            </w:r>
          </w:hyperlink>
        </w:p>
        <w:p w:rsidR="0051621E" w:rsidRDefault="0051621E">
          <w:pPr>
            <w:pStyle w:val="TOC1"/>
            <w:tabs>
              <w:tab w:val="right" w:leader="dot" w:pos="9350"/>
            </w:tabs>
            <w:rPr>
              <w:noProof/>
            </w:rPr>
          </w:pPr>
          <w:hyperlink w:anchor="_Toc230279694" w:history="1">
            <w:r w:rsidRPr="00CC31CE">
              <w:rPr>
                <w:rStyle w:val="Hyperlink"/>
                <w:noProof/>
              </w:rPr>
              <w:t>6. Business Structures for Foreign Investors</w:t>
            </w:r>
            <w:r>
              <w:rPr>
                <w:noProof/>
              </w:rPr>
              <w:tab/>
            </w:r>
            <w:r>
              <w:rPr>
                <w:noProof/>
              </w:rPr>
              <w:fldChar w:fldCharType="begin"/>
            </w:r>
            <w:r>
              <w:rPr>
                <w:noProof/>
              </w:rPr>
              <w:instrText xml:space="preserve"> PAGEREF _Toc230279694 \h </w:instrText>
            </w:r>
            <w:r>
              <w:rPr>
                <w:noProof/>
              </w:rPr>
            </w:r>
            <w:r>
              <w:rPr>
                <w:noProof/>
              </w:rPr>
              <w:fldChar w:fldCharType="separate"/>
            </w:r>
            <w:r>
              <w:rPr>
                <w:noProof/>
              </w:rPr>
              <w:t>10</w:t>
            </w:r>
            <w:r>
              <w:rPr>
                <w:noProof/>
              </w:rPr>
              <w:fldChar w:fldCharType="end"/>
            </w:r>
          </w:hyperlink>
        </w:p>
        <w:p w:rsidR="0051621E" w:rsidRDefault="0051621E">
          <w:pPr>
            <w:pStyle w:val="TOC2"/>
            <w:tabs>
              <w:tab w:val="right" w:leader="dot" w:pos="9350"/>
            </w:tabs>
            <w:rPr>
              <w:noProof/>
            </w:rPr>
          </w:pPr>
          <w:hyperlink w:anchor="_Toc230279695" w:history="1">
            <w:r w:rsidRPr="00CC31CE">
              <w:rPr>
                <w:rStyle w:val="Hyperlink"/>
                <w:noProof/>
              </w:rPr>
              <w:t>6.1 Available Business Vehicles</w:t>
            </w:r>
            <w:r>
              <w:rPr>
                <w:noProof/>
              </w:rPr>
              <w:tab/>
            </w:r>
            <w:r>
              <w:rPr>
                <w:noProof/>
              </w:rPr>
              <w:fldChar w:fldCharType="begin"/>
            </w:r>
            <w:r>
              <w:rPr>
                <w:noProof/>
              </w:rPr>
              <w:instrText xml:space="preserve"> PAGEREF _Toc230279695 \h </w:instrText>
            </w:r>
            <w:r>
              <w:rPr>
                <w:noProof/>
              </w:rPr>
            </w:r>
            <w:r>
              <w:rPr>
                <w:noProof/>
              </w:rPr>
              <w:fldChar w:fldCharType="separate"/>
            </w:r>
            <w:r>
              <w:rPr>
                <w:noProof/>
              </w:rPr>
              <w:t>10</w:t>
            </w:r>
            <w:r>
              <w:rPr>
                <w:noProof/>
              </w:rPr>
              <w:fldChar w:fldCharType="end"/>
            </w:r>
          </w:hyperlink>
        </w:p>
        <w:p w:rsidR="0051621E" w:rsidRDefault="0051621E">
          <w:pPr>
            <w:pStyle w:val="TOC2"/>
            <w:tabs>
              <w:tab w:val="right" w:leader="dot" w:pos="9350"/>
            </w:tabs>
            <w:rPr>
              <w:noProof/>
            </w:rPr>
          </w:pPr>
          <w:hyperlink w:anchor="_Toc230279696" w:history="1">
            <w:r w:rsidRPr="00CC31CE">
              <w:rPr>
                <w:rStyle w:val="Hyperlink"/>
                <w:noProof/>
              </w:rPr>
              <w:t>6.2 Comparative Table of Structures</w:t>
            </w:r>
            <w:r>
              <w:rPr>
                <w:noProof/>
              </w:rPr>
              <w:tab/>
            </w:r>
            <w:r>
              <w:rPr>
                <w:noProof/>
              </w:rPr>
              <w:fldChar w:fldCharType="begin"/>
            </w:r>
            <w:r>
              <w:rPr>
                <w:noProof/>
              </w:rPr>
              <w:instrText xml:space="preserve"> PAGEREF _Toc230279696 \h </w:instrText>
            </w:r>
            <w:r>
              <w:rPr>
                <w:noProof/>
              </w:rPr>
            </w:r>
            <w:r>
              <w:rPr>
                <w:noProof/>
              </w:rPr>
              <w:fldChar w:fldCharType="separate"/>
            </w:r>
            <w:r>
              <w:rPr>
                <w:noProof/>
              </w:rPr>
              <w:t>10</w:t>
            </w:r>
            <w:r>
              <w:rPr>
                <w:noProof/>
              </w:rPr>
              <w:fldChar w:fldCharType="end"/>
            </w:r>
          </w:hyperlink>
        </w:p>
        <w:p w:rsidR="0051621E" w:rsidRDefault="0051621E">
          <w:pPr>
            <w:pStyle w:val="TOC1"/>
            <w:tabs>
              <w:tab w:val="right" w:leader="dot" w:pos="9350"/>
            </w:tabs>
            <w:rPr>
              <w:noProof/>
            </w:rPr>
          </w:pPr>
          <w:hyperlink w:anchor="_Toc230279697" w:history="1">
            <w:r w:rsidRPr="00CC31CE">
              <w:rPr>
                <w:rStyle w:val="Hyperlink"/>
                <w:noProof/>
              </w:rPr>
              <w:t>7. Foreign Investment Rules and Exchange Control</w:t>
            </w:r>
            <w:r>
              <w:rPr>
                <w:noProof/>
              </w:rPr>
              <w:tab/>
            </w:r>
            <w:r>
              <w:rPr>
                <w:noProof/>
              </w:rPr>
              <w:fldChar w:fldCharType="begin"/>
            </w:r>
            <w:r>
              <w:rPr>
                <w:noProof/>
              </w:rPr>
              <w:instrText xml:space="preserve"> PAGEREF _Toc230279697 \h </w:instrText>
            </w:r>
            <w:r>
              <w:rPr>
                <w:noProof/>
              </w:rPr>
            </w:r>
            <w:r>
              <w:rPr>
                <w:noProof/>
              </w:rPr>
              <w:fldChar w:fldCharType="separate"/>
            </w:r>
            <w:r>
              <w:rPr>
                <w:noProof/>
              </w:rPr>
              <w:t>11</w:t>
            </w:r>
            <w:r>
              <w:rPr>
                <w:noProof/>
              </w:rPr>
              <w:fldChar w:fldCharType="end"/>
            </w:r>
          </w:hyperlink>
        </w:p>
        <w:p w:rsidR="0051621E" w:rsidRDefault="0051621E">
          <w:pPr>
            <w:pStyle w:val="TOC2"/>
            <w:tabs>
              <w:tab w:val="right" w:leader="dot" w:pos="9350"/>
            </w:tabs>
            <w:rPr>
              <w:noProof/>
            </w:rPr>
          </w:pPr>
          <w:hyperlink w:anchor="_Toc230279698" w:history="1">
            <w:r w:rsidRPr="00CC31CE">
              <w:rPr>
                <w:rStyle w:val="Hyperlink"/>
                <w:noProof/>
              </w:rPr>
              <w:t>7.1 FDI Regime Overview</w:t>
            </w:r>
            <w:r>
              <w:rPr>
                <w:noProof/>
              </w:rPr>
              <w:tab/>
            </w:r>
            <w:r>
              <w:rPr>
                <w:noProof/>
              </w:rPr>
              <w:fldChar w:fldCharType="begin"/>
            </w:r>
            <w:r>
              <w:rPr>
                <w:noProof/>
              </w:rPr>
              <w:instrText xml:space="preserve"> PAGEREF _Toc230279698 \h </w:instrText>
            </w:r>
            <w:r>
              <w:rPr>
                <w:noProof/>
              </w:rPr>
            </w:r>
            <w:r>
              <w:rPr>
                <w:noProof/>
              </w:rPr>
              <w:fldChar w:fldCharType="separate"/>
            </w:r>
            <w:r>
              <w:rPr>
                <w:noProof/>
              </w:rPr>
              <w:t>11</w:t>
            </w:r>
            <w:r>
              <w:rPr>
                <w:noProof/>
              </w:rPr>
              <w:fldChar w:fldCharType="end"/>
            </w:r>
          </w:hyperlink>
        </w:p>
        <w:p w:rsidR="0051621E" w:rsidRDefault="0051621E">
          <w:pPr>
            <w:pStyle w:val="TOC2"/>
            <w:tabs>
              <w:tab w:val="right" w:leader="dot" w:pos="9350"/>
            </w:tabs>
            <w:rPr>
              <w:noProof/>
            </w:rPr>
          </w:pPr>
          <w:hyperlink w:anchor="_Toc230279699" w:history="1">
            <w:r w:rsidRPr="00CC31CE">
              <w:rPr>
                <w:rStyle w:val="Hyperlink"/>
                <w:noProof/>
              </w:rPr>
              <w:t>7.2 Key Conditions for Foreign Shareholders</w:t>
            </w:r>
            <w:r>
              <w:rPr>
                <w:noProof/>
              </w:rPr>
              <w:tab/>
            </w:r>
            <w:r>
              <w:rPr>
                <w:noProof/>
              </w:rPr>
              <w:fldChar w:fldCharType="begin"/>
            </w:r>
            <w:r>
              <w:rPr>
                <w:noProof/>
              </w:rPr>
              <w:instrText xml:space="preserve"> PAGEREF _Toc230279699 \h </w:instrText>
            </w:r>
            <w:r>
              <w:rPr>
                <w:noProof/>
              </w:rPr>
            </w:r>
            <w:r>
              <w:rPr>
                <w:noProof/>
              </w:rPr>
              <w:fldChar w:fldCharType="separate"/>
            </w:r>
            <w:r>
              <w:rPr>
                <w:noProof/>
              </w:rPr>
              <w:t>11</w:t>
            </w:r>
            <w:r>
              <w:rPr>
                <w:noProof/>
              </w:rPr>
              <w:fldChar w:fldCharType="end"/>
            </w:r>
          </w:hyperlink>
        </w:p>
        <w:p w:rsidR="0051621E" w:rsidRDefault="0051621E">
          <w:pPr>
            <w:pStyle w:val="TOC2"/>
            <w:tabs>
              <w:tab w:val="right" w:leader="dot" w:pos="9350"/>
            </w:tabs>
            <w:rPr>
              <w:noProof/>
            </w:rPr>
          </w:pPr>
          <w:hyperlink w:anchor="_Toc230279700" w:history="1">
            <w:r w:rsidRPr="00CC31CE">
              <w:rPr>
                <w:rStyle w:val="Hyperlink"/>
                <w:noProof/>
              </w:rPr>
              <w:t>7.3 Foreign Exchange Regulations</w:t>
            </w:r>
            <w:r>
              <w:rPr>
                <w:noProof/>
              </w:rPr>
              <w:tab/>
            </w:r>
            <w:r>
              <w:rPr>
                <w:noProof/>
              </w:rPr>
              <w:fldChar w:fldCharType="begin"/>
            </w:r>
            <w:r>
              <w:rPr>
                <w:noProof/>
              </w:rPr>
              <w:instrText xml:space="preserve"> PAGEREF _Toc230279700 \h </w:instrText>
            </w:r>
            <w:r>
              <w:rPr>
                <w:noProof/>
              </w:rPr>
            </w:r>
            <w:r>
              <w:rPr>
                <w:noProof/>
              </w:rPr>
              <w:fldChar w:fldCharType="separate"/>
            </w:r>
            <w:r>
              <w:rPr>
                <w:noProof/>
              </w:rPr>
              <w:t>11</w:t>
            </w:r>
            <w:r>
              <w:rPr>
                <w:noProof/>
              </w:rPr>
              <w:fldChar w:fldCharType="end"/>
            </w:r>
          </w:hyperlink>
        </w:p>
        <w:p w:rsidR="0051621E" w:rsidRDefault="0051621E">
          <w:pPr>
            <w:pStyle w:val="TOC1"/>
            <w:tabs>
              <w:tab w:val="right" w:leader="dot" w:pos="9350"/>
            </w:tabs>
            <w:rPr>
              <w:noProof/>
            </w:rPr>
          </w:pPr>
          <w:hyperlink w:anchor="_Toc230279701" w:history="1">
            <w:r w:rsidRPr="00CC31CE">
              <w:rPr>
                <w:rStyle w:val="Hyperlink"/>
                <w:noProof/>
              </w:rPr>
              <w:t>8. Step-by-Step Incorporation &amp; Registration Process</w:t>
            </w:r>
            <w:r>
              <w:rPr>
                <w:noProof/>
              </w:rPr>
              <w:tab/>
            </w:r>
            <w:r>
              <w:rPr>
                <w:noProof/>
              </w:rPr>
              <w:fldChar w:fldCharType="begin"/>
            </w:r>
            <w:r>
              <w:rPr>
                <w:noProof/>
              </w:rPr>
              <w:instrText xml:space="preserve"> PAGEREF _Toc230279701 \h </w:instrText>
            </w:r>
            <w:r>
              <w:rPr>
                <w:noProof/>
              </w:rPr>
            </w:r>
            <w:r>
              <w:rPr>
                <w:noProof/>
              </w:rPr>
              <w:fldChar w:fldCharType="separate"/>
            </w:r>
            <w:r>
              <w:rPr>
                <w:noProof/>
              </w:rPr>
              <w:t>12</w:t>
            </w:r>
            <w:r>
              <w:rPr>
                <w:noProof/>
              </w:rPr>
              <w:fldChar w:fldCharType="end"/>
            </w:r>
          </w:hyperlink>
        </w:p>
        <w:p w:rsidR="0051621E" w:rsidRDefault="0051621E">
          <w:pPr>
            <w:pStyle w:val="TOC2"/>
            <w:tabs>
              <w:tab w:val="right" w:leader="dot" w:pos="9350"/>
            </w:tabs>
            <w:rPr>
              <w:noProof/>
            </w:rPr>
          </w:pPr>
          <w:hyperlink w:anchor="_Toc230279702" w:history="1">
            <w:r w:rsidRPr="00CC31CE">
              <w:rPr>
                <w:rStyle w:val="Hyperlink"/>
                <w:noProof/>
              </w:rPr>
              <w:t>8.1 Pre-Incorporation Planning</w:t>
            </w:r>
            <w:r>
              <w:rPr>
                <w:noProof/>
              </w:rPr>
              <w:tab/>
            </w:r>
            <w:r>
              <w:rPr>
                <w:noProof/>
              </w:rPr>
              <w:fldChar w:fldCharType="begin"/>
            </w:r>
            <w:r>
              <w:rPr>
                <w:noProof/>
              </w:rPr>
              <w:instrText xml:space="preserve"> PAGEREF _Toc230279702 \h </w:instrText>
            </w:r>
            <w:r>
              <w:rPr>
                <w:noProof/>
              </w:rPr>
            </w:r>
            <w:r>
              <w:rPr>
                <w:noProof/>
              </w:rPr>
              <w:fldChar w:fldCharType="separate"/>
            </w:r>
            <w:r>
              <w:rPr>
                <w:noProof/>
              </w:rPr>
              <w:t>12</w:t>
            </w:r>
            <w:r>
              <w:rPr>
                <w:noProof/>
              </w:rPr>
              <w:fldChar w:fldCharType="end"/>
            </w:r>
          </w:hyperlink>
        </w:p>
        <w:p w:rsidR="0051621E" w:rsidRDefault="0051621E">
          <w:pPr>
            <w:pStyle w:val="TOC2"/>
            <w:tabs>
              <w:tab w:val="right" w:leader="dot" w:pos="9350"/>
            </w:tabs>
            <w:rPr>
              <w:noProof/>
            </w:rPr>
          </w:pPr>
          <w:hyperlink w:anchor="_Toc230279703" w:history="1">
            <w:r w:rsidRPr="00CC31CE">
              <w:rPr>
                <w:rStyle w:val="Hyperlink"/>
                <w:noProof/>
              </w:rPr>
              <w:t>8.2 Step-by-Step Incorporation Workflow</w:t>
            </w:r>
            <w:r>
              <w:rPr>
                <w:noProof/>
              </w:rPr>
              <w:tab/>
            </w:r>
            <w:r>
              <w:rPr>
                <w:noProof/>
              </w:rPr>
              <w:fldChar w:fldCharType="begin"/>
            </w:r>
            <w:r>
              <w:rPr>
                <w:noProof/>
              </w:rPr>
              <w:instrText xml:space="preserve"> PAGEREF _Toc230279703 \h </w:instrText>
            </w:r>
            <w:r>
              <w:rPr>
                <w:noProof/>
              </w:rPr>
            </w:r>
            <w:r>
              <w:rPr>
                <w:noProof/>
              </w:rPr>
              <w:fldChar w:fldCharType="separate"/>
            </w:r>
            <w:r>
              <w:rPr>
                <w:noProof/>
              </w:rPr>
              <w:t>12</w:t>
            </w:r>
            <w:r>
              <w:rPr>
                <w:noProof/>
              </w:rPr>
              <w:fldChar w:fldCharType="end"/>
            </w:r>
          </w:hyperlink>
        </w:p>
        <w:p w:rsidR="0051621E" w:rsidRDefault="0051621E">
          <w:pPr>
            <w:pStyle w:val="TOC1"/>
            <w:tabs>
              <w:tab w:val="right" w:leader="dot" w:pos="9350"/>
            </w:tabs>
            <w:rPr>
              <w:noProof/>
            </w:rPr>
          </w:pPr>
          <w:hyperlink w:anchor="_Toc230279704" w:history="1">
            <w:r w:rsidRPr="00CC31CE">
              <w:rPr>
                <w:rStyle w:val="Hyperlink"/>
                <w:noProof/>
              </w:rPr>
              <w:t>9. Licenses, Approvals, and Sector-Specific Requirements</w:t>
            </w:r>
            <w:r>
              <w:rPr>
                <w:noProof/>
              </w:rPr>
              <w:tab/>
            </w:r>
            <w:r>
              <w:rPr>
                <w:noProof/>
              </w:rPr>
              <w:fldChar w:fldCharType="begin"/>
            </w:r>
            <w:r>
              <w:rPr>
                <w:noProof/>
              </w:rPr>
              <w:instrText xml:space="preserve"> PAGEREF _Toc230279704 \h </w:instrText>
            </w:r>
            <w:r>
              <w:rPr>
                <w:noProof/>
              </w:rPr>
            </w:r>
            <w:r>
              <w:rPr>
                <w:noProof/>
              </w:rPr>
              <w:fldChar w:fldCharType="separate"/>
            </w:r>
            <w:r>
              <w:rPr>
                <w:noProof/>
              </w:rPr>
              <w:t>13</w:t>
            </w:r>
            <w:r>
              <w:rPr>
                <w:noProof/>
              </w:rPr>
              <w:fldChar w:fldCharType="end"/>
            </w:r>
          </w:hyperlink>
        </w:p>
        <w:p w:rsidR="0051621E" w:rsidRDefault="0051621E">
          <w:pPr>
            <w:pStyle w:val="TOC2"/>
            <w:tabs>
              <w:tab w:val="right" w:leader="dot" w:pos="9350"/>
            </w:tabs>
            <w:rPr>
              <w:noProof/>
            </w:rPr>
          </w:pPr>
          <w:hyperlink w:anchor="_Toc230279705" w:history="1">
            <w:r w:rsidRPr="00CC31CE">
              <w:rPr>
                <w:rStyle w:val="Hyperlink"/>
                <w:noProof/>
              </w:rPr>
              <w:t>9.1 Common Cross-Sector Requirements</w:t>
            </w:r>
            <w:r>
              <w:rPr>
                <w:noProof/>
              </w:rPr>
              <w:tab/>
            </w:r>
            <w:r>
              <w:rPr>
                <w:noProof/>
              </w:rPr>
              <w:fldChar w:fldCharType="begin"/>
            </w:r>
            <w:r>
              <w:rPr>
                <w:noProof/>
              </w:rPr>
              <w:instrText xml:space="preserve"> PAGEREF _Toc230279705 \h </w:instrText>
            </w:r>
            <w:r>
              <w:rPr>
                <w:noProof/>
              </w:rPr>
            </w:r>
            <w:r>
              <w:rPr>
                <w:noProof/>
              </w:rPr>
              <w:fldChar w:fldCharType="separate"/>
            </w:r>
            <w:r>
              <w:rPr>
                <w:noProof/>
              </w:rPr>
              <w:t>13</w:t>
            </w:r>
            <w:r>
              <w:rPr>
                <w:noProof/>
              </w:rPr>
              <w:fldChar w:fldCharType="end"/>
            </w:r>
          </w:hyperlink>
        </w:p>
        <w:p w:rsidR="0051621E" w:rsidRDefault="0051621E">
          <w:pPr>
            <w:pStyle w:val="TOC2"/>
            <w:tabs>
              <w:tab w:val="right" w:leader="dot" w:pos="9350"/>
            </w:tabs>
            <w:rPr>
              <w:noProof/>
            </w:rPr>
          </w:pPr>
          <w:hyperlink w:anchor="_Toc230279706" w:history="1">
            <w:r w:rsidRPr="00CC31CE">
              <w:rPr>
                <w:rStyle w:val="Hyperlink"/>
                <w:noProof/>
              </w:rPr>
              <w:t>9.2 Sector-Specific Approvals</w:t>
            </w:r>
            <w:r>
              <w:rPr>
                <w:noProof/>
              </w:rPr>
              <w:tab/>
            </w:r>
            <w:r>
              <w:rPr>
                <w:noProof/>
              </w:rPr>
              <w:fldChar w:fldCharType="begin"/>
            </w:r>
            <w:r>
              <w:rPr>
                <w:noProof/>
              </w:rPr>
              <w:instrText xml:space="preserve"> PAGEREF _Toc230279706 \h </w:instrText>
            </w:r>
            <w:r>
              <w:rPr>
                <w:noProof/>
              </w:rPr>
            </w:r>
            <w:r>
              <w:rPr>
                <w:noProof/>
              </w:rPr>
              <w:fldChar w:fldCharType="separate"/>
            </w:r>
            <w:r>
              <w:rPr>
                <w:noProof/>
              </w:rPr>
              <w:t>13</w:t>
            </w:r>
            <w:r>
              <w:rPr>
                <w:noProof/>
              </w:rPr>
              <w:fldChar w:fldCharType="end"/>
            </w:r>
          </w:hyperlink>
        </w:p>
        <w:p w:rsidR="0051621E" w:rsidRDefault="0051621E">
          <w:pPr>
            <w:pStyle w:val="TOC1"/>
            <w:tabs>
              <w:tab w:val="right" w:leader="dot" w:pos="9350"/>
            </w:tabs>
            <w:rPr>
              <w:noProof/>
            </w:rPr>
          </w:pPr>
          <w:hyperlink w:anchor="_Toc230279707" w:history="1">
            <w:r w:rsidRPr="00CC31CE">
              <w:rPr>
                <w:rStyle w:val="Hyperlink"/>
                <w:noProof/>
              </w:rPr>
              <w:t>10. Taxation and Incentives</w:t>
            </w:r>
            <w:r>
              <w:rPr>
                <w:noProof/>
              </w:rPr>
              <w:tab/>
            </w:r>
            <w:r>
              <w:rPr>
                <w:noProof/>
              </w:rPr>
              <w:fldChar w:fldCharType="begin"/>
            </w:r>
            <w:r>
              <w:rPr>
                <w:noProof/>
              </w:rPr>
              <w:instrText xml:space="preserve"> PAGEREF _Toc230279707 \h </w:instrText>
            </w:r>
            <w:r>
              <w:rPr>
                <w:noProof/>
              </w:rPr>
            </w:r>
            <w:r>
              <w:rPr>
                <w:noProof/>
              </w:rPr>
              <w:fldChar w:fldCharType="separate"/>
            </w:r>
            <w:r>
              <w:rPr>
                <w:noProof/>
              </w:rPr>
              <w:t>14</w:t>
            </w:r>
            <w:r>
              <w:rPr>
                <w:noProof/>
              </w:rPr>
              <w:fldChar w:fldCharType="end"/>
            </w:r>
          </w:hyperlink>
        </w:p>
        <w:p w:rsidR="0051621E" w:rsidRDefault="0051621E">
          <w:pPr>
            <w:pStyle w:val="TOC2"/>
            <w:tabs>
              <w:tab w:val="right" w:leader="dot" w:pos="9350"/>
            </w:tabs>
            <w:rPr>
              <w:noProof/>
            </w:rPr>
          </w:pPr>
          <w:hyperlink w:anchor="_Toc230279708" w:history="1">
            <w:r w:rsidRPr="00CC31CE">
              <w:rPr>
                <w:rStyle w:val="Hyperlink"/>
                <w:noProof/>
              </w:rPr>
              <w:t>10.1 Overview of the Tax System</w:t>
            </w:r>
            <w:r>
              <w:rPr>
                <w:noProof/>
              </w:rPr>
              <w:tab/>
            </w:r>
            <w:r>
              <w:rPr>
                <w:noProof/>
              </w:rPr>
              <w:fldChar w:fldCharType="begin"/>
            </w:r>
            <w:r>
              <w:rPr>
                <w:noProof/>
              </w:rPr>
              <w:instrText xml:space="preserve"> PAGEREF _Toc230279708 \h </w:instrText>
            </w:r>
            <w:r>
              <w:rPr>
                <w:noProof/>
              </w:rPr>
            </w:r>
            <w:r>
              <w:rPr>
                <w:noProof/>
              </w:rPr>
              <w:fldChar w:fldCharType="separate"/>
            </w:r>
            <w:r>
              <w:rPr>
                <w:noProof/>
              </w:rPr>
              <w:t>14</w:t>
            </w:r>
            <w:r>
              <w:rPr>
                <w:noProof/>
              </w:rPr>
              <w:fldChar w:fldCharType="end"/>
            </w:r>
          </w:hyperlink>
        </w:p>
        <w:p w:rsidR="0051621E" w:rsidRDefault="0051621E">
          <w:pPr>
            <w:pStyle w:val="TOC2"/>
            <w:tabs>
              <w:tab w:val="right" w:leader="dot" w:pos="9350"/>
            </w:tabs>
            <w:rPr>
              <w:noProof/>
            </w:rPr>
          </w:pPr>
          <w:hyperlink w:anchor="_Toc230279709" w:history="1">
            <w:r w:rsidRPr="00CC31CE">
              <w:rPr>
                <w:rStyle w:val="Hyperlink"/>
                <w:noProof/>
              </w:rPr>
              <w:t>10.2 Corporate Income Tax</w:t>
            </w:r>
            <w:r>
              <w:rPr>
                <w:noProof/>
              </w:rPr>
              <w:tab/>
            </w:r>
            <w:r>
              <w:rPr>
                <w:noProof/>
              </w:rPr>
              <w:fldChar w:fldCharType="begin"/>
            </w:r>
            <w:r>
              <w:rPr>
                <w:noProof/>
              </w:rPr>
              <w:instrText xml:space="preserve"> PAGEREF _Toc230279709 \h </w:instrText>
            </w:r>
            <w:r>
              <w:rPr>
                <w:noProof/>
              </w:rPr>
            </w:r>
            <w:r>
              <w:rPr>
                <w:noProof/>
              </w:rPr>
              <w:fldChar w:fldCharType="separate"/>
            </w:r>
            <w:r>
              <w:rPr>
                <w:noProof/>
              </w:rPr>
              <w:t>14</w:t>
            </w:r>
            <w:r>
              <w:rPr>
                <w:noProof/>
              </w:rPr>
              <w:fldChar w:fldCharType="end"/>
            </w:r>
          </w:hyperlink>
        </w:p>
        <w:p w:rsidR="0051621E" w:rsidRDefault="0051621E">
          <w:pPr>
            <w:pStyle w:val="TOC2"/>
            <w:tabs>
              <w:tab w:val="right" w:leader="dot" w:pos="9350"/>
            </w:tabs>
            <w:rPr>
              <w:noProof/>
            </w:rPr>
          </w:pPr>
          <w:hyperlink w:anchor="_Toc230279710" w:history="1">
            <w:r w:rsidRPr="00CC31CE">
              <w:rPr>
                <w:rStyle w:val="Hyperlink"/>
                <w:noProof/>
              </w:rPr>
              <w:t>10.3 Value Added Tax (VAT)</w:t>
            </w:r>
            <w:r>
              <w:rPr>
                <w:noProof/>
              </w:rPr>
              <w:tab/>
            </w:r>
            <w:r>
              <w:rPr>
                <w:noProof/>
              </w:rPr>
              <w:fldChar w:fldCharType="begin"/>
            </w:r>
            <w:r>
              <w:rPr>
                <w:noProof/>
              </w:rPr>
              <w:instrText xml:space="preserve"> PAGEREF _Toc230279710 \h </w:instrText>
            </w:r>
            <w:r>
              <w:rPr>
                <w:noProof/>
              </w:rPr>
            </w:r>
            <w:r>
              <w:rPr>
                <w:noProof/>
              </w:rPr>
              <w:fldChar w:fldCharType="separate"/>
            </w:r>
            <w:r>
              <w:rPr>
                <w:noProof/>
              </w:rPr>
              <w:t>14</w:t>
            </w:r>
            <w:r>
              <w:rPr>
                <w:noProof/>
              </w:rPr>
              <w:fldChar w:fldCharType="end"/>
            </w:r>
          </w:hyperlink>
        </w:p>
        <w:p w:rsidR="0051621E" w:rsidRDefault="0051621E">
          <w:pPr>
            <w:pStyle w:val="TOC2"/>
            <w:tabs>
              <w:tab w:val="right" w:leader="dot" w:pos="9350"/>
            </w:tabs>
            <w:rPr>
              <w:noProof/>
            </w:rPr>
          </w:pPr>
          <w:hyperlink w:anchor="_Toc230279711" w:history="1">
            <w:r w:rsidRPr="00CC31CE">
              <w:rPr>
                <w:rStyle w:val="Hyperlink"/>
                <w:noProof/>
              </w:rPr>
              <w:t>10.4 Withholding Tax Rates</w:t>
            </w:r>
            <w:r>
              <w:rPr>
                <w:noProof/>
              </w:rPr>
              <w:tab/>
            </w:r>
            <w:r>
              <w:rPr>
                <w:noProof/>
              </w:rPr>
              <w:fldChar w:fldCharType="begin"/>
            </w:r>
            <w:r>
              <w:rPr>
                <w:noProof/>
              </w:rPr>
              <w:instrText xml:space="preserve"> PAGEREF _Toc230279711 \h </w:instrText>
            </w:r>
            <w:r>
              <w:rPr>
                <w:noProof/>
              </w:rPr>
            </w:r>
            <w:r>
              <w:rPr>
                <w:noProof/>
              </w:rPr>
              <w:fldChar w:fldCharType="separate"/>
            </w:r>
            <w:r>
              <w:rPr>
                <w:noProof/>
              </w:rPr>
              <w:t>15</w:t>
            </w:r>
            <w:r>
              <w:rPr>
                <w:noProof/>
              </w:rPr>
              <w:fldChar w:fldCharType="end"/>
            </w:r>
          </w:hyperlink>
        </w:p>
        <w:p w:rsidR="0051621E" w:rsidRDefault="0051621E">
          <w:pPr>
            <w:pStyle w:val="TOC2"/>
            <w:tabs>
              <w:tab w:val="right" w:leader="dot" w:pos="9350"/>
            </w:tabs>
            <w:rPr>
              <w:noProof/>
            </w:rPr>
          </w:pPr>
          <w:hyperlink w:anchor="_Toc230279712" w:history="1">
            <w:r w:rsidRPr="00CC31CE">
              <w:rPr>
                <w:rStyle w:val="Hyperlink"/>
                <w:noProof/>
              </w:rPr>
              <w:t>10.5 Tax Incentives and Reliefs</w:t>
            </w:r>
            <w:r>
              <w:rPr>
                <w:noProof/>
              </w:rPr>
              <w:tab/>
            </w:r>
            <w:r>
              <w:rPr>
                <w:noProof/>
              </w:rPr>
              <w:fldChar w:fldCharType="begin"/>
            </w:r>
            <w:r>
              <w:rPr>
                <w:noProof/>
              </w:rPr>
              <w:instrText xml:space="preserve"> PAGEREF _Toc230279712 \h </w:instrText>
            </w:r>
            <w:r>
              <w:rPr>
                <w:noProof/>
              </w:rPr>
            </w:r>
            <w:r>
              <w:rPr>
                <w:noProof/>
              </w:rPr>
              <w:fldChar w:fldCharType="separate"/>
            </w:r>
            <w:r>
              <w:rPr>
                <w:noProof/>
              </w:rPr>
              <w:t>15</w:t>
            </w:r>
            <w:r>
              <w:rPr>
                <w:noProof/>
              </w:rPr>
              <w:fldChar w:fldCharType="end"/>
            </w:r>
          </w:hyperlink>
        </w:p>
        <w:p w:rsidR="0051621E" w:rsidRDefault="0051621E">
          <w:pPr>
            <w:pStyle w:val="TOC1"/>
            <w:tabs>
              <w:tab w:val="right" w:leader="dot" w:pos="9350"/>
            </w:tabs>
            <w:rPr>
              <w:noProof/>
            </w:rPr>
          </w:pPr>
          <w:hyperlink w:anchor="_Toc230279713" w:history="1">
            <w:r w:rsidRPr="00CC31CE">
              <w:rPr>
                <w:rStyle w:val="Hyperlink"/>
                <w:noProof/>
              </w:rPr>
              <w:t>11. Banking, Finance, and Repatriation</w:t>
            </w:r>
            <w:r>
              <w:rPr>
                <w:noProof/>
              </w:rPr>
              <w:tab/>
            </w:r>
            <w:r>
              <w:rPr>
                <w:noProof/>
              </w:rPr>
              <w:fldChar w:fldCharType="begin"/>
            </w:r>
            <w:r>
              <w:rPr>
                <w:noProof/>
              </w:rPr>
              <w:instrText xml:space="preserve"> PAGEREF _Toc230279713 \h </w:instrText>
            </w:r>
            <w:r>
              <w:rPr>
                <w:noProof/>
              </w:rPr>
            </w:r>
            <w:r>
              <w:rPr>
                <w:noProof/>
              </w:rPr>
              <w:fldChar w:fldCharType="separate"/>
            </w:r>
            <w:r>
              <w:rPr>
                <w:noProof/>
              </w:rPr>
              <w:t>16</w:t>
            </w:r>
            <w:r>
              <w:rPr>
                <w:noProof/>
              </w:rPr>
              <w:fldChar w:fldCharType="end"/>
            </w:r>
          </w:hyperlink>
        </w:p>
        <w:p w:rsidR="0051621E" w:rsidRDefault="0051621E">
          <w:pPr>
            <w:pStyle w:val="TOC2"/>
            <w:tabs>
              <w:tab w:val="right" w:leader="dot" w:pos="9350"/>
            </w:tabs>
            <w:rPr>
              <w:noProof/>
            </w:rPr>
          </w:pPr>
          <w:hyperlink w:anchor="_Toc230279714" w:history="1">
            <w:r w:rsidRPr="00CC31CE">
              <w:rPr>
                <w:rStyle w:val="Hyperlink"/>
                <w:noProof/>
              </w:rPr>
              <w:t>11.1 Opening Corporate Bank Accounts</w:t>
            </w:r>
            <w:r>
              <w:rPr>
                <w:noProof/>
              </w:rPr>
              <w:tab/>
            </w:r>
            <w:r>
              <w:rPr>
                <w:noProof/>
              </w:rPr>
              <w:fldChar w:fldCharType="begin"/>
            </w:r>
            <w:r>
              <w:rPr>
                <w:noProof/>
              </w:rPr>
              <w:instrText xml:space="preserve"> PAGEREF _Toc230279714 \h </w:instrText>
            </w:r>
            <w:r>
              <w:rPr>
                <w:noProof/>
              </w:rPr>
            </w:r>
            <w:r>
              <w:rPr>
                <w:noProof/>
              </w:rPr>
              <w:fldChar w:fldCharType="separate"/>
            </w:r>
            <w:r>
              <w:rPr>
                <w:noProof/>
              </w:rPr>
              <w:t>16</w:t>
            </w:r>
            <w:r>
              <w:rPr>
                <w:noProof/>
              </w:rPr>
              <w:fldChar w:fldCharType="end"/>
            </w:r>
          </w:hyperlink>
        </w:p>
        <w:p w:rsidR="0051621E" w:rsidRDefault="0051621E">
          <w:pPr>
            <w:pStyle w:val="TOC2"/>
            <w:tabs>
              <w:tab w:val="right" w:leader="dot" w:pos="9350"/>
            </w:tabs>
            <w:rPr>
              <w:noProof/>
            </w:rPr>
          </w:pPr>
          <w:hyperlink w:anchor="_Toc230279715" w:history="1">
            <w:r w:rsidRPr="00CC31CE">
              <w:rPr>
                <w:rStyle w:val="Hyperlink"/>
                <w:noProof/>
              </w:rPr>
              <w:t>11.2 Funding Options</w:t>
            </w:r>
            <w:r>
              <w:rPr>
                <w:noProof/>
              </w:rPr>
              <w:tab/>
            </w:r>
            <w:r>
              <w:rPr>
                <w:noProof/>
              </w:rPr>
              <w:fldChar w:fldCharType="begin"/>
            </w:r>
            <w:r>
              <w:rPr>
                <w:noProof/>
              </w:rPr>
              <w:instrText xml:space="preserve"> PAGEREF _Toc230279715 \h </w:instrText>
            </w:r>
            <w:r>
              <w:rPr>
                <w:noProof/>
              </w:rPr>
            </w:r>
            <w:r>
              <w:rPr>
                <w:noProof/>
              </w:rPr>
              <w:fldChar w:fldCharType="separate"/>
            </w:r>
            <w:r>
              <w:rPr>
                <w:noProof/>
              </w:rPr>
              <w:t>16</w:t>
            </w:r>
            <w:r>
              <w:rPr>
                <w:noProof/>
              </w:rPr>
              <w:fldChar w:fldCharType="end"/>
            </w:r>
          </w:hyperlink>
        </w:p>
        <w:p w:rsidR="0051621E" w:rsidRDefault="0051621E">
          <w:pPr>
            <w:pStyle w:val="TOC2"/>
            <w:tabs>
              <w:tab w:val="right" w:leader="dot" w:pos="9350"/>
            </w:tabs>
            <w:rPr>
              <w:noProof/>
            </w:rPr>
          </w:pPr>
          <w:hyperlink w:anchor="_Toc230279716" w:history="1">
            <w:r w:rsidRPr="00CC31CE">
              <w:rPr>
                <w:rStyle w:val="Hyperlink"/>
                <w:noProof/>
              </w:rPr>
              <w:t>11.3 Repatriation Rules</w:t>
            </w:r>
            <w:r>
              <w:rPr>
                <w:noProof/>
              </w:rPr>
              <w:tab/>
            </w:r>
            <w:r>
              <w:rPr>
                <w:noProof/>
              </w:rPr>
              <w:fldChar w:fldCharType="begin"/>
            </w:r>
            <w:r>
              <w:rPr>
                <w:noProof/>
              </w:rPr>
              <w:instrText xml:space="preserve"> PAGEREF _Toc230279716 \h </w:instrText>
            </w:r>
            <w:r>
              <w:rPr>
                <w:noProof/>
              </w:rPr>
            </w:r>
            <w:r>
              <w:rPr>
                <w:noProof/>
              </w:rPr>
              <w:fldChar w:fldCharType="separate"/>
            </w:r>
            <w:r>
              <w:rPr>
                <w:noProof/>
              </w:rPr>
              <w:t>16</w:t>
            </w:r>
            <w:r>
              <w:rPr>
                <w:noProof/>
              </w:rPr>
              <w:fldChar w:fldCharType="end"/>
            </w:r>
          </w:hyperlink>
        </w:p>
        <w:p w:rsidR="0051621E" w:rsidRDefault="0051621E">
          <w:pPr>
            <w:pStyle w:val="TOC1"/>
            <w:tabs>
              <w:tab w:val="right" w:leader="dot" w:pos="9350"/>
            </w:tabs>
            <w:rPr>
              <w:noProof/>
            </w:rPr>
          </w:pPr>
          <w:hyperlink w:anchor="_Toc230279717" w:history="1">
            <w:r w:rsidRPr="00CC31CE">
              <w:rPr>
                <w:rStyle w:val="Hyperlink"/>
                <w:noProof/>
              </w:rPr>
              <w:t>12. Employment, Immigration, and Payroll</w:t>
            </w:r>
            <w:r>
              <w:rPr>
                <w:noProof/>
              </w:rPr>
              <w:tab/>
            </w:r>
            <w:r>
              <w:rPr>
                <w:noProof/>
              </w:rPr>
              <w:fldChar w:fldCharType="begin"/>
            </w:r>
            <w:r>
              <w:rPr>
                <w:noProof/>
              </w:rPr>
              <w:instrText xml:space="preserve"> PAGEREF _Toc230279717 \h </w:instrText>
            </w:r>
            <w:r>
              <w:rPr>
                <w:noProof/>
              </w:rPr>
            </w:r>
            <w:r>
              <w:rPr>
                <w:noProof/>
              </w:rPr>
              <w:fldChar w:fldCharType="separate"/>
            </w:r>
            <w:r>
              <w:rPr>
                <w:noProof/>
              </w:rPr>
              <w:t>17</w:t>
            </w:r>
            <w:r>
              <w:rPr>
                <w:noProof/>
              </w:rPr>
              <w:fldChar w:fldCharType="end"/>
            </w:r>
          </w:hyperlink>
        </w:p>
        <w:p w:rsidR="0051621E" w:rsidRDefault="0051621E">
          <w:pPr>
            <w:pStyle w:val="TOC2"/>
            <w:tabs>
              <w:tab w:val="right" w:leader="dot" w:pos="9350"/>
            </w:tabs>
            <w:rPr>
              <w:noProof/>
            </w:rPr>
          </w:pPr>
          <w:hyperlink w:anchor="_Toc230279718" w:history="1">
            <w:r w:rsidRPr="00CC31CE">
              <w:rPr>
                <w:rStyle w:val="Hyperlink"/>
                <w:noProof/>
              </w:rPr>
              <w:t>12.1 Key Employment Laws</w:t>
            </w:r>
            <w:r>
              <w:rPr>
                <w:noProof/>
              </w:rPr>
              <w:tab/>
            </w:r>
            <w:r>
              <w:rPr>
                <w:noProof/>
              </w:rPr>
              <w:fldChar w:fldCharType="begin"/>
            </w:r>
            <w:r>
              <w:rPr>
                <w:noProof/>
              </w:rPr>
              <w:instrText xml:space="preserve"> PAGEREF _Toc230279718 \h </w:instrText>
            </w:r>
            <w:r>
              <w:rPr>
                <w:noProof/>
              </w:rPr>
            </w:r>
            <w:r>
              <w:rPr>
                <w:noProof/>
              </w:rPr>
              <w:fldChar w:fldCharType="separate"/>
            </w:r>
            <w:r>
              <w:rPr>
                <w:noProof/>
              </w:rPr>
              <w:t>17</w:t>
            </w:r>
            <w:r>
              <w:rPr>
                <w:noProof/>
              </w:rPr>
              <w:fldChar w:fldCharType="end"/>
            </w:r>
          </w:hyperlink>
        </w:p>
        <w:p w:rsidR="0051621E" w:rsidRDefault="0051621E">
          <w:pPr>
            <w:pStyle w:val="TOC2"/>
            <w:tabs>
              <w:tab w:val="right" w:leader="dot" w:pos="9350"/>
            </w:tabs>
            <w:rPr>
              <w:noProof/>
            </w:rPr>
          </w:pPr>
          <w:hyperlink w:anchor="_Toc230279719" w:history="1">
            <w:r w:rsidRPr="00CC31CE">
              <w:rPr>
                <w:rStyle w:val="Hyperlink"/>
                <w:noProof/>
              </w:rPr>
              <w:t>12.2 Immigration and Work Authorization</w:t>
            </w:r>
            <w:r>
              <w:rPr>
                <w:noProof/>
              </w:rPr>
              <w:tab/>
            </w:r>
            <w:r>
              <w:rPr>
                <w:noProof/>
              </w:rPr>
              <w:fldChar w:fldCharType="begin"/>
            </w:r>
            <w:r>
              <w:rPr>
                <w:noProof/>
              </w:rPr>
              <w:instrText xml:space="preserve"> PAGEREF _Toc230279719 \h </w:instrText>
            </w:r>
            <w:r>
              <w:rPr>
                <w:noProof/>
              </w:rPr>
            </w:r>
            <w:r>
              <w:rPr>
                <w:noProof/>
              </w:rPr>
              <w:fldChar w:fldCharType="separate"/>
            </w:r>
            <w:r>
              <w:rPr>
                <w:noProof/>
              </w:rPr>
              <w:t>17</w:t>
            </w:r>
            <w:r>
              <w:rPr>
                <w:noProof/>
              </w:rPr>
              <w:fldChar w:fldCharType="end"/>
            </w:r>
          </w:hyperlink>
        </w:p>
        <w:p w:rsidR="0051621E" w:rsidRDefault="0051621E">
          <w:pPr>
            <w:pStyle w:val="TOC2"/>
            <w:tabs>
              <w:tab w:val="right" w:leader="dot" w:pos="9350"/>
            </w:tabs>
            <w:rPr>
              <w:noProof/>
            </w:rPr>
          </w:pPr>
          <w:hyperlink w:anchor="_Toc230279720" w:history="1">
            <w:r w:rsidRPr="00CC31CE">
              <w:rPr>
                <w:rStyle w:val="Hyperlink"/>
                <w:noProof/>
              </w:rPr>
              <w:t>12.3 Payroll and HR Compliance</w:t>
            </w:r>
            <w:r>
              <w:rPr>
                <w:noProof/>
              </w:rPr>
              <w:tab/>
            </w:r>
            <w:r>
              <w:rPr>
                <w:noProof/>
              </w:rPr>
              <w:fldChar w:fldCharType="begin"/>
            </w:r>
            <w:r>
              <w:rPr>
                <w:noProof/>
              </w:rPr>
              <w:instrText xml:space="preserve"> PAGEREF _Toc230279720 \h </w:instrText>
            </w:r>
            <w:r>
              <w:rPr>
                <w:noProof/>
              </w:rPr>
            </w:r>
            <w:r>
              <w:rPr>
                <w:noProof/>
              </w:rPr>
              <w:fldChar w:fldCharType="separate"/>
            </w:r>
            <w:r>
              <w:rPr>
                <w:noProof/>
              </w:rPr>
              <w:t>17</w:t>
            </w:r>
            <w:r>
              <w:rPr>
                <w:noProof/>
              </w:rPr>
              <w:fldChar w:fldCharType="end"/>
            </w:r>
          </w:hyperlink>
        </w:p>
        <w:p w:rsidR="0051621E" w:rsidRDefault="0051621E">
          <w:pPr>
            <w:pStyle w:val="TOC1"/>
            <w:tabs>
              <w:tab w:val="right" w:leader="dot" w:pos="9350"/>
            </w:tabs>
            <w:rPr>
              <w:noProof/>
            </w:rPr>
          </w:pPr>
          <w:hyperlink w:anchor="_Toc230279721" w:history="1">
            <w:r w:rsidRPr="00CC31CE">
              <w:rPr>
                <w:rStyle w:val="Hyperlink"/>
                <w:noProof/>
              </w:rPr>
              <w:t>13. Intellectual Property, Data, and Technology</w:t>
            </w:r>
            <w:r>
              <w:rPr>
                <w:noProof/>
              </w:rPr>
              <w:tab/>
            </w:r>
            <w:r>
              <w:rPr>
                <w:noProof/>
              </w:rPr>
              <w:fldChar w:fldCharType="begin"/>
            </w:r>
            <w:r>
              <w:rPr>
                <w:noProof/>
              </w:rPr>
              <w:instrText xml:space="preserve"> PAGEREF _Toc230279721 \h </w:instrText>
            </w:r>
            <w:r>
              <w:rPr>
                <w:noProof/>
              </w:rPr>
            </w:r>
            <w:r>
              <w:rPr>
                <w:noProof/>
              </w:rPr>
              <w:fldChar w:fldCharType="separate"/>
            </w:r>
            <w:r>
              <w:rPr>
                <w:noProof/>
              </w:rPr>
              <w:t>18</w:t>
            </w:r>
            <w:r>
              <w:rPr>
                <w:noProof/>
              </w:rPr>
              <w:fldChar w:fldCharType="end"/>
            </w:r>
          </w:hyperlink>
        </w:p>
        <w:p w:rsidR="0051621E" w:rsidRDefault="0051621E">
          <w:pPr>
            <w:pStyle w:val="TOC2"/>
            <w:tabs>
              <w:tab w:val="right" w:leader="dot" w:pos="9350"/>
            </w:tabs>
            <w:rPr>
              <w:noProof/>
            </w:rPr>
          </w:pPr>
          <w:hyperlink w:anchor="_Toc230279722" w:history="1">
            <w:r w:rsidRPr="00CC31CE">
              <w:rPr>
                <w:rStyle w:val="Hyperlink"/>
                <w:noProof/>
              </w:rPr>
              <w:t>13.1 IP Protection</w:t>
            </w:r>
            <w:r>
              <w:rPr>
                <w:noProof/>
              </w:rPr>
              <w:tab/>
            </w:r>
            <w:r>
              <w:rPr>
                <w:noProof/>
              </w:rPr>
              <w:fldChar w:fldCharType="begin"/>
            </w:r>
            <w:r>
              <w:rPr>
                <w:noProof/>
              </w:rPr>
              <w:instrText xml:space="preserve"> PAGEREF _Toc230279722 \h </w:instrText>
            </w:r>
            <w:r>
              <w:rPr>
                <w:noProof/>
              </w:rPr>
            </w:r>
            <w:r>
              <w:rPr>
                <w:noProof/>
              </w:rPr>
              <w:fldChar w:fldCharType="separate"/>
            </w:r>
            <w:r>
              <w:rPr>
                <w:noProof/>
              </w:rPr>
              <w:t>18</w:t>
            </w:r>
            <w:r>
              <w:rPr>
                <w:noProof/>
              </w:rPr>
              <w:fldChar w:fldCharType="end"/>
            </w:r>
          </w:hyperlink>
        </w:p>
        <w:p w:rsidR="0051621E" w:rsidRDefault="0051621E">
          <w:pPr>
            <w:pStyle w:val="TOC2"/>
            <w:tabs>
              <w:tab w:val="right" w:leader="dot" w:pos="9350"/>
            </w:tabs>
            <w:rPr>
              <w:noProof/>
            </w:rPr>
          </w:pPr>
          <w:hyperlink w:anchor="_Toc230279723" w:history="1">
            <w:r w:rsidRPr="00CC31CE">
              <w:rPr>
                <w:rStyle w:val="Hyperlink"/>
                <w:noProof/>
              </w:rPr>
              <w:t>13.2 Data Protection and Privacy</w:t>
            </w:r>
            <w:r>
              <w:rPr>
                <w:noProof/>
              </w:rPr>
              <w:tab/>
            </w:r>
            <w:r>
              <w:rPr>
                <w:noProof/>
              </w:rPr>
              <w:fldChar w:fldCharType="begin"/>
            </w:r>
            <w:r>
              <w:rPr>
                <w:noProof/>
              </w:rPr>
              <w:instrText xml:space="preserve"> PAGEREF _Toc230279723 \h </w:instrText>
            </w:r>
            <w:r>
              <w:rPr>
                <w:noProof/>
              </w:rPr>
            </w:r>
            <w:r>
              <w:rPr>
                <w:noProof/>
              </w:rPr>
              <w:fldChar w:fldCharType="separate"/>
            </w:r>
            <w:r>
              <w:rPr>
                <w:noProof/>
              </w:rPr>
              <w:t>18</w:t>
            </w:r>
            <w:r>
              <w:rPr>
                <w:noProof/>
              </w:rPr>
              <w:fldChar w:fldCharType="end"/>
            </w:r>
          </w:hyperlink>
        </w:p>
        <w:p w:rsidR="0051621E" w:rsidRDefault="0051621E">
          <w:pPr>
            <w:pStyle w:val="TOC1"/>
            <w:tabs>
              <w:tab w:val="right" w:leader="dot" w:pos="9350"/>
            </w:tabs>
            <w:rPr>
              <w:noProof/>
            </w:rPr>
          </w:pPr>
          <w:hyperlink w:anchor="_Toc230279724" w:history="1">
            <w:r w:rsidRPr="00CC31CE">
              <w:rPr>
                <w:rStyle w:val="Hyperlink"/>
                <w:noProof/>
              </w:rPr>
              <w:t>14. Commercial Contracts and Local Practices</w:t>
            </w:r>
            <w:r>
              <w:rPr>
                <w:noProof/>
              </w:rPr>
              <w:tab/>
            </w:r>
            <w:r>
              <w:rPr>
                <w:noProof/>
              </w:rPr>
              <w:fldChar w:fldCharType="begin"/>
            </w:r>
            <w:r>
              <w:rPr>
                <w:noProof/>
              </w:rPr>
              <w:instrText xml:space="preserve"> PAGEREF _Toc230279724 \h </w:instrText>
            </w:r>
            <w:r>
              <w:rPr>
                <w:noProof/>
              </w:rPr>
            </w:r>
            <w:r>
              <w:rPr>
                <w:noProof/>
              </w:rPr>
              <w:fldChar w:fldCharType="separate"/>
            </w:r>
            <w:r>
              <w:rPr>
                <w:noProof/>
              </w:rPr>
              <w:t>19</w:t>
            </w:r>
            <w:r>
              <w:rPr>
                <w:noProof/>
              </w:rPr>
              <w:fldChar w:fldCharType="end"/>
            </w:r>
          </w:hyperlink>
        </w:p>
        <w:p w:rsidR="0051621E" w:rsidRDefault="0051621E">
          <w:pPr>
            <w:pStyle w:val="TOC1"/>
            <w:tabs>
              <w:tab w:val="right" w:leader="dot" w:pos="9350"/>
            </w:tabs>
            <w:rPr>
              <w:noProof/>
            </w:rPr>
          </w:pPr>
          <w:hyperlink w:anchor="_Toc230279725" w:history="1">
            <w:r w:rsidRPr="00CC31CE">
              <w:rPr>
                <w:rStyle w:val="Hyperlink"/>
                <w:noProof/>
              </w:rPr>
              <w:t>15. Operations, Location, and Economic Zones</w:t>
            </w:r>
            <w:r>
              <w:rPr>
                <w:noProof/>
              </w:rPr>
              <w:tab/>
            </w:r>
            <w:r>
              <w:rPr>
                <w:noProof/>
              </w:rPr>
              <w:fldChar w:fldCharType="begin"/>
            </w:r>
            <w:r>
              <w:rPr>
                <w:noProof/>
              </w:rPr>
              <w:instrText xml:space="preserve"> PAGEREF _Toc230279725 \h </w:instrText>
            </w:r>
            <w:r>
              <w:rPr>
                <w:noProof/>
              </w:rPr>
            </w:r>
            <w:r>
              <w:rPr>
                <w:noProof/>
              </w:rPr>
              <w:fldChar w:fldCharType="separate"/>
            </w:r>
            <w:r>
              <w:rPr>
                <w:noProof/>
              </w:rPr>
              <w:t>20</w:t>
            </w:r>
            <w:r>
              <w:rPr>
                <w:noProof/>
              </w:rPr>
              <w:fldChar w:fldCharType="end"/>
            </w:r>
          </w:hyperlink>
        </w:p>
        <w:p w:rsidR="0051621E" w:rsidRDefault="0051621E">
          <w:pPr>
            <w:pStyle w:val="TOC2"/>
            <w:tabs>
              <w:tab w:val="right" w:leader="dot" w:pos="9350"/>
            </w:tabs>
            <w:rPr>
              <w:noProof/>
            </w:rPr>
          </w:pPr>
          <w:hyperlink w:anchor="_Toc230279726" w:history="1">
            <w:r w:rsidRPr="00CC31CE">
              <w:rPr>
                <w:rStyle w:val="Hyperlink"/>
                <w:noProof/>
              </w:rPr>
              <w:t>15.1 Key Business Locations</w:t>
            </w:r>
            <w:r>
              <w:rPr>
                <w:noProof/>
              </w:rPr>
              <w:tab/>
            </w:r>
            <w:r>
              <w:rPr>
                <w:noProof/>
              </w:rPr>
              <w:fldChar w:fldCharType="begin"/>
            </w:r>
            <w:r>
              <w:rPr>
                <w:noProof/>
              </w:rPr>
              <w:instrText xml:space="preserve"> PAGEREF _Toc230279726 \h </w:instrText>
            </w:r>
            <w:r>
              <w:rPr>
                <w:noProof/>
              </w:rPr>
            </w:r>
            <w:r>
              <w:rPr>
                <w:noProof/>
              </w:rPr>
              <w:fldChar w:fldCharType="separate"/>
            </w:r>
            <w:r>
              <w:rPr>
                <w:noProof/>
              </w:rPr>
              <w:t>20</w:t>
            </w:r>
            <w:r>
              <w:rPr>
                <w:noProof/>
              </w:rPr>
              <w:fldChar w:fldCharType="end"/>
            </w:r>
          </w:hyperlink>
        </w:p>
        <w:p w:rsidR="0051621E" w:rsidRDefault="0051621E">
          <w:pPr>
            <w:pStyle w:val="TOC2"/>
            <w:tabs>
              <w:tab w:val="right" w:leader="dot" w:pos="9350"/>
            </w:tabs>
            <w:rPr>
              <w:noProof/>
            </w:rPr>
          </w:pPr>
          <w:hyperlink w:anchor="_Toc230279727" w:history="1">
            <w:r w:rsidRPr="00CC31CE">
              <w:rPr>
                <w:rStyle w:val="Hyperlink"/>
                <w:noProof/>
              </w:rPr>
              <w:t>15.2 Special Economic Zones and Industrial Estates</w:t>
            </w:r>
            <w:r>
              <w:rPr>
                <w:noProof/>
              </w:rPr>
              <w:tab/>
            </w:r>
            <w:r>
              <w:rPr>
                <w:noProof/>
              </w:rPr>
              <w:fldChar w:fldCharType="begin"/>
            </w:r>
            <w:r>
              <w:rPr>
                <w:noProof/>
              </w:rPr>
              <w:instrText xml:space="preserve"> PAGEREF _Toc230279727 \h </w:instrText>
            </w:r>
            <w:r>
              <w:rPr>
                <w:noProof/>
              </w:rPr>
            </w:r>
            <w:r>
              <w:rPr>
                <w:noProof/>
              </w:rPr>
              <w:fldChar w:fldCharType="separate"/>
            </w:r>
            <w:r>
              <w:rPr>
                <w:noProof/>
              </w:rPr>
              <w:t>20</w:t>
            </w:r>
            <w:r>
              <w:rPr>
                <w:noProof/>
              </w:rPr>
              <w:fldChar w:fldCharType="end"/>
            </w:r>
          </w:hyperlink>
        </w:p>
        <w:p w:rsidR="0051621E" w:rsidRDefault="0051621E">
          <w:pPr>
            <w:pStyle w:val="TOC1"/>
            <w:tabs>
              <w:tab w:val="right" w:leader="dot" w:pos="9350"/>
            </w:tabs>
            <w:rPr>
              <w:noProof/>
            </w:rPr>
          </w:pPr>
          <w:hyperlink w:anchor="_Toc230279728" w:history="1">
            <w:r w:rsidRPr="00CC31CE">
              <w:rPr>
                <w:rStyle w:val="Hyperlink"/>
                <w:noProof/>
              </w:rPr>
              <w:t>16. Compliance Calendar and Ongoing Obligations</w:t>
            </w:r>
            <w:r>
              <w:rPr>
                <w:noProof/>
              </w:rPr>
              <w:tab/>
            </w:r>
            <w:r>
              <w:rPr>
                <w:noProof/>
              </w:rPr>
              <w:fldChar w:fldCharType="begin"/>
            </w:r>
            <w:r>
              <w:rPr>
                <w:noProof/>
              </w:rPr>
              <w:instrText xml:space="preserve"> PAGEREF _Toc230279728 \h </w:instrText>
            </w:r>
            <w:r>
              <w:rPr>
                <w:noProof/>
              </w:rPr>
            </w:r>
            <w:r>
              <w:rPr>
                <w:noProof/>
              </w:rPr>
              <w:fldChar w:fldCharType="separate"/>
            </w:r>
            <w:r>
              <w:rPr>
                <w:noProof/>
              </w:rPr>
              <w:t>21</w:t>
            </w:r>
            <w:r>
              <w:rPr>
                <w:noProof/>
              </w:rPr>
              <w:fldChar w:fldCharType="end"/>
            </w:r>
          </w:hyperlink>
        </w:p>
        <w:p w:rsidR="0051621E" w:rsidRDefault="0051621E">
          <w:pPr>
            <w:pStyle w:val="TOC2"/>
            <w:tabs>
              <w:tab w:val="right" w:leader="dot" w:pos="9350"/>
            </w:tabs>
            <w:rPr>
              <w:noProof/>
            </w:rPr>
          </w:pPr>
          <w:hyperlink w:anchor="_Toc230279729" w:history="1">
            <w:r w:rsidRPr="00CC31CE">
              <w:rPr>
                <w:rStyle w:val="Hyperlink"/>
                <w:noProof/>
              </w:rPr>
              <w:t>16.1 Periodic Compliance Obligations</w:t>
            </w:r>
            <w:r>
              <w:rPr>
                <w:noProof/>
              </w:rPr>
              <w:tab/>
            </w:r>
            <w:r>
              <w:rPr>
                <w:noProof/>
              </w:rPr>
              <w:fldChar w:fldCharType="begin"/>
            </w:r>
            <w:r>
              <w:rPr>
                <w:noProof/>
              </w:rPr>
              <w:instrText xml:space="preserve"> PAGEREF _Toc230279729 \h </w:instrText>
            </w:r>
            <w:r>
              <w:rPr>
                <w:noProof/>
              </w:rPr>
            </w:r>
            <w:r>
              <w:rPr>
                <w:noProof/>
              </w:rPr>
              <w:fldChar w:fldCharType="separate"/>
            </w:r>
            <w:r>
              <w:rPr>
                <w:noProof/>
              </w:rPr>
              <w:t>21</w:t>
            </w:r>
            <w:r>
              <w:rPr>
                <w:noProof/>
              </w:rPr>
              <w:fldChar w:fldCharType="end"/>
            </w:r>
          </w:hyperlink>
        </w:p>
        <w:p w:rsidR="0051621E" w:rsidRDefault="0051621E">
          <w:pPr>
            <w:pStyle w:val="TOC2"/>
            <w:tabs>
              <w:tab w:val="right" w:leader="dot" w:pos="9350"/>
            </w:tabs>
            <w:rPr>
              <w:noProof/>
            </w:rPr>
          </w:pPr>
          <w:hyperlink w:anchor="_Toc230279730" w:history="1">
            <w:r w:rsidRPr="00CC31CE">
              <w:rPr>
                <w:rStyle w:val="Hyperlink"/>
                <w:noProof/>
              </w:rPr>
              <w:t>16.2 Annual Compliance Obligations</w:t>
            </w:r>
            <w:r>
              <w:rPr>
                <w:noProof/>
              </w:rPr>
              <w:tab/>
            </w:r>
            <w:r>
              <w:rPr>
                <w:noProof/>
              </w:rPr>
              <w:fldChar w:fldCharType="begin"/>
            </w:r>
            <w:r>
              <w:rPr>
                <w:noProof/>
              </w:rPr>
              <w:instrText xml:space="preserve"> PAGEREF _Toc230279730 \h </w:instrText>
            </w:r>
            <w:r>
              <w:rPr>
                <w:noProof/>
              </w:rPr>
            </w:r>
            <w:r>
              <w:rPr>
                <w:noProof/>
              </w:rPr>
              <w:fldChar w:fldCharType="separate"/>
            </w:r>
            <w:r>
              <w:rPr>
                <w:noProof/>
              </w:rPr>
              <w:t>21</w:t>
            </w:r>
            <w:r>
              <w:rPr>
                <w:noProof/>
              </w:rPr>
              <w:fldChar w:fldCharType="end"/>
            </w:r>
          </w:hyperlink>
        </w:p>
        <w:p w:rsidR="0051621E" w:rsidRDefault="0051621E">
          <w:pPr>
            <w:pStyle w:val="TOC2"/>
            <w:tabs>
              <w:tab w:val="right" w:leader="dot" w:pos="9350"/>
            </w:tabs>
            <w:rPr>
              <w:noProof/>
            </w:rPr>
          </w:pPr>
          <w:hyperlink w:anchor="_Toc230279731" w:history="1">
            <w:r w:rsidRPr="00CC31CE">
              <w:rPr>
                <w:rStyle w:val="Hyperlink"/>
                <w:noProof/>
              </w:rPr>
              <w:t>16.3 Mo</w:t>
            </w:r>
            <w:r w:rsidRPr="00CC31CE">
              <w:rPr>
                <w:rStyle w:val="Hyperlink"/>
                <w:noProof/>
              </w:rPr>
              <w:t>n</w:t>
            </w:r>
            <w:r w:rsidRPr="00CC31CE">
              <w:rPr>
                <w:rStyle w:val="Hyperlink"/>
                <w:noProof/>
              </w:rPr>
              <w:t>th-wise Thai Calendar Year (January to December)</w:t>
            </w:r>
            <w:r>
              <w:rPr>
                <w:noProof/>
              </w:rPr>
              <w:tab/>
            </w:r>
            <w:r>
              <w:rPr>
                <w:noProof/>
              </w:rPr>
              <w:fldChar w:fldCharType="begin"/>
            </w:r>
            <w:r>
              <w:rPr>
                <w:noProof/>
              </w:rPr>
              <w:instrText xml:space="preserve"> PAGEREF _Toc230279731 \h </w:instrText>
            </w:r>
            <w:r>
              <w:rPr>
                <w:noProof/>
              </w:rPr>
            </w:r>
            <w:r>
              <w:rPr>
                <w:noProof/>
              </w:rPr>
              <w:fldChar w:fldCharType="separate"/>
            </w:r>
            <w:r>
              <w:rPr>
                <w:noProof/>
              </w:rPr>
              <w:t>22</w:t>
            </w:r>
            <w:r>
              <w:rPr>
                <w:noProof/>
              </w:rPr>
              <w:fldChar w:fldCharType="end"/>
            </w:r>
          </w:hyperlink>
        </w:p>
        <w:p w:rsidR="0051621E" w:rsidRDefault="0051621E">
          <w:pPr>
            <w:pStyle w:val="TOC3"/>
            <w:tabs>
              <w:tab w:val="right" w:leader="dot" w:pos="9350"/>
            </w:tabs>
            <w:rPr>
              <w:noProof/>
            </w:rPr>
          </w:pPr>
          <w:hyperlink w:anchor="_Toc230279732" w:history="1">
            <w:r w:rsidRPr="00CC31CE">
              <w:rPr>
                <w:rStyle w:val="Hyperlink"/>
                <w:noProof/>
              </w:rPr>
              <w:t>January</w:t>
            </w:r>
            <w:r>
              <w:rPr>
                <w:noProof/>
              </w:rPr>
              <w:tab/>
            </w:r>
            <w:r>
              <w:rPr>
                <w:noProof/>
              </w:rPr>
              <w:fldChar w:fldCharType="begin"/>
            </w:r>
            <w:r>
              <w:rPr>
                <w:noProof/>
              </w:rPr>
              <w:instrText xml:space="preserve"> PAGEREF _Toc230279732 \h </w:instrText>
            </w:r>
            <w:r>
              <w:rPr>
                <w:noProof/>
              </w:rPr>
            </w:r>
            <w:r>
              <w:rPr>
                <w:noProof/>
              </w:rPr>
              <w:fldChar w:fldCharType="separate"/>
            </w:r>
            <w:r>
              <w:rPr>
                <w:noProof/>
              </w:rPr>
              <w:t>22</w:t>
            </w:r>
            <w:r>
              <w:rPr>
                <w:noProof/>
              </w:rPr>
              <w:fldChar w:fldCharType="end"/>
            </w:r>
          </w:hyperlink>
        </w:p>
        <w:p w:rsidR="0051621E" w:rsidRDefault="0051621E">
          <w:pPr>
            <w:pStyle w:val="TOC3"/>
            <w:tabs>
              <w:tab w:val="right" w:leader="dot" w:pos="9350"/>
            </w:tabs>
            <w:rPr>
              <w:noProof/>
            </w:rPr>
          </w:pPr>
          <w:hyperlink w:anchor="_Toc230279733" w:history="1">
            <w:r w:rsidRPr="00CC31CE">
              <w:rPr>
                <w:rStyle w:val="Hyperlink"/>
                <w:noProof/>
              </w:rPr>
              <w:t>February</w:t>
            </w:r>
            <w:r>
              <w:rPr>
                <w:noProof/>
              </w:rPr>
              <w:tab/>
            </w:r>
            <w:r>
              <w:rPr>
                <w:noProof/>
              </w:rPr>
              <w:fldChar w:fldCharType="begin"/>
            </w:r>
            <w:r>
              <w:rPr>
                <w:noProof/>
              </w:rPr>
              <w:instrText xml:space="preserve"> PAGEREF _Toc230279733 \h </w:instrText>
            </w:r>
            <w:r>
              <w:rPr>
                <w:noProof/>
              </w:rPr>
            </w:r>
            <w:r>
              <w:rPr>
                <w:noProof/>
              </w:rPr>
              <w:fldChar w:fldCharType="separate"/>
            </w:r>
            <w:r>
              <w:rPr>
                <w:noProof/>
              </w:rPr>
              <w:t>22</w:t>
            </w:r>
            <w:r>
              <w:rPr>
                <w:noProof/>
              </w:rPr>
              <w:fldChar w:fldCharType="end"/>
            </w:r>
          </w:hyperlink>
        </w:p>
        <w:p w:rsidR="0051621E" w:rsidRDefault="0051621E">
          <w:pPr>
            <w:pStyle w:val="TOC3"/>
            <w:tabs>
              <w:tab w:val="right" w:leader="dot" w:pos="9350"/>
            </w:tabs>
            <w:rPr>
              <w:noProof/>
            </w:rPr>
          </w:pPr>
          <w:hyperlink w:anchor="_Toc230279734" w:history="1">
            <w:r w:rsidRPr="00CC31CE">
              <w:rPr>
                <w:rStyle w:val="Hyperlink"/>
                <w:noProof/>
              </w:rPr>
              <w:t>March</w:t>
            </w:r>
            <w:r>
              <w:rPr>
                <w:noProof/>
              </w:rPr>
              <w:tab/>
            </w:r>
            <w:r>
              <w:rPr>
                <w:noProof/>
              </w:rPr>
              <w:fldChar w:fldCharType="begin"/>
            </w:r>
            <w:r>
              <w:rPr>
                <w:noProof/>
              </w:rPr>
              <w:instrText xml:space="preserve"> PAGEREF _Toc230279734 \h </w:instrText>
            </w:r>
            <w:r>
              <w:rPr>
                <w:noProof/>
              </w:rPr>
            </w:r>
            <w:r>
              <w:rPr>
                <w:noProof/>
              </w:rPr>
              <w:fldChar w:fldCharType="separate"/>
            </w:r>
            <w:r>
              <w:rPr>
                <w:noProof/>
              </w:rPr>
              <w:t>22</w:t>
            </w:r>
            <w:r>
              <w:rPr>
                <w:noProof/>
              </w:rPr>
              <w:fldChar w:fldCharType="end"/>
            </w:r>
          </w:hyperlink>
        </w:p>
        <w:p w:rsidR="0051621E" w:rsidRDefault="0051621E">
          <w:pPr>
            <w:pStyle w:val="TOC3"/>
            <w:tabs>
              <w:tab w:val="right" w:leader="dot" w:pos="9350"/>
            </w:tabs>
            <w:rPr>
              <w:noProof/>
            </w:rPr>
          </w:pPr>
          <w:hyperlink w:anchor="_Toc230279735" w:history="1">
            <w:r w:rsidRPr="00CC31CE">
              <w:rPr>
                <w:rStyle w:val="Hyperlink"/>
                <w:noProof/>
              </w:rPr>
              <w:t>April</w:t>
            </w:r>
            <w:r>
              <w:rPr>
                <w:noProof/>
              </w:rPr>
              <w:tab/>
            </w:r>
            <w:r>
              <w:rPr>
                <w:noProof/>
              </w:rPr>
              <w:fldChar w:fldCharType="begin"/>
            </w:r>
            <w:r>
              <w:rPr>
                <w:noProof/>
              </w:rPr>
              <w:instrText xml:space="preserve"> PAGEREF _Toc230279735 \h </w:instrText>
            </w:r>
            <w:r>
              <w:rPr>
                <w:noProof/>
              </w:rPr>
            </w:r>
            <w:r>
              <w:rPr>
                <w:noProof/>
              </w:rPr>
              <w:fldChar w:fldCharType="separate"/>
            </w:r>
            <w:r>
              <w:rPr>
                <w:noProof/>
              </w:rPr>
              <w:t>22</w:t>
            </w:r>
            <w:r>
              <w:rPr>
                <w:noProof/>
              </w:rPr>
              <w:fldChar w:fldCharType="end"/>
            </w:r>
          </w:hyperlink>
        </w:p>
        <w:p w:rsidR="0051621E" w:rsidRDefault="0051621E">
          <w:pPr>
            <w:pStyle w:val="TOC3"/>
            <w:tabs>
              <w:tab w:val="right" w:leader="dot" w:pos="9350"/>
            </w:tabs>
            <w:rPr>
              <w:noProof/>
            </w:rPr>
          </w:pPr>
          <w:hyperlink w:anchor="_Toc230279736" w:history="1">
            <w:r w:rsidRPr="00CC31CE">
              <w:rPr>
                <w:rStyle w:val="Hyperlink"/>
                <w:noProof/>
              </w:rPr>
              <w:t>May</w:t>
            </w:r>
            <w:r>
              <w:rPr>
                <w:noProof/>
              </w:rPr>
              <w:tab/>
            </w:r>
            <w:r>
              <w:rPr>
                <w:noProof/>
              </w:rPr>
              <w:fldChar w:fldCharType="begin"/>
            </w:r>
            <w:r>
              <w:rPr>
                <w:noProof/>
              </w:rPr>
              <w:instrText xml:space="preserve"> PAGEREF _Toc230279736 \h </w:instrText>
            </w:r>
            <w:r>
              <w:rPr>
                <w:noProof/>
              </w:rPr>
            </w:r>
            <w:r>
              <w:rPr>
                <w:noProof/>
              </w:rPr>
              <w:fldChar w:fldCharType="separate"/>
            </w:r>
            <w:r>
              <w:rPr>
                <w:noProof/>
              </w:rPr>
              <w:t>22</w:t>
            </w:r>
            <w:r>
              <w:rPr>
                <w:noProof/>
              </w:rPr>
              <w:fldChar w:fldCharType="end"/>
            </w:r>
          </w:hyperlink>
        </w:p>
        <w:p w:rsidR="0051621E" w:rsidRDefault="0051621E">
          <w:pPr>
            <w:pStyle w:val="TOC3"/>
            <w:tabs>
              <w:tab w:val="right" w:leader="dot" w:pos="9350"/>
            </w:tabs>
            <w:rPr>
              <w:noProof/>
            </w:rPr>
          </w:pPr>
          <w:hyperlink w:anchor="_Toc230279737" w:history="1">
            <w:r w:rsidRPr="00CC31CE">
              <w:rPr>
                <w:rStyle w:val="Hyperlink"/>
                <w:noProof/>
              </w:rPr>
              <w:t>June</w:t>
            </w:r>
            <w:r>
              <w:rPr>
                <w:noProof/>
              </w:rPr>
              <w:tab/>
            </w:r>
            <w:r>
              <w:rPr>
                <w:noProof/>
              </w:rPr>
              <w:fldChar w:fldCharType="begin"/>
            </w:r>
            <w:r>
              <w:rPr>
                <w:noProof/>
              </w:rPr>
              <w:instrText xml:space="preserve"> PAGEREF _Toc230279737 \h </w:instrText>
            </w:r>
            <w:r>
              <w:rPr>
                <w:noProof/>
              </w:rPr>
            </w:r>
            <w:r>
              <w:rPr>
                <w:noProof/>
              </w:rPr>
              <w:fldChar w:fldCharType="separate"/>
            </w:r>
            <w:r>
              <w:rPr>
                <w:noProof/>
              </w:rPr>
              <w:t>23</w:t>
            </w:r>
            <w:r>
              <w:rPr>
                <w:noProof/>
              </w:rPr>
              <w:fldChar w:fldCharType="end"/>
            </w:r>
          </w:hyperlink>
        </w:p>
        <w:p w:rsidR="0051621E" w:rsidRDefault="0051621E">
          <w:pPr>
            <w:pStyle w:val="TOC3"/>
            <w:tabs>
              <w:tab w:val="right" w:leader="dot" w:pos="9350"/>
            </w:tabs>
            <w:rPr>
              <w:noProof/>
            </w:rPr>
          </w:pPr>
          <w:hyperlink w:anchor="_Toc230279738" w:history="1">
            <w:r w:rsidRPr="00CC31CE">
              <w:rPr>
                <w:rStyle w:val="Hyperlink"/>
                <w:noProof/>
              </w:rPr>
              <w:t>July</w:t>
            </w:r>
            <w:r>
              <w:rPr>
                <w:noProof/>
              </w:rPr>
              <w:tab/>
            </w:r>
            <w:r>
              <w:rPr>
                <w:noProof/>
              </w:rPr>
              <w:fldChar w:fldCharType="begin"/>
            </w:r>
            <w:r>
              <w:rPr>
                <w:noProof/>
              </w:rPr>
              <w:instrText xml:space="preserve"> PAGEREF _Toc230279738 \h </w:instrText>
            </w:r>
            <w:r>
              <w:rPr>
                <w:noProof/>
              </w:rPr>
            </w:r>
            <w:r>
              <w:rPr>
                <w:noProof/>
              </w:rPr>
              <w:fldChar w:fldCharType="separate"/>
            </w:r>
            <w:r>
              <w:rPr>
                <w:noProof/>
              </w:rPr>
              <w:t>23</w:t>
            </w:r>
            <w:r>
              <w:rPr>
                <w:noProof/>
              </w:rPr>
              <w:fldChar w:fldCharType="end"/>
            </w:r>
          </w:hyperlink>
        </w:p>
        <w:p w:rsidR="0051621E" w:rsidRDefault="0051621E">
          <w:pPr>
            <w:pStyle w:val="TOC3"/>
            <w:tabs>
              <w:tab w:val="right" w:leader="dot" w:pos="9350"/>
            </w:tabs>
            <w:rPr>
              <w:noProof/>
            </w:rPr>
          </w:pPr>
          <w:hyperlink w:anchor="_Toc230279739" w:history="1">
            <w:r w:rsidRPr="00CC31CE">
              <w:rPr>
                <w:rStyle w:val="Hyperlink"/>
                <w:noProof/>
              </w:rPr>
              <w:t>August</w:t>
            </w:r>
            <w:r>
              <w:rPr>
                <w:noProof/>
              </w:rPr>
              <w:tab/>
            </w:r>
            <w:r>
              <w:rPr>
                <w:noProof/>
              </w:rPr>
              <w:fldChar w:fldCharType="begin"/>
            </w:r>
            <w:r>
              <w:rPr>
                <w:noProof/>
              </w:rPr>
              <w:instrText xml:space="preserve"> PAGEREF _Toc230279739 \h </w:instrText>
            </w:r>
            <w:r>
              <w:rPr>
                <w:noProof/>
              </w:rPr>
            </w:r>
            <w:r>
              <w:rPr>
                <w:noProof/>
              </w:rPr>
              <w:fldChar w:fldCharType="separate"/>
            </w:r>
            <w:r>
              <w:rPr>
                <w:noProof/>
              </w:rPr>
              <w:t>23</w:t>
            </w:r>
            <w:r>
              <w:rPr>
                <w:noProof/>
              </w:rPr>
              <w:fldChar w:fldCharType="end"/>
            </w:r>
          </w:hyperlink>
        </w:p>
        <w:p w:rsidR="0051621E" w:rsidRDefault="0051621E">
          <w:pPr>
            <w:pStyle w:val="TOC3"/>
            <w:tabs>
              <w:tab w:val="right" w:leader="dot" w:pos="9350"/>
            </w:tabs>
            <w:rPr>
              <w:noProof/>
            </w:rPr>
          </w:pPr>
          <w:hyperlink w:anchor="_Toc230279740" w:history="1">
            <w:r w:rsidRPr="00CC31CE">
              <w:rPr>
                <w:rStyle w:val="Hyperlink"/>
                <w:noProof/>
              </w:rPr>
              <w:t>September</w:t>
            </w:r>
            <w:r>
              <w:rPr>
                <w:noProof/>
              </w:rPr>
              <w:tab/>
            </w:r>
            <w:r>
              <w:rPr>
                <w:noProof/>
              </w:rPr>
              <w:fldChar w:fldCharType="begin"/>
            </w:r>
            <w:r>
              <w:rPr>
                <w:noProof/>
              </w:rPr>
              <w:instrText xml:space="preserve"> PAGEREF _Toc230279740 \h </w:instrText>
            </w:r>
            <w:r>
              <w:rPr>
                <w:noProof/>
              </w:rPr>
            </w:r>
            <w:r>
              <w:rPr>
                <w:noProof/>
              </w:rPr>
              <w:fldChar w:fldCharType="separate"/>
            </w:r>
            <w:r>
              <w:rPr>
                <w:noProof/>
              </w:rPr>
              <w:t>23</w:t>
            </w:r>
            <w:r>
              <w:rPr>
                <w:noProof/>
              </w:rPr>
              <w:fldChar w:fldCharType="end"/>
            </w:r>
          </w:hyperlink>
        </w:p>
        <w:p w:rsidR="0051621E" w:rsidRDefault="0051621E">
          <w:pPr>
            <w:pStyle w:val="TOC3"/>
            <w:tabs>
              <w:tab w:val="right" w:leader="dot" w:pos="9350"/>
            </w:tabs>
            <w:rPr>
              <w:noProof/>
            </w:rPr>
          </w:pPr>
          <w:hyperlink w:anchor="_Toc230279741" w:history="1">
            <w:r w:rsidRPr="00CC31CE">
              <w:rPr>
                <w:rStyle w:val="Hyperlink"/>
                <w:noProof/>
              </w:rPr>
              <w:t>October</w:t>
            </w:r>
            <w:r>
              <w:rPr>
                <w:noProof/>
              </w:rPr>
              <w:tab/>
            </w:r>
            <w:r>
              <w:rPr>
                <w:noProof/>
              </w:rPr>
              <w:fldChar w:fldCharType="begin"/>
            </w:r>
            <w:r>
              <w:rPr>
                <w:noProof/>
              </w:rPr>
              <w:instrText xml:space="preserve"> PAGEREF _Toc230279741 \h </w:instrText>
            </w:r>
            <w:r>
              <w:rPr>
                <w:noProof/>
              </w:rPr>
            </w:r>
            <w:r>
              <w:rPr>
                <w:noProof/>
              </w:rPr>
              <w:fldChar w:fldCharType="separate"/>
            </w:r>
            <w:r>
              <w:rPr>
                <w:noProof/>
              </w:rPr>
              <w:t>23</w:t>
            </w:r>
            <w:r>
              <w:rPr>
                <w:noProof/>
              </w:rPr>
              <w:fldChar w:fldCharType="end"/>
            </w:r>
          </w:hyperlink>
        </w:p>
        <w:p w:rsidR="0051621E" w:rsidRDefault="0051621E">
          <w:pPr>
            <w:pStyle w:val="TOC3"/>
            <w:tabs>
              <w:tab w:val="right" w:leader="dot" w:pos="9350"/>
            </w:tabs>
            <w:rPr>
              <w:noProof/>
            </w:rPr>
          </w:pPr>
          <w:hyperlink w:anchor="_Toc230279742" w:history="1">
            <w:r w:rsidRPr="00CC31CE">
              <w:rPr>
                <w:rStyle w:val="Hyperlink"/>
                <w:noProof/>
              </w:rPr>
              <w:t>November</w:t>
            </w:r>
            <w:r>
              <w:rPr>
                <w:noProof/>
              </w:rPr>
              <w:tab/>
            </w:r>
            <w:r>
              <w:rPr>
                <w:noProof/>
              </w:rPr>
              <w:fldChar w:fldCharType="begin"/>
            </w:r>
            <w:r>
              <w:rPr>
                <w:noProof/>
              </w:rPr>
              <w:instrText xml:space="preserve"> PAGEREF _Toc230279742 \h </w:instrText>
            </w:r>
            <w:r>
              <w:rPr>
                <w:noProof/>
              </w:rPr>
            </w:r>
            <w:r>
              <w:rPr>
                <w:noProof/>
              </w:rPr>
              <w:fldChar w:fldCharType="separate"/>
            </w:r>
            <w:r>
              <w:rPr>
                <w:noProof/>
              </w:rPr>
              <w:t>24</w:t>
            </w:r>
            <w:r>
              <w:rPr>
                <w:noProof/>
              </w:rPr>
              <w:fldChar w:fldCharType="end"/>
            </w:r>
          </w:hyperlink>
        </w:p>
        <w:p w:rsidR="0051621E" w:rsidRDefault="0051621E">
          <w:pPr>
            <w:pStyle w:val="TOC3"/>
            <w:tabs>
              <w:tab w:val="right" w:leader="dot" w:pos="9350"/>
            </w:tabs>
            <w:rPr>
              <w:noProof/>
            </w:rPr>
          </w:pPr>
          <w:hyperlink w:anchor="_Toc230279743" w:history="1">
            <w:r w:rsidRPr="00CC31CE">
              <w:rPr>
                <w:rStyle w:val="Hyperlink"/>
                <w:noProof/>
              </w:rPr>
              <w:t>December</w:t>
            </w:r>
            <w:r>
              <w:rPr>
                <w:noProof/>
              </w:rPr>
              <w:tab/>
            </w:r>
            <w:r>
              <w:rPr>
                <w:noProof/>
              </w:rPr>
              <w:fldChar w:fldCharType="begin"/>
            </w:r>
            <w:r>
              <w:rPr>
                <w:noProof/>
              </w:rPr>
              <w:instrText xml:space="preserve"> PAGEREF _Toc230279743 \h </w:instrText>
            </w:r>
            <w:r>
              <w:rPr>
                <w:noProof/>
              </w:rPr>
            </w:r>
            <w:r>
              <w:rPr>
                <w:noProof/>
              </w:rPr>
              <w:fldChar w:fldCharType="separate"/>
            </w:r>
            <w:r>
              <w:rPr>
                <w:noProof/>
              </w:rPr>
              <w:t>24</w:t>
            </w:r>
            <w:r>
              <w:rPr>
                <w:noProof/>
              </w:rPr>
              <w:fldChar w:fldCharType="end"/>
            </w:r>
          </w:hyperlink>
        </w:p>
        <w:p w:rsidR="0051621E" w:rsidRDefault="0051621E">
          <w:pPr>
            <w:pStyle w:val="TOC1"/>
            <w:tabs>
              <w:tab w:val="right" w:leader="dot" w:pos="9350"/>
            </w:tabs>
            <w:rPr>
              <w:noProof/>
            </w:rPr>
          </w:pPr>
          <w:hyperlink w:anchor="_Toc230279744" w:history="1">
            <w:r w:rsidRPr="00CC31CE">
              <w:rPr>
                <w:rStyle w:val="Hyperlink"/>
                <w:noProof/>
              </w:rPr>
              <w:t>17. Risk, Disputes, and Exit Options</w:t>
            </w:r>
            <w:r>
              <w:rPr>
                <w:noProof/>
              </w:rPr>
              <w:tab/>
            </w:r>
            <w:r>
              <w:rPr>
                <w:noProof/>
              </w:rPr>
              <w:fldChar w:fldCharType="begin"/>
            </w:r>
            <w:r>
              <w:rPr>
                <w:noProof/>
              </w:rPr>
              <w:instrText xml:space="preserve"> PAGEREF _Toc230279744 \h </w:instrText>
            </w:r>
            <w:r>
              <w:rPr>
                <w:noProof/>
              </w:rPr>
            </w:r>
            <w:r>
              <w:rPr>
                <w:noProof/>
              </w:rPr>
              <w:fldChar w:fldCharType="separate"/>
            </w:r>
            <w:r>
              <w:rPr>
                <w:noProof/>
              </w:rPr>
              <w:t>25</w:t>
            </w:r>
            <w:r>
              <w:rPr>
                <w:noProof/>
              </w:rPr>
              <w:fldChar w:fldCharType="end"/>
            </w:r>
          </w:hyperlink>
        </w:p>
        <w:p w:rsidR="0051621E" w:rsidRDefault="0051621E">
          <w:pPr>
            <w:pStyle w:val="TOC2"/>
            <w:tabs>
              <w:tab w:val="right" w:leader="dot" w:pos="9350"/>
            </w:tabs>
            <w:rPr>
              <w:noProof/>
            </w:rPr>
          </w:pPr>
          <w:hyperlink w:anchor="_Toc230279745" w:history="1">
            <w:r w:rsidRPr="00CC31CE">
              <w:rPr>
                <w:rStyle w:val="Hyperlink"/>
                <w:noProof/>
              </w:rPr>
              <w:t>17.1 Dispute Resolution</w:t>
            </w:r>
            <w:r>
              <w:rPr>
                <w:noProof/>
              </w:rPr>
              <w:tab/>
            </w:r>
            <w:r>
              <w:rPr>
                <w:noProof/>
              </w:rPr>
              <w:fldChar w:fldCharType="begin"/>
            </w:r>
            <w:r>
              <w:rPr>
                <w:noProof/>
              </w:rPr>
              <w:instrText xml:space="preserve"> PAGEREF _Toc230279745 \h </w:instrText>
            </w:r>
            <w:r>
              <w:rPr>
                <w:noProof/>
              </w:rPr>
            </w:r>
            <w:r>
              <w:rPr>
                <w:noProof/>
              </w:rPr>
              <w:fldChar w:fldCharType="separate"/>
            </w:r>
            <w:r>
              <w:rPr>
                <w:noProof/>
              </w:rPr>
              <w:t>25</w:t>
            </w:r>
            <w:r>
              <w:rPr>
                <w:noProof/>
              </w:rPr>
              <w:fldChar w:fldCharType="end"/>
            </w:r>
          </w:hyperlink>
        </w:p>
        <w:p w:rsidR="0051621E" w:rsidRDefault="0051621E">
          <w:pPr>
            <w:pStyle w:val="TOC2"/>
            <w:tabs>
              <w:tab w:val="right" w:leader="dot" w:pos="9350"/>
            </w:tabs>
            <w:rPr>
              <w:noProof/>
            </w:rPr>
          </w:pPr>
          <w:hyperlink w:anchor="_Toc230279746" w:history="1">
            <w:r w:rsidRPr="00CC31CE">
              <w:rPr>
                <w:rStyle w:val="Hyperlink"/>
                <w:noProof/>
              </w:rPr>
              <w:t>17.2 Key Risk Areas</w:t>
            </w:r>
            <w:r>
              <w:rPr>
                <w:noProof/>
              </w:rPr>
              <w:tab/>
            </w:r>
            <w:r>
              <w:rPr>
                <w:noProof/>
              </w:rPr>
              <w:fldChar w:fldCharType="begin"/>
            </w:r>
            <w:r>
              <w:rPr>
                <w:noProof/>
              </w:rPr>
              <w:instrText xml:space="preserve"> PAGEREF _Toc230279746 \h </w:instrText>
            </w:r>
            <w:r>
              <w:rPr>
                <w:noProof/>
              </w:rPr>
            </w:r>
            <w:r>
              <w:rPr>
                <w:noProof/>
              </w:rPr>
              <w:fldChar w:fldCharType="separate"/>
            </w:r>
            <w:r>
              <w:rPr>
                <w:noProof/>
              </w:rPr>
              <w:t>25</w:t>
            </w:r>
            <w:r>
              <w:rPr>
                <w:noProof/>
              </w:rPr>
              <w:fldChar w:fldCharType="end"/>
            </w:r>
          </w:hyperlink>
        </w:p>
        <w:p w:rsidR="0051621E" w:rsidRDefault="0051621E">
          <w:pPr>
            <w:pStyle w:val="TOC2"/>
            <w:tabs>
              <w:tab w:val="right" w:leader="dot" w:pos="9350"/>
            </w:tabs>
            <w:rPr>
              <w:noProof/>
            </w:rPr>
          </w:pPr>
          <w:hyperlink w:anchor="_Toc230279747" w:history="1">
            <w:r w:rsidRPr="00CC31CE">
              <w:rPr>
                <w:rStyle w:val="Hyperlink"/>
                <w:noProof/>
              </w:rPr>
              <w:t>17.3 Exit and Restructuring Options</w:t>
            </w:r>
            <w:r>
              <w:rPr>
                <w:noProof/>
              </w:rPr>
              <w:tab/>
            </w:r>
            <w:r>
              <w:rPr>
                <w:noProof/>
              </w:rPr>
              <w:fldChar w:fldCharType="begin"/>
            </w:r>
            <w:r>
              <w:rPr>
                <w:noProof/>
              </w:rPr>
              <w:instrText xml:space="preserve"> PAGEREF _Toc230279747 \h </w:instrText>
            </w:r>
            <w:r>
              <w:rPr>
                <w:noProof/>
              </w:rPr>
            </w:r>
            <w:r>
              <w:rPr>
                <w:noProof/>
              </w:rPr>
              <w:fldChar w:fldCharType="separate"/>
            </w:r>
            <w:r>
              <w:rPr>
                <w:noProof/>
              </w:rPr>
              <w:t>25</w:t>
            </w:r>
            <w:r>
              <w:rPr>
                <w:noProof/>
              </w:rPr>
              <w:fldChar w:fldCharType="end"/>
            </w:r>
          </w:hyperlink>
        </w:p>
        <w:p w:rsidR="0051621E" w:rsidRDefault="0051621E">
          <w:pPr>
            <w:pStyle w:val="TOC1"/>
            <w:tabs>
              <w:tab w:val="right" w:leader="dot" w:pos="9350"/>
            </w:tabs>
            <w:rPr>
              <w:noProof/>
            </w:rPr>
          </w:pPr>
          <w:hyperlink w:anchor="_Toc230279748" w:history="1">
            <w:r w:rsidRPr="00CC31CE">
              <w:rPr>
                <w:rStyle w:val="Hyperlink"/>
                <w:noProof/>
              </w:rPr>
              <w:t>18. Practical Checklists and Tools</w:t>
            </w:r>
            <w:r>
              <w:rPr>
                <w:noProof/>
              </w:rPr>
              <w:tab/>
            </w:r>
            <w:r>
              <w:rPr>
                <w:noProof/>
              </w:rPr>
              <w:fldChar w:fldCharType="begin"/>
            </w:r>
            <w:r>
              <w:rPr>
                <w:noProof/>
              </w:rPr>
              <w:instrText xml:space="preserve"> PAGEREF _Toc230279748 \h </w:instrText>
            </w:r>
            <w:r>
              <w:rPr>
                <w:noProof/>
              </w:rPr>
            </w:r>
            <w:r>
              <w:rPr>
                <w:noProof/>
              </w:rPr>
              <w:fldChar w:fldCharType="separate"/>
            </w:r>
            <w:r>
              <w:rPr>
                <w:noProof/>
              </w:rPr>
              <w:t>26</w:t>
            </w:r>
            <w:r>
              <w:rPr>
                <w:noProof/>
              </w:rPr>
              <w:fldChar w:fldCharType="end"/>
            </w:r>
          </w:hyperlink>
        </w:p>
        <w:p w:rsidR="0051621E" w:rsidRDefault="0051621E">
          <w:pPr>
            <w:pStyle w:val="TOC2"/>
            <w:tabs>
              <w:tab w:val="right" w:leader="dot" w:pos="9350"/>
            </w:tabs>
            <w:rPr>
              <w:noProof/>
            </w:rPr>
          </w:pPr>
          <w:hyperlink w:anchor="_Toc230279749" w:history="1">
            <w:r w:rsidRPr="00CC31CE">
              <w:rPr>
                <w:rStyle w:val="Hyperlink"/>
                <w:noProof/>
              </w:rPr>
              <w:t>18.1 Pre-Entry Checklist for Indian Entrepreneurs</w:t>
            </w:r>
            <w:r>
              <w:rPr>
                <w:noProof/>
              </w:rPr>
              <w:tab/>
            </w:r>
            <w:r>
              <w:rPr>
                <w:noProof/>
              </w:rPr>
              <w:fldChar w:fldCharType="begin"/>
            </w:r>
            <w:r>
              <w:rPr>
                <w:noProof/>
              </w:rPr>
              <w:instrText xml:space="preserve"> PAGEREF _Toc230279749 \h </w:instrText>
            </w:r>
            <w:r>
              <w:rPr>
                <w:noProof/>
              </w:rPr>
            </w:r>
            <w:r>
              <w:rPr>
                <w:noProof/>
              </w:rPr>
              <w:fldChar w:fldCharType="separate"/>
            </w:r>
            <w:r>
              <w:rPr>
                <w:noProof/>
              </w:rPr>
              <w:t>26</w:t>
            </w:r>
            <w:r>
              <w:rPr>
                <w:noProof/>
              </w:rPr>
              <w:fldChar w:fldCharType="end"/>
            </w:r>
          </w:hyperlink>
        </w:p>
        <w:p w:rsidR="0051621E" w:rsidRDefault="0051621E">
          <w:pPr>
            <w:pStyle w:val="TOC1"/>
            <w:tabs>
              <w:tab w:val="right" w:leader="dot" w:pos="9350"/>
            </w:tabs>
            <w:rPr>
              <w:noProof/>
            </w:rPr>
          </w:pPr>
          <w:hyperlink w:anchor="_Toc230279750" w:history="1">
            <w:r w:rsidRPr="00CC31CE">
              <w:rPr>
                <w:rStyle w:val="Hyperlink"/>
                <w:noProof/>
              </w:rPr>
              <w:t>19. Compliance Penalty Matrix</w:t>
            </w:r>
            <w:r>
              <w:rPr>
                <w:noProof/>
              </w:rPr>
              <w:tab/>
            </w:r>
            <w:r>
              <w:rPr>
                <w:noProof/>
              </w:rPr>
              <w:fldChar w:fldCharType="begin"/>
            </w:r>
            <w:r>
              <w:rPr>
                <w:noProof/>
              </w:rPr>
              <w:instrText xml:space="preserve"> PAGEREF _Toc230279750 \h </w:instrText>
            </w:r>
            <w:r>
              <w:rPr>
                <w:noProof/>
              </w:rPr>
            </w:r>
            <w:r>
              <w:rPr>
                <w:noProof/>
              </w:rPr>
              <w:fldChar w:fldCharType="separate"/>
            </w:r>
            <w:r>
              <w:rPr>
                <w:noProof/>
              </w:rPr>
              <w:t>27</w:t>
            </w:r>
            <w:r>
              <w:rPr>
                <w:noProof/>
              </w:rPr>
              <w:fldChar w:fldCharType="end"/>
            </w:r>
          </w:hyperlink>
        </w:p>
        <w:p w:rsidR="0051621E" w:rsidRDefault="0051621E">
          <w:pPr>
            <w:pStyle w:val="TOC1"/>
            <w:tabs>
              <w:tab w:val="right" w:leader="dot" w:pos="9350"/>
            </w:tabs>
            <w:rPr>
              <w:noProof/>
            </w:rPr>
          </w:pPr>
          <w:hyperlink w:anchor="_Toc230279751" w:history="1">
            <w:r w:rsidRPr="00CC31CE">
              <w:rPr>
                <w:rStyle w:val="Hyperlink"/>
                <w:noProof/>
              </w:rPr>
              <w:t>20. How Comply Globally Supports Entry Thailand</w:t>
            </w:r>
            <w:r>
              <w:rPr>
                <w:noProof/>
              </w:rPr>
              <w:tab/>
            </w:r>
            <w:r>
              <w:rPr>
                <w:noProof/>
              </w:rPr>
              <w:fldChar w:fldCharType="begin"/>
            </w:r>
            <w:r>
              <w:rPr>
                <w:noProof/>
              </w:rPr>
              <w:instrText xml:space="preserve"> PAGEREF _Toc230279751 \h </w:instrText>
            </w:r>
            <w:r>
              <w:rPr>
                <w:noProof/>
              </w:rPr>
            </w:r>
            <w:r>
              <w:rPr>
                <w:noProof/>
              </w:rPr>
              <w:fldChar w:fldCharType="separate"/>
            </w:r>
            <w:r>
              <w:rPr>
                <w:noProof/>
              </w:rPr>
              <w:t>28</w:t>
            </w:r>
            <w:r>
              <w:rPr>
                <w:noProof/>
              </w:rPr>
              <w:fldChar w:fldCharType="end"/>
            </w:r>
          </w:hyperlink>
        </w:p>
        <w:p w:rsidR="0051621E" w:rsidRDefault="0051621E">
          <w:pPr>
            <w:pStyle w:val="TOC2"/>
            <w:tabs>
              <w:tab w:val="right" w:leader="dot" w:pos="9350"/>
            </w:tabs>
            <w:rPr>
              <w:noProof/>
            </w:rPr>
          </w:pPr>
          <w:hyperlink w:anchor="_Toc230279752" w:history="1">
            <w:r w:rsidRPr="00CC31CE">
              <w:rPr>
                <w:rStyle w:val="Hyperlink"/>
                <w:noProof/>
              </w:rPr>
              <w:t>20.1 Our Services</w:t>
            </w:r>
            <w:r>
              <w:rPr>
                <w:noProof/>
              </w:rPr>
              <w:tab/>
            </w:r>
            <w:r>
              <w:rPr>
                <w:noProof/>
              </w:rPr>
              <w:fldChar w:fldCharType="begin"/>
            </w:r>
            <w:r>
              <w:rPr>
                <w:noProof/>
              </w:rPr>
              <w:instrText xml:space="preserve"> PAGEREF _Toc230279752 \h </w:instrText>
            </w:r>
            <w:r>
              <w:rPr>
                <w:noProof/>
              </w:rPr>
            </w:r>
            <w:r>
              <w:rPr>
                <w:noProof/>
              </w:rPr>
              <w:fldChar w:fldCharType="separate"/>
            </w:r>
            <w:r>
              <w:rPr>
                <w:noProof/>
              </w:rPr>
              <w:t>28</w:t>
            </w:r>
            <w:r>
              <w:rPr>
                <w:noProof/>
              </w:rPr>
              <w:fldChar w:fldCharType="end"/>
            </w:r>
          </w:hyperlink>
        </w:p>
        <w:p w:rsidR="0051621E" w:rsidRDefault="0051621E">
          <w:pPr>
            <w:pStyle w:val="TOC2"/>
            <w:tabs>
              <w:tab w:val="right" w:leader="dot" w:pos="9350"/>
            </w:tabs>
            <w:rPr>
              <w:noProof/>
            </w:rPr>
          </w:pPr>
          <w:hyperlink w:anchor="_Toc230279753" w:history="1">
            <w:r w:rsidRPr="00CC31CE">
              <w:rPr>
                <w:rStyle w:val="Hyperlink"/>
                <w:noProof/>
              </w:rPr>
              <w:t>20.2 Engagement Models</w:t>
            </w:r>
            <w:r>
              <w:rPr>
                <w:noProof/>
              </w:rPr>
              <w:tab/>
            </w:r>
            <w:r>
              <w:rPr>
                <w:noProof/>
              </w:rPr>
              <w:fldChar w:fldCharType="begin"/>
            </w:r>
            <w:r>
              <w:rPr>
                <w:noProof/>
              </w:rPr>
              <w:instrText xml:space="preserve"> PAGEREF _Toc230279753 \h </w:instrText>
            </w:r>
            <w:r>
              <w:rPr>
                <w:noProof/>
              </w:rPr>
            </w:r>
            <w:r>
              <w:rPr>
                <w:noProof/>
              </w:rPr>
              <w:fldChar w:fldCharType="separate"/>
            </w:r>
            <w:r>
              <w:rPr>
                <w:noProof/>
              </w:rPr>
              <w:t>28</w:t>
            </w:r>
            <w:r>
              <w:rPr>
                <w:noProof/>
              </w:rPr>
              <w:fldChar w:fldCharType="end"/>
            </w:r>
          </w:hyperlink>
        </w:p>
        <w:p w:rsidR="0051621E" w:rsidRDefault="0051621E">
          <w:pPr>
            <w:pStyle w:val="TOC2"/>
            <w:tabs>
              <w:tab w:val="right" w:leader="dot" w:pos="9350"/>
            </w:tabs>
            <w:rPr>
              <w:noProof/>
            </w:rPr>
          </w:pPr>
          <w:hyperlink w:anchor="_Toc230279754" w:history="1">
            <w:r w:rsidRPr="00CC31CE">
              <w:rPr>
                <w:rStyle w:val="Hyperlink"/>
                <w:noProof/>
              </w:rPr>
              <w:t>20.3 Contact Us</w:t>
            </w:r>
            <w:r>
              <w:rPr>
                <w:noProof/>
              </w:rPr>
              <w:tab/>
            </w:r>
            <w:r>
              <w:rPr>
                <w:noProof/>
              </w:rPr>
              <w:fldChar w:fldCharType="begin"/>
            </w:r>
            <w:r>
              <w:rPr>
                <w:noProof/>
              </w:rPr>
              <w:instrText xml:space="preserve"> PAGEREF _Toc230279754 \h </w:instrText>
            </w:r>
            <w:r>
              <w:rPr>
                <w:noProof/>
              </w:rPr>
            </w:r>
            <w:r>
              <w:rPr>
                <w:noProof/>
              </w:rPr>
              <w:fldChar w:fldCharType="separate"/>
            </w:r>
            <w:r>
              <w:rPr>
                <w:noProof/>
              </w:rPr>
              <w:t>28</w:t>
            </w:r>
            <w:r>
              <w:rPr>
                <w:noProof/>
              </w:rPr>
              <w:fldChar w:fldCharType="end"/>
            </w:r>
          </w:hyperlink>
        </w:p>
        <w:p w:rsidR="00C82EC0" w:rsidRDefault="00CA1EFB">
          <w:r>
            <w:fldChar w:fldCharType="end"/>
          </w:r>
        </w:p>
      </w:sdtContent>
    </w:sdt>
    <w:p w:rsidR="00C82EC0" w:rsidRDefault="00CA1EFB">
      <w:r>
        <w:br w:type="page"/>
      </w:r>
    </w:p>
    <w:p w:rsidR="00C82EC0" w:rsidRDefault="00CA1EFB">
      <w:pPr>
        <w:pStyle w:val="Heading1"/>
      </w:pPr>
      <w:bookmarkStart w:id="0" w:name="_Toc230279676"/>
      <w:r>
        <w:lastRenderedPageBreak/>
        <w:t>1. Executive Overview</w:t>
      </w:r>
      <w:bookmarkEnd w:id="0"/>
    </w:p>
    <w:p w:rsidR="00C82EC0" w:rsidRDefault="00CA1EFB">
      <w:pPr>
        <w:spacing w:after="120" w:line="276" w:lineRule="auto"/>
      </w:pPr>
      <w:r>
        <w:t>This guide is designed for Indian entrepreneurs, investors, and expansion-stage companies seeking to establish or expand business operations in Thailand. It provides a comprehensive overview of the legal, regulatory, tax, and operational framework governin</w:t>
      </w:r>
      <w:r>
        <w:t>g foreign-owned businesses in Thailand, with specific focus on cross-border considerations relevant to Indian businesses.</w:t>
      </w:r>
    </w:p>
    <w:p w:rsidR="00C82EC0" w:rsidRDefault="00CA1EFB">
      <w:pPr>
        <w:pStyle w:val="Heading2"/>
      </w:pPr>
      <w:bookmarkStart w:id="1" w:name="_Toc230279677"/>
      <w:r>
        <w:t>1.1 Why Thailand?</w:t>
      </w:r>
      <w:bookmarkEnd w:id="1"/>
    </w:p>
    <w:p w:rsidR="00C82EC0" w:rsidRDefault="00CA1EFB">
      <w:pPr>
        <w:spacing w:after="120" w:line="276" w:lineRule="auto"/>
      </w:pPr>
      <w:r>
        <w:t xml:space="preserve">Thailand offers an attractive proposition for Indian businesses: ASEAN's second-largest economy, strategic location </w:t>
      </w:r>
      <w:r>
        <w:t>in the heart of Southeast Asia, well-developed infrastructure (Suvarnabhumi Airport, Laem Chabang Port), strong manufacturing base (automotive, electronics), the Eastern Economic Corridor (EEC) offering enhanced investment incentives, a vibrant consumer ma</w:t>
      </w:r>
      <w:r>
        <w:t>rket of 72 million, Board of Investment (BOI) incentives including up to 13 years Corporate Income Tax exemption for promoted activities, and the India-Thailand DTAA (revised 2015) plus strong bilateral trade under the ASEAN-India FTA.</w:t>
      </w:r>
    </w:p>
    <w:p w:rsidR="00C82EC0" w:rsidRDefault="00CA1EFB">
      <w:pPr>
        <w:pStyle w:val="Heading2"/>
      </w:pPr>
      <w:bookmarkStart w:id="2" w:name="_Toc230279678"/>
      <w:r>
        <w:t>1.2 Typical Entry Ti</w:t>
      </w:r>
      <w:r>
        <w:t>melines and Cost Ranges</w:t>
      </w:r>
      <w:bookmarkEnd w:id="2"/>
    </w:p>
    <w:p w:rsidR="00C82EC0" w:rsidRDefault="00CA1EFB">
      <w:pPr>
        <w:spacing w:after="120" w:line="276" w:lineRule="auto"/>
      </w:pPr>
      <w:r>
        <w:t>Setting up a Thai private limited company typically takes 2-6 weeks via the new DBD Biz Regist digital platform (mandatory from 1 January 2026 - all physical submissions discontinued). Costs range from THB 30,000-150,000 (approx. US</w:t>
      </w:r>
      <w:r>
        <w:t>D 900-4,500) for full setup including government fees, legal/notary services, and registered office. The full operational setup including bank account opening (often the longest step - 4-12 weeks for foreign-owned entities), Revenue Department registration</w:t>
      </w:r>
      <w:r>
        <w:t>s, Social Security registration, and BOI application (if pursuing 100% foreign ownership) typically takes 8-16 weeks. For BOI-promoted businesses, add 4-8 weeks for BOI application and approval.</w:t>
      </w:r>
    </w:p>
    <w:p w:rsidR="00C82EC0" w:rsidRDefault="00CA1EFB">
      <w:r>
        <w:br w:type="page"/>
      </w:r>
    </w:p>
    <w:p w:rsidR="00C82EC0" w:rsidRDefault="00CA1EFB">
      <w:pPr>
        <w:pStyle w:val="Heading1"/>
      </w:pPr>
      <w:bookmarkStart w:id="3" w:name="_Toc230279679"/>
      <w:r>
        <w:lastRenderedPageBreak/>
        <w:t>2. Country Snapshot</w:t>
      </w:r>
      <w:bookmarkEnd w:id="3"/>
    </w:p>
    <w:p w:rsidR="00C82EC0" w:rsidRDefault="00CA1EFB">
      <w:pPr>
        <w:pStyle w:val="Heading2"/>
      </w:pPr>
      <w:bookmarkStart w:id="4" w:name="_Toc230279680"/>
      <w:r>
        <w:t>2.1 Political and Economic Overview</w:t>
      </w:r>
      <w:bookmarkEnd w:id="4"/>
    </w:p>
    <w:p w:rsidR="00C82EC0" w:rsidRDefault="00CA1EFB">
      <w:pPr>
        <w:spacing w:after="120" w:line="276" w:lineRule="auto"/>
      </w:pPr>
      <w:r>
        <w:t>Thailand is a constitutional monarchy with a parliamentary system. The economy is ASEAN's second-largest (after Indonesia) with GDP of approximately USD 575 billion (2025). The Thai Baht (THB) is the national currency. Key macro indicators include GDP grow</w:t>
      </w:r>
      <w:r>
        <w:t>th of around 2-3%, inflation around 1-2%, and a diversified economy with strong manufacturing (25% of GDP - notably automotive and electronics), services (56%, including tourism), and agriculture (8%). Thailand is a regional manufacturing hub, particularly</w:t>
      </w:r>
      <w:r>
        <w:t xml:space="preserve"> for automotive (world's 10th largest producer) and hard disk drives. Tourism is a major sector - Thailand hosts 30+ million international visitors annually.</w:t>
      </w:r>
    </w:p>
    <w:p w:rsidR="00C82EC0" w:rsidRDefault="00CA1EFB">
      <w:pPr>
        <w:pStyle w:val="Heading2"/>
      </w:pPr>
      <w:bookmarkStart w:id="5" w:name="_Toc230279681"/>
      <w:r>
        <w:t>2.2 Demographics and Key Economic Hubs</w:t>
      </w:r>
      <w:bookmarkEnd w:id="5"/>
    </w:p>
    <w:p w:rsidR="00C82EC0" w:rsidRDefault="00CA1EFB">
      <w:pPr>
        <w:spacing w:after="120" w:line="276" w:lineRule="auto"/>
      </w:pPr>
      <w:r>
        <w:t>With approximately 71.7 million people, Thailand has a larg</w:t>
      </w:r>
      <w:r>
        <w:t>ely educated workforce with improving English proficiency. Bangkok is the political, economic, and financial capital. The Eastern Economic Corridor (EEC) covering Chonburi, Rayong, and Chachoengsao is Thailand's flagship development zone focused on high-te</w:t>
      </w:r>
      <w:r>
        <w:t>ch manufacturing and services. Chiang Mai is the northern hub (tech, creative industries). Phuket and Pattaya are key tourism centers. The Indian community in Thailand exceeds 25,000, including the historic Sikh community in Bangkok and many Indian profess</w:t>
      </w:r>
      <w:r>
        <w:t>ionals and entrepreneurs. Indian companies including Tata, Mahindra, Reliance, Larsen &amp; Toubro, Birla, and many mid-sized Indian businesses have operations in Thailand.</w:t>
      </w:r>
    </w:p>
    <w:p w:rsidR="00C82EC0" w:rsidRDefault="00CA1EFB">
      <w:pPr>
        <w:pStyle w:val="Heading2"/>
      </w:pPr>
      <w:bookmarkStart w:id="6" w:name="_Toc230279682"/>
      <w:r>
        <w:t>2.3 Trade Agreements and Tax Treaties</w:t>
      </w:r>
      <w:bookmarkEnd w:id="6"/>
    </w:p>
    <w:p w:rsidR="00C82EC0" w:rsidRDefault="00CA1EFB">
      <w:pPr>
        <w:spacing w:after="120" w:line="276" w:lineRule="auto"/>
      </w:pPr>
      <w:r>
        <w:t>Thailand has approximately 61 Double Tax Treaties</w:t>
      </w:r>
      <w:r>
        <w:t xml:space="preserve"> in force, including with India (original 1986, comprehensively revised in 2015 with effect from 1 January 2016). Thailand is a founding member of ASEAN and is party to multiple FTAs including ASEAN-India FTA (AIFTA - in force since 2010), ASEAN-China, ASE</w:t>
      </w:r>
      <w:r>
        <w:t>AN-Japan, ASEAN-Korea, ASEAN-Australia-New Zealand, RCEP (in force since 2022), Thailand-Australia FTA, Thailand-New Zealand FTA, Thailand-Japan EPA, and Thailand-India Early Harvest Scheme. Thailand is a member of the WTO, APEC, and G20+. Negotiations for</w:t>
      </w:r>
      <w:r>
        <w:t xml:space="preserve"> Thailand-EU FTA are ongoing. Thailand also has the US-Thailand Treaty of Amity (1966) providing preferential treatment to US investors.</w:t>
      </w:r>
    </w:p>
    <w:p w:rsidR="00C82EC0" w:rsidRDefault="00CA1EFB">
      <w:r>
        <w:br w:type="page"/>
      </w:r>
    </w:p>
    <w:p w:rsidR="00C82EC0" w:rsidRDefault="00CA1EFB">
      <w:pPr>
        <w:pStyle w:val="Heading1"/>
      </w:pPr>
      <w:bookmarkStart w:id="7" w:name="_Toc230279683"/>
      <w:r>
        <w:lastRenderedPageBreak/>
        <w:t>3. Investment Climate &amp; Business Environment</w:t>
      </w:r>
      <w:bookmarkEnd w:id="7"/>
    </w:p>
    <w:p w:rsidR="00C82EC0" w:rsidRDefault="00CA1EFB">
      <w:pPr>
        <w:pStyle w:val="Heading2"/>
      </w:pPr>
      <w:bookmarkStart w:id="8" w:name="_Toc230279684"/>
      <w:r>
        <w:t>3.1 Openness to Foreign Investment</w:t>
      </w:r>
      <w:bookmarkEnd w:id="8"/>
    </w:p>
    <w:p w:rsidR="00C82EC0" w:rsidRDefault="00CA1EFB">
      <w:pPr>
        <w:spacing w:after="120" w:line="276" w:lineRule="auto"/>
      </w:pPr>
      <w:r>
        <w:t xml:space="preserve">Thailand's foreign investment regime </w:t>
      </w:r>
      <w:r>
        <w:t>is governed by the Foreign Business Act B.E. 2542 (FBA, 1999), which restricts foreign majority ownership in three categories: List 1 (prohibited - e.g., newspapers, domestic land trading); List 2 (restricted - requires Cabinet approval - e.g., domestic tr</w:t>
      </w:r>
      <w:r>
        <w:t>ansport, mining); List 3 (restricted - requires Foreign Business Licence from DBD - e.g., most professional services, retail, construction). A company is considered 'foreign' if 50%+ of its shares are held by non-Thais. Key pathways to 100% foreign ownersh</w:t>
      </w:r>
      <w:r>
        <w:t>ip: (1) BOI promotion for qualifying activities; (2) Foreign Business Licence from DBD; (3) Treaty-based exemption (e.g., US-Thailand Amity Treaty for US companies). In 2026, Thailand formally removed 10 business categories from FBA restrictions. DBD enfor</w:t>
      </w:r>
      <w:r>
        <w:t>cement of nominee shareholder arrangements has intensified significantly since 2024.</w:t>
      </w:r>
    </w:p>
    <w:p w:rsidR="00C82EC0" w:rsidRDefault="00CA1EFB">
      <w:pPr>
        <w:pStyle w:val="Heading2"/>
      </w:pPr>
      <w:bookmarkStart w:id="9" w:name="_Toc230279685"/>
      <w:r>
        <w:t>3.2 Ease of Doing Business</w:t>
      </w:r>
      <w:bookmarkEnd w:id="9"/>
    </w:p>
    <w:p w:rsidR="00C82EC0" w:rsidRDefault="00CA1EFB">
      <w:pPr>
        <w:spacing w:after="120" w:line="276" w:lineRule="auto"/>
      </w:pPr>
      <w:r>
        <w:t>Thailand has made significant digital transformation progress. From 1 January 2026, all partnership and limited company registrations MUST be su</w:t>
      </w:r>
      <w:r>
        <w:t>bmitted through the new DBD Biz Regist platform - physical submissions are no longer accepted. Foreign applicants can verify identity via the DBD e-Service application. Revenue Department operates a digital filing system for taxes. However, Thai language r</w:t>
      </w:r>
      <w:r>
        <w:t>emains dominant in most government interactions, and accounting records must be maintained in Thai language. Key challenges: strict foreign ownership rules under FBA, work permit requirements for every foreign employee, minimum capital of THB 2 million per</w:t>
      </w:r>
      <w:r>
        <w:t xml:space="preserve"> foreign work permit, and DBD Order 2/2568 (effective 1 January 2026) requiring Thai shareholders to provide 3 months' bank statements proving financial capacity in companies with foreign participation.</w:t>
      </w:r>
    </w:p>
    <w:p w:rsidR="00C82EC0" w:rsidRDefault="00CA1EFB">
      <w:pPr>
        <w:pStyle w:val="Heading2"/>
      </w:pPr>
      <w:bookmarkStart w:id="10" w:name="_Toc230279686"/>
      <w:r>
        <w:t>3.3 Priority Sectors and Incentives</w:t>
      </w:r>
      <w:bookmarkEnd w:id="10"/>
    </w:p>
    <w:p w:rsidR="00C82EC0" w:rsidRDefault="00CA1EFB">
      <w:pPr>
        <w:spacing w:after="120" w:line="276" w:lineRule="auto"/>
      </w:pPr>
      <w:r>
        <w:t>Thailand Board of</w:t>
      </w:r>
      <w:r>
        <w:t xml:space="preserve"> Investment (BOI) priorities under its 2023-2027 strategy include: Bio-Circular-Green (BCG) economy, electric vehicles (EV) and automotive, digital and electronics, advanced manufacturing, medical and healthcare, creative industries, and tourism. The Easte</w:t>
      </w:r>
      <w:r>
        <w:t>rn Economic Corridor (EEC) offers enhanced incentives for designated 'New S-Curve' industries. Available incentives include: BOI Corporate Income Tax exemption of 3-13 years (depending on sector, location, and technology level); import duty exemptions on m</w:t>
      </w:r>
      <w:r>
        <w:t>achinery and raw materials; permission for 100% foreign ownership; permission to own land for BOI activities; unlimited repatriation of capital/dividends; Smart Visa for highly skilled foreign professionals (up to 4 years); Long-Term Resident (LTR) Visa (1</w:t>
      </w:r>
      <w:r>
        <w:t>0 years); and R&amp;D enhanced tax deductions.</w:t>
      </w:r>
    </w:p>
    <w:p w:rsidR="00C82EC0" w:rsidRDefault="00CA1EFB">
      <w:r>
        <w:br w:type="page"/>
      </w:r>
    </w:p>
    <w:p w:rsidR="00C82EC0" w:rsidRDefault="00CA1EFB">
      <w:pPr>
        <w:pStyle w:val="Heading1"/>
      </w:pPr>
      <w:bookmarkStart w:id="11" w:name="_Toc230279687"/>
      <w:r>
        <w:lastRenderedPageBreak/>
        <w:t>4. Market Entry Strategy</w:t>
      </w:r>
      <w:bookmarkEnd w:id="11"/>
    </w:p>
    <w:p w:rsidR="00C82EC0" w:rsidRDefault="00CA1EFB">
      <w:pPr>
        <w:pStyle w:val="Heading2"/>
      </w:pPr>
      <w:bookmarkStart w:id="12" w:name="_Toc230279688"/>
      <w:r>
        <w:t>4.1 Go-to-Market Models</w:t>
      </w:r>
      <w:bookmarkEnd w:id="12"/>
    </w:p>
    <w:p w:rsidR="00C82EC0" w:rsidRDefault="00CA1EFB">
      <w:pPr>
        <w:spacing w:after="120" w:line="276" w:lineRule="auto"/>
      </w:pPr>
      <w:r>
        <w:t>Indian entrants typically consider: (a) Direct Export to Thai customers; (b) Appointing a Thai distributor or agent; (c) Establishing a Private Limited Company (L</w:t>
      </w:r>
      <w:r>
        <w:t>imited Company) - the most common structure for Indian businesses (with either 49% foreign cap under FBA or 100% foreign ownership via BOI promotion / FBL); (d) Forming a joint venture with a Thai partner; (e) BOI-promoted company (allowing 100% foreign ow</w:t>
      </w:r>
      <w:r>
        <w:t>nership and major tax benefits); (f) Branch office of the Indian parent (subject to FBA restrictions, needs FBL); (g) Representative Office (non-revenue generating, limited to market research, liaison); (h) Regional Operating Headquarters (ROH) / Internati</w:t>
      </w:r>
      <w:r>
        <w:t>onal Business Center (IBC); and (i) Acquisition of an existing Thai business.</w:t>
      </w:r>
    </w:p>
    <w:p w:rsidR="00C82EC0" w:rsidRDefault="00CA1EFB">
      <w:pPr>
        <w:pStyle w:val="Heading2"/>
      </w:pPr>
      <w:bookmarkStart w:id="13" w:name="_Toc230279689"/>
      <w:r>
        <w:t>4.2 Strategic Considerations</w:t>
      </w:r>
      <w:bookmarkEnd w:id="13"/>
    </w:p>
    <w:p w:rsidR="00C82EC0" w:rsidRDefault="00CA1EFB">
      <w:pPr>
        <w:spacing w:after="120" w:line="276" w:lineRule="auto"/>
      </w:pPr>
      <w:r>
        <w:t>Key considerations for Indian businesses include: BOI eligibility assessment - if your activity qualifies for BOI promotion, this is typically the cl</w:t>
      </w:r>
      <w:r>
        <w:t xml:space="preserve">eanest path to 100% foreign ownership, CIT exemption, and land ownership rights; FBA restrictions - if not BOI-eligible, you either need an FBL, a Thai JV partner (51% Thai), or must operate in a non-restricted activity (e.g., pure export, manufacturing); </w:t>
      </w:r>
      <w:r>
        <w:t>minimum capital - THB 2 million is required per foreign work permit regardless of structure; minimum 3 shareholders historically required (now 2 since 2023 amendment); control and liability isolation (Limited Company provides separate legal personality); c</w:t>
      </w:r>
      <w:r>
        <w:t>redibility with Thai customers and banks; exit flexibility; and Indian regulatory compliance (FEMA ODI requirements apply to all overseas investments).</w:t>
      </w:r>
    </w:p>
    <w:p w:rsidR="00C82EC0" w:rsidRDefault="00C82EC0">
      <w:pPr>
        <w:spacing w:after="8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2200"/>
        <w:gridCol w:w="2160"/>
      </w:tblGrid>
      <w:tr w:rsidR="00C82EC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Entry Model</w:t>
            </w:r>
          </w:p>
        </w:tc>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Control</w:t>
            </w:r>
          </w:p>
        </w:tc>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Speed</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Tax Efficiency</w:t>
            </w:r>
          </w:p>
        </w:tc>
        <w:tc>
          <w:tcPr>
            <w:tcW w:w="21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Regulatory Risk</w:t>
            </w:r>
          </w:p>
        </w:tc>
      </w:tr>
      <w:tr w:rsidR="00C82EC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Limited Co. (49% foreign)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Shared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2-4 weeks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Standard CIT 20%</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Low-Medium</w:t>
            </w:r>
          </w:p>
        </w:tc>
      </w:tr>
      <w:tr w:rsidR="00C82EC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BOI-promoted Co. (100% foreign)</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6-12 weeks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Very high (CIT holiday)</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Low (BOI oversight)</w:t>
            </w:r>
          </w:p>
        </w:tc>
      </w:tr>
      <w:tr w:rsidR="00C82EC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Joint Venture (51% Thai)</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Shared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4-8 weeks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Standard CIT 20%</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Low</w:t>
            </w:r>
          </w:p>
        </w:tc>
      </w:tr>
      <w:tr w:rsidR="00C82EC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Branch Office</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4-8 weeks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CIT on Thai profits + FBL</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Medium</w:t>
            </w:r>
          </w:p>
        </w:tc>
      </w:tr>
      <w:tr w:rsidR="00C82EC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Representative Office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High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4-8 weeks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No CIT (non-revenue)</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Low</w:t>
            </w:r>
          </w:p>
        </w:tc>
      </w:tr>
      <w:tr w:rsidR="00C82EC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FBL (100% foreign)</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4-6 months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Standard CIT 20%</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Medium-High</w:t>
            </w:r>
          </w:p>
        </w:tc>
      </w:tr>
      <w:tr w:rsidR="00C82EC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Acquisition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High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3-9 months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Variable</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Medium (FBA + DBD)</w:t>
            </w:r>
          </w:p>
        </w:tc>
      </w:tr>
    </w:tbl>
    <w:p w:rsidR="00C82EC0" w:rsidRDefault="00CA1EFB">
      <w:r>
        <w:br w:type="page"/>
      </w:r>
    </w:p>
    <w:p w:rsidR="00C82EC0" w:rsidRDefault="00CA1EFB">
      <w:pPr>
        <w:pStyle w:val="Heading1"/>
      </w:pPr>
      <w:bookmarkStart w:id="14" w:name="_Toc230279690"/>
      <w:r>
        <w:lastRenderedPageBreak/>
        <w:t>5. Legal and Regulatory Framework</w:t>
      </w:r>
      <w:bookmarkEnd w:id="14"/>
    </w:p>
    <w:p w:rsidR="00C82EC0" w:rsidRDefault="00CA1EFB">
      <w:pPr>
        <w:pStyle w:val="Heading2"/>
      </w:pPr>
      <w:bookmarkStart w:id="15" w:name="_Toc230279691"/>
      <w:r>
        <w:t>5.1 Overview of the Legal System</w:t>
      </w:r>
      <w:bookmarkEnd w:id="15"/>
    </w:p>
    <w:p w:rsidR="00C82EC0" w:rsidRDefault="00CA1EFB">
      <w:pPr>
        <w:spacing w:after="120" w:line="276" w:lineRule="auto"/>
      </w:pPr>
      <w:r>
        <w:t>Thailand operates under a civil law legal system based on codes. Key business laws include the Civil and Commercial Code (CCC - governs company law, contracts, and obligations), the Revenue Code (governs taxation), the Foreign Business Act B.E. 2542 (1999)</w:t>
      </w:r>
      <w:r>
        <w:t>, the Investment Promotion Act B.E. 2520 (1977) (as amended), the Labour Protection Act B.E. 2541 (1998), the Social Security Act, the Public Limited Company Act B.E. 2535 (for PLCs), the Personal Data Protection Act B.E. 2562 (PDPA), the Immigration Act B</w:t>
      </w:r>
      <w:r>
        <w:t>.E. 2522 (1979), the Trade Competition Act B.E. 2560 (2017), and the Emergency Decree on Top-up Tax B.E. 2567 (Pillar Two, effective 2025).</w:t>
      </w:r>
    </w:p>
    <w:p w:rsidR="00C82EC0" w:rsidRDefault="00CA1EFB">
      <w:pPr>
        <w:pStyle w:val="Heading2"/>
      </w:pPr>
      <w:bookmarkStart w:id="16" w:name="_Toc230279692"/>
      <w:r>
        <w:t>5.2 Key Regulatory Bodies</w:t>
      </w:r>
      <w:bookmarkEnd w:id="16"/>
    </w:p>
    <w:p w:rsidR="00C82EC0" w:rsidRDefault="00CA1EFB">
      <w:pPr>
        <w:spacing w:after="120" w:line="276" w:lineRule="auto"/>
      </w:pPr>
      <w:r>
        <w:t xml:space="preserve">Department of Business Development (DBD) - under the Ministry of Commerce, handles company registration and FBA administration. Revenue Department (RD) - under the Ministry of Finance, administers all taxes. Bank of Thailand (BOT) - central bank, currency </w:t>
      </w:r>
      <w:r>
        <w:t>and exchange regulation. Securities and Exchange Commission (SEC) - capital markets. Board of Investment (BOI) - foreign investment promotion and incentives. Office of Personal Data Protection Committee (PDPC) - data protection authority. Ministry of Labou</w:t>
      </w:r>
      <w:r>
        <w:t>r - labour law and work permits. Immigration Bureau - visas and immigration. Social Security Office (SSO) - social security administration. Office of the Trade Competition Commission - competition law. Thai Industrial Estate Authority (IEAT) - industrial e</w:t>
      </w:r>
      <w:r>
        <w:t>states.</w:t>
      </w:r>
    </w:p>
    <w:p w:rsidR="00C82EC0" w:rsidRDefault="00CA1EFB">
      <w:pPr>
        <w:pStyle w:val="Heading2"/>
      </w:pPr>
      <w:bookmarkStart w:id="17" w:name="_Toc230279693"/>
      <w:r>
        <w:t>5.3 Competition, Consumer Protection, and Data Privacy</w:t>
      </w:r>
      <w:bookmarkEnd w:id="17"/>
    </w:p>
    <w:p w:rsidR="00C82EC0" w:rsidRDefault="00CA1EFB">
      <w:pPr>
        <w:spacing w:after="120" w:line="276" w:lineRule="auto"/>
      </w:pPr>
      <w:r>
        <w:t>Competition is governed by the Trade Competition Act B.E. 2560 (2017), administered by the Trade Competition Commission. Consumer Protection Act B.E. 2522 is administered by the Office of the C</w:t>
      </w:r>
      <w:r>
        <w:t>onsumer Protection Board (OCPB). The Personal Data Protection Act B.E. 2562 (PDPA) took effect 1 June 2022 and is administered by the Personal Data Protection Committee (PDPC) - it closely mirrors EU GDPR principles. Key PDPA requirements: lawful basis for</w:t>
      </w:r>
      <w:r>
        <w:t xml:space="preserve"> processing, transparency, data subject rights, breach notification within 72 hours, Data Protection Officer for sensitive/large-scale processing, and cross-border transfer restrictions. Maximum PDPA fines: up to THB 5 million administratively + THB 1 mill</w:t>
      </w:r>
      <w:r>
        <w:t>ion criminal + compensation liability.</w:t>
      </w:r>
    </w:p>
    <w:p w:rsidR="00C82EC0" w:rsidRDefault="00CA1EFB">
      <w:r>
        <w:br w:type="page"/>
      </w:r>
    </w:p>
    <w:p w:rsidR="00C82EC0" w:rsidRDefault="00CA1EFB">
      <w:pPr>
        <w:pStyle w:val="Heading1"/>
      </w:pPr>
      <w:bookmarkStart w:id="18" w:name="_Toc230279694"/>
      <w:r>
        <w:lastRenderedPageBreak/>
        <w:t>6. Business Structures for Foreign Investors</w:t>
      </w:r>
      <w:bookmarkEnd w:id="18"/>
    </w:p>
    <w:p w:rsidR="00C82EC0" w:rsidRDefault="00CA1EFB">
      <w:pPr>
        <w:pStyle w:val="Heading2"/>
      </w:pPr>
      <w:bookmarkStart w:id="19" w:name="_Toc230279695"/>
      <w:r>
        <w:t>6.1 Available Business Vehicles</w:t>
      </w:r>
      <w:bookmarkEnd w:id="19"/>
    </w:p>
    <w:p w:rsidR="00C82EC0" w:rsidRDefault="00CA1EFB">
      <w:pPr>
        <w:spacing w:after="120" w:line="276" w:lineRule="auto"/>
      </w:pPr>
      <w:r>
        <w:t>Foreign investors may choose from: Private Limited Company (Company Limited) - most common structure, requires minimum 2 shareholders (sin</w:t>
      </w:r>
      <w:r>
        <w:t>ce 2023 amendment, previously 3), no minimum paid-up capital statutorily but THB 2 million required per foreign work permit; BOI-Promoted Company - a Thai Limited Company that has received BOI promotion, allowing 100% foreign ownership and tax benefits; Pu</w:t>
      </w:r>
      <w:r>
        <w:t xml:space="preserve">blic Limited Company (PLC / Maha Chon) - for stock exchange listing, minimum 15 shareholders, minimum THB 5 million capital; Branch Office of a foreign company - requires FBL, subject to minimum capital of THB 3 million; Representative Office - limited to </w:t>
      </w:r>
      <w:r>
        <w:t>5 specific non-revenue activities; Regional Office - for regional coordination, similar restrictions; Registered Partnership - limited partners have unlimited liability; Limited Partnership - at least one general partner with unlimited liability; and Inter</w:t>
      </w:r>
      <w:r>
        <w:t>national Business Center (IBC) / Regional Operating HQ (ROH) - preferential treatment for treasury/service functions.</w:t>
      </w:r>
    </w:p>
    <w:p w:rsidR="00C82EC0" w:rsidRDefault="00CA1EFB">
      <w:pPr>
        <w:pStyle w:val="Heading2"/>
      </w:pPr>
      <w:bookmarkStart w:id="20" w:name="_Toc230279696"/>
      <w:r>
        <w:t>6.2 Comparative Table of Structures</w:t>
      </w:r>
      <w:bookmarkEnd w:id="20"/>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920"/>
        <w:gridCol w:w="1920"/>
        <w:gridCol w:w="1920"/>
      </w:tblGrid>
      <w:tr w:rsidR="00C82EC0">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Feature</w:t>
            </w:r>
          </w:p>
        </w:tc>
        <w:tc>
          <w:tcPr>
            <w:tcW w:w="19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Ltd Co. (49% foreign)</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BOI Ltd (100% foreign)</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Branch Office</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Rep Office</w:t>
            </w:r>
          </w:p>
        </w:tc>
      </w:tr>
      <w:tr w:rsidR="00C82EC0">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Legal Personality</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Separate entity</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Separate entity</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Extension of parent</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Extension of parent</w:t>
            </w:r>
          </w:p>
        </w:tc>
      </w:tr>
      <w:tr w:rsidR="00C82EC0">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Foreign Ownership Cap</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49% (FBA)</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Up to 100%</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Requires FBL</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N/A (non-revenue)</w:t>
            </w:r>
          </w:p>
        </w:tc>
      </w:tr>
      <w:tr w:rsidR="00C82EC0">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Min. Capital</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THB 2M per work permit</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BOI-determined</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THB 3M (FBL)</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THB 3M (5-yr total)</w:t>
            </w:r>
          </w:p>
        </w:tc>
      </w:tr>
      <w:tr w:rsidR="00C82EC0">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Tax Treatment</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CIT 20%</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CIT exempt 3-13 yrs</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CIT on Thai profits</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Not taxed (no revenue)</w:t>
            </w:r>
          </w:p>
        </w:tc>
      </w:tr>
      <w:tr w:rsidR="00C82EC0">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BOI Benefits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Generally no</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Full</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No</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No</w:t>
            </w:r>
          </w:p>
        </w:tc>
      </w:tr>
      <w:tr w:rsidR="00C82EC0">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Can Generate Revenue</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No (only liaison/mkt)</w:t>
            </w:r>
          </w:p>
        </w:tc>
      </w:tr>
      <w:tr w:rsidR="00C82EC0">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Best For</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Domestic services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Strategic/tech sectors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Cost-light entry</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Market entry/liaison</w:t>
            </w:r>
          </w:p>
        </w:tc>
      </w:tr>
    </w:tbl>
    <w:p w:rsidR="0051621E" w:rsidRDefault="0051621E">
      <w:pPr>
        <w:spacing w:after="120" w:line="276" w:lineRule="auto"/>
      </w:pPr>
    </w:p>
    <w:p w:rsidR="00C82EC0" w:rsidRDefault="00CA1EFB">
      <w:pPr>
        <w:spacing w:after="120" w:line="276" w:lineRule="auto"/>
      </w:pPr>
      <w:bookmarkStart w:id="21" w:name="_GoBack"/>
      <w:bookmarkEnd w:id="21"/>
      <w:r>
        <w:t>Note: For most Indian businesses with qualifying activities, a BOI-promoted Limited Company is the optimal structure - 100% foreign ownership, significant CIT exemptions (3-13 years), land ownership rights, and unrestricted repatriation. If not BOI-eligibl</w:t>
      </w:r>
      <w:r>
        <w:t>e, a Thai Limited Company with 49% foreign and 51% Thai shareholders (genuine investors, not nominees) is a common alternative for many sectors. Manufacturing and export-focused businesses may qualify for 100% ownership under the FBA directly.</w:t>
      </w:r>
    </w:p>
    <w:p w:rsidR="00C82EC0" w:rsidRDefault="00CA1EFB">
      <w:r>
        <w:br w:type="page"/>
      </w:r>
    </w:p>
    <w:p w:rsidR="00C82EC0" w:rsidRDefault="00CA1EFB">
      <w:pPr>
        <w:pStyle w:val="Heading1"/>
      </w:pPr>
      <w:bookmarkStart w:id="22" w:name="_Toc230279697"/>
      <w:r>
        <w:lastRenderedPageBreak/>
        <w:t>7. Foreign</w:t>
      </w:r>
      <w:r>
        <w:t xml:space="preserve"> Investment Rules and Exchange Control</w:t>
      </w:r>
      <w:bookmarkEnd w:id="22"/>
    </w:p>
    <w:p w:rsidR="00C82EC0" w:rsidRDefault="00CA1EFB">
      <w:pPr>
        <w:pStyle w:val="Heading2"/>
      </w:pPr>
      <w:bookmarkStart w:id="23" w:name="_Toc230279698"/>
      <w:r>
        <w:t>7.1 FDI Regime Overview</w:t>
      </w:r>
      <w:bookmarkEnd w:id="23"/>
    </w:p>
    <w:p w:rsidR="00C82EC0" w:rsidRDefault="00CA1EFB">
      <w:pPr>
        <w:spacing w:after="120" w:line="276" w:lineRule="auto"/>
      </w:pPr>
      <w:r>
        <w:t>The Foreign Business Act B.E. 2542 (1999) is Thailand's primary foreign ownership law. It defines a 'foreigner' as a natural person who is not Thai, or a juristic entity where 50%+ of shares ar</w:t>
      </w:r>
      <w:r>
        <w:t>e held by foreigners. Three restriction lists: List 1 - strictly prohibited (e.g., newspapers, rice farming, land trading); List 2 - requires Cabinet approval (e.g., domestic transportation, manufacturing of firearms, mining); List 3 - requires Foreign Bus</w:t>
      </w:r>
      <w:r>
        <w:t xml:space="preserve">iness Licence from the DBD (e.g., most professional services, wholesale, retail, construction, tourism services). Pathways to 100% foreign ownership: (1) BOI promotion for qualifying activities (most common for high-tech/strategic sectors); (2) Industrial </w:t>
      </w:r>
      <w:r>
        <w:t>Estate Authority of Thailand (IEAT) incentives; (3) Foreign Business Licence (FBL) from DBD (discretionary, 4-6 months); (4) Treaty-based exemption (e.g., US-Thailand Treaty of Amity - not available for Indians). In 2026, Thailand removed 10 categories fro</w:t>
      </w:r>
      <w:r>
        <w:t>m FBA restrictions.</w:t>
      </w:r>
    </w:p>
    <w:p w:rsidR="00C82EC0" w:rsidRDefault="00CA1EFB">
      <w:pPr>
        <w:pStyle w:val="Heading2"/>
      </w:pPr>
      <w:bookmarkStart w:id="24" w:name="_Toc230279699"/>
      <w:r>
        <w:t>7.2 Key Conditions for Foreign Shareholders</w:t>
      </w:r>
      <w:bookmarkEnd w:id="24"/>
    </w:p>
    <w:p w:rsidR="00C82EC0" w:rsidRDefault="00CA1EFB">
      <w:pPr>
        <w:spacing w:after="120" w:line="276" w:lineRule="auto"/>
      </w:pPr>
      <w:r>
        <w:t>Foreign nationals and foreign companies can own 100% of Thai companies only under specific conditions (BOI, FBL, treaty). Otherwise, foreign ownership is capped at 49%. DBD Order 2/2568 (effec</w:t>
      </w:r>
      <w:r>
        <w:t>tive 1 January 2026) requires Thai shareholders to submit 3 months of personal bank statements demonstrating financial capacity to match share payments - this targets nominee shareholder arrangements. The order applies to: (a) companies with foreign shareh</w:t>
      </w:r>
      <w:r>
        <w:t>olders below 50% (the standard 49:51 structure), and (b) companies where a foreign national holds authorised director/signatory authority regardless of shareholding. Ultimate Beneficial Owner (UBO) disclosure is required via the DBD Biz Regist platform. Mi</w:t>
      </w:r>
      <w:r>
        <w:t>nimum capital: THB 2 million per foreign work permit (WP) - so if you need 4 foreign staff, you need at least THB 8 million paid-up capital.</w:t>
      </w:r>
    </w:p>
    <w:p w:rsidR="00C82EC0" w:rsidRDefault="00CA1EFB">
      <w:pPr>
        <w:pStyle w:val="Heading2"/>
      </w:pPr>
      <w:bookmarkStart w:id="25" w:name="_Toc230279700"/>
      <w:r>
        <w:t>7.3 Foreign Exchange Regulations</w:t>
      </w:r>
      <w:bookmarkEnd w:id="25"/>
    </w:p>
    <w:p w:rsidR="00C82EC0" w:rsidRDefault="00CA1EFB">
      <w:pPr>
        <w:spacing w:after="120" w:line="276" w:lineRule="auto"/>
      </w:pPr>
      <w:r>
        <w:t>Thailand's foreign exchange controls are administered by the Bank of Thailand (BOT</w:t>
      </w:r>
      <w:r>
        <w:t>) under the Exchange Control Act. Generally, the Thai Baht is partially convertible. Inward remittances of foreign currency are largely unrestricted but require proper documentation. Outward remittances for legitimate purposes (e.g., dividends, capital rep</w:t>
      </w:r>
      <w:r>
        <w:t>atriation, royalties, management fees) are permitted but require supporting documentation (Foreign Exchange Transaction Form for amounts over USD 200,000). Residents are subject to reporting requirements for large forex transactions. Non-resident Baht acco</w:t>
      </w:r>
      <w:r>
        <w:t>unts (NRBA) and Non-resident Baht accounts for Securities (NRBS) are available. Thailand maintains some restrictions on Thai Baht lending to non-residents to prevent speculation. All outward remittances require submission of supporting documents to authori</w:t>
      </w:r>
      <w:r>
        <w:t>zed banks.</w:t>
      </w:r>
    </w:p>
    <w:p w:rsidR="00C82EC0" w:rsidRDefault="00CA1EFB">
      <w:r>
        <w:br w:type="page"/>
      </w:r>
    </w:p>
    <w:p w:rsidR="00C82EC0" w:rsidRDefault="00CA1EFB">
      <w:pPr>
        <w:pStyle w:val="Heading1"/>
      </w:pPr>
      <w:bookmarkStart w:id="26" w:name="_Toc230279701"/>
      <w:r>
        <w:lastRenderedPageBreak/>
        <w:t>8. Step-by-Step Incorporation &amp; Registration Process</w:t>
      </w:r>
      <w:bookmarkEnd w:id="26"/>
    </w:p>
    <w:p w:rsidR="00C82EC0" w:rsidRDefault="00CA1EFB">
      <w:pPr>
        <w:pStyle w:val="Heading2"/>
      </w:pPr>
      <w:bookmarkStart w:id="27" w:name="_Toc230279702"/>
      <w:r>
        <w:t>8.1 Pre-Incorporation Planning</w:t>
      </w:r>
      <w:bookmarkEnd w:id="27"/>
    </w:p>
    <w:p w:rsidR="00C82EC0" w:rsidRDefault="00CA1EFB">
      <w:pPr>
        <w:spacing w:after="120" w:line="276" w:lineRule="auto"/>
      </w:pPr>
      <w:r>
        <w:t>Before incorporation, plan the following: (a) Assess FBA restrictions for intended business activity; (b) Determine if BOI promotion is feasible and apply earl</w:t>
      </w:r>
      <w:r>
        <w:t>y if so; (c) Decide entity type (Limited Company is most common); (d) Identify at least 2 shareholders (minimum since 2023 amendment); (e) Identify directors and officers; (f) Determine registered capital (consider THB 2M per foreign work permit requiremen</w:t>
      </w:r>
      <w:r>
        <w:t xml:space="preserve">t); (g) Reserve company name via DBD Biz Regist platform (mandatory from 1 January 2026); (h) Prepare MOA, Articles of Association, and List of Shareholders; (i) Secure Thai registered office address; (j) Prepare documents for Thai shareholders (including </w:t>
      </w:r>
      <w:r>
        <w:t>3 months bank statements under DBD Order 2/2568 from 1 January 2026); (k) Prepare UBO declaration; (l) Plan for banking KYC/AML evidence.</w:t>
      </w:r>
    </w:p>
    <w:p w:rsidR="00C82EC0" w:rsidRDefault="00CA1EFB">
      <w:pPr>
        <w:pStyle w:val="Heading2"/>
      </w:pPr>
      <w:bookmarkStart w:id="28" w:name="_Toc230279703"/>
      <w:r>
        <w:t>8.2 Step-by-Step Incorporation Workflow</w:t>
      </w:r>
      <w:bookmarkEnd w:id="28"/>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4341"/>
        <w:gridCol w:w="1795"/>
        <w:gridCol w:w="2590"/>
      </w:tblGrid>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Step</w:t>
            </w:r>
          </w:p>
        </w:tc>
        <w:tc>
          <w:tcPr>
            <w:tcW w:w="4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Activity</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Timeline</w:t>
            </w:r>
          </w:p>
        </w:tc>
        <w:tc>
          <w:tcPr>
            <w:tcW w:w="2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Authority</w:t>
            </w:r>
          </w:p>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Name reservation via DBD Biz Regist platform</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Same day</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DBD</w:t>
            </w:r>
          </w:p>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Prepare MOA, AOA, Shareholders' List, Directors' Forms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3-5 days</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Self / Legal</w:t>
            </w:r>
          </w:p>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File MOA registration via DBD Biz Regist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Same day</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DBD</w:t>
            </w:r>
          </w:p>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Hold Statutory Meeting; adopt AOA; appoint directors/auditor</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Same day</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Company</w:t>
            </w:r>
          </w:p>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File Company Registration online via DBD Biz Regist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1-3 days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DBD</w:t>
            </w:r>
          </w:p>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Apply for BOI promotion (if eligible - strongly recommended)</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4-8 weeks</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BOI</w:t>
            </w:r>
          </w:p>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7</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Apply for Foreign Business Licence (if 100% foreign + no BOI)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4-6 months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DBD / Ministry of Commerce</w:t>
            </w:r>
          </w:p>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8</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Register for tax ID (and VAT if applicable) with Revenue Dept</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1-2 weeks</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Register with Social Security Office if hiring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Within 30 days of first hire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SSO</w:t>
            </w:r>
          </w:p>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Open Thai bank account (often the longest step)</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4-12 weeks</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Thai Bank</w:t>
            </w:r>
          </w:p>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Apply for Work Permits and Non-Immigrant Visas for foreign staff</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2-6 weeks each</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Labour Ministry / Immigration</w:t>
            </w:r>
          </w:p>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12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Register with PDPC if processing large-scale personal data</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As applicable</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PDPC</w:t>
            </w:r>
          </w:p>
        </w:tc>
      </w:tr>
    </w:tbl>
    <w:p w:rsidR="00C82EC0" w:rsidRDefault="00CA1EFB">
      <w:r>
        <w:br w:type="page"/>
      </w:r>
    </w:p>
    <w:p w:rsidR="00C82EC0" w:rsidRDefault="00CA1EFB">
      <w:pPr>
        <w:pStyle w:val="Heading1"/>
      </w:pPr>
      <w:bookmarkStart w:id="29" w:name="_Toc230279704"/>
      <w:r>
        <w:lastRenderedPageBreak/>
        <w:t>9. Licenses, Approvals, and Sector-Specific Requirements</w:t>
      </w:r>
      <w:bookmarkEnd w:id="29"/>
    </w:p>
    <w:p w:rsidR="00C82EC0" w:rsidRDefault="00CA1EFB">
      <w:pPr>
        <w:pStyle w:val="Heading2"/>
      </w:pPr>
      <w:bookmarkStart w:id="30" w:name="_Toc230279705"/>
      <w:r>
        <w:t>9.1 Common Cross-Sector Requirements</w:t>
      </w:r>
      <w:bookmarkEnd w:id="30"/>
    </w:p>
    <w:p w:rsidR="00C82EC0" w:rsidRDefault="00CA1EFB">
      <w:pPr>
        <w:spacing w:after="120" w:line="276" w:lineRule="auto"/>
      </w:pPr>
      <w:r>
        <w:t>Most Thai businesses require: DBD registration, Revenue Department Tax ID, VAT registration (mandatory if annual revenue exceeds THB 1.8 million), Social Security Office (SSO) registration for employers, Work Permits for foreign employees, Workmen's Compen</w:t>
      </w:r>
      <w:r>
        <w:t>sation Insurance (via SSO), and Foreign Business Licence or BOI promotion if foreign-owned majority in restricted sectors. If processing personal data, PDPC registration/appointment of DPO may apply.</w:t>
      </w:r>
    </w:p>
    <w:p w:rsidR="00C82EC0" w:rsidRDefault="00CA1EFB">
      <w:pPr>
        <w:pStyle w:val="Heading2"/>
      </w:pPr>
      <w:bookmarkStart w:id="31" w:name="_Toc230279706"/>
      <w:r>
        <w:t>9.2 Sector-Specific Approvals</w:t>
      </w:r>
      <w:bookmarkEnd w:id="31"/>
    </w:p>
    <w:p w:rsidR="00C82EC0" w:rsidRDefault="00CA1EFB">
      <w:pPr>
        <w:spacing w:after="120" w:line="276" w:lineRule="auto"/>
      </w:pPr>
      <w:r>
        <w:t>Financial services: Securi</w:t>
      </w:r>
      <w:r>
        <w:t>ties and Exchange Commission (SEC) for securities, Bank of Thailand (BOT) for banking/forex, Office of Insurance Commission (OIC). Healthcare/pharma: Food and Drug Administration Thailand (TFDA), Medical Council of Thailand. Legal services: Lawyers Council</w:t>
      </w:r>
      <w:r>
        <w:t xml:space="preserve"> of Thailand (lawyer practice requires Thai citizenship). Telecoms: National Broadcasting and Telecommunications Commission (NBTC). Tourism: Department of Tourism and Tourism Authority of Thailand. Food and beverage: TFDA (under Ministry of Public Health).</w:t>
      </w:r>
      <w:r>
        <w:t xml:space="preserve"> Energy: Ministry of Energy, Energy Regulatory Commission. Crypto/digital assets: SEC (under Digital Asset Decree). Restaurant/hotel: provincial permits + TFDA + Excise Department (for alcohol). Mining: Department of Primary Industries and Mines. Manufactu</w:t>
      </w:r>
      <w:r>
        <w:t>ring: factory licences under Factory Act.</w:t>
      </w:r>
    </w:p>
    <w:p w:rsidR="00C82EC0" w:rsidRDefault="00CA1EFB">
      <w:r>
        <w:br w:type="page"/>
      </w:r>
    </w:p>
    <w:p w:rsidR="00C82EC0" w:rsidRDefault="00CA1EFB">
      <w:pPr>
        <w:pStyle w:val="Heading1"/>
      </w:pPr>
      <w:bookmarkStart w:id="32" w:name="_Toc230279707"/>
      <w:r>
        <w:lastRenderedPageBreak/>
        <w:t>10. Taxation and Incentives</w:t>
      </w:r>
      <w:bookmarkEnd w:id="32"/>
    </w:p>
    <w:p w:rsidR="00C82EC0" w:rsidRDefault="00CA1EFB">
      <w:pPr>
        <w:pStyle w:val="Heading2"/>
      </w:pPr>
      <w:bookmarkStart w:id="33" w:name="_Toc230279708"/>
      <w:r>
        <w:t>10.1 Overview of the Tax System</w:t>
      </w:r>
      <w:bookmarkEnd w:id="33"/>
    </w:p>
    <w:p w:rsidR="00C82EC0" w:rsidRDefault="00CA1EFB">
      <w:pPr>
        <w:spacing w:after="120" w:line="276" w:lineRule="auto"/>
      </w:pPr>
      <w:r>
        <w:t>Thailand's tax system is administered by the Revenue Department. Main taxes: Corporate Income Tax (CIT), Personal Income Tax (PIT), Value Added Tax (VAT</w:t>
      </w:r>
      <w:r>
        <w:t>), Specific Business Tax (SBT), Withholding Tax, Stamp Duty, Excise Tax, and Customs Duties. The tax year for individuals is the calendar year. For companies, the accounting period is typically 12 months but companies can choose their fiscal year end. Thai</w:t>
      </w:r>
      <w:r>
        <w:t>land has implemented the OECD Pillar Two minimum tax (15%) for large MNE groups with consolidated revenue &gt;EUR 750 million, effective for fiscal years beginning on or after 1 January 2025.</w:t>
      </w:r>
    </w:p>
    <w:p w:rsidR="00C82EC0" w:rsidRDefault="00CA1EFB">
      <w:pPr>
        <w:pStyle w:val="Heading2"/>
      </w:pPr>
      <w:bookmarkStart w:id="34" w:name="_Toc230279709"/>
      <w:r>
        <w:t>10.2 Corporate Income Tax</w:t>
      </w:r>
      <w:bookmarkEnd w:id="3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Taxpayer / Profit Band</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Tax Rate</w:t>
            </w:r>
          </w:p>
        </w:tc>
        <w:tc>
          <w:tcPr>
            <w:tcW w:w="39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Notes</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Standard CIT Rate (most companies)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20%</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Flat rate on net taxable profits</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SME: First THB 300,000 profit</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0%</w:t>
            </w:r>
          </w:p>
        </w:tc>
        <w:tc>
          <w:tcPr>
            <w:tcW w:w="3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SME = paid-up capital ≤ THB 5M and revenue ≤ THB 30M</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SME: THB 300,001 - 3,000,000 profit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15%</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Progressive rate for qualifying SMEs</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SME: Above THB 3,000,000 profit</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20%</w:t>
            </w:r>
          </w:p>
        </w:tc>
        <w:tc>
          <w:tcPr>
            <w:tcW w:w="3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Standard rate applies</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BOI-Promoted Activities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0% (up to 13 yrs)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Full CIT exemption during promotion period</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Special Economic Zones (targeted)</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10%</w:t>
            </w:r>
          </w:p>
        </w:tc>
        <w:tc>
          <w:tcPr>
            <w:tcW w:w="3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For 10 consecutive accounting periods (approved 2025)</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International Business Center (IBC)</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3-8%</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Reduced rates based on local expenditure</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Pillar Two Top-up Tax</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15% minimum</w:t>
            </w:r>
          </w:p>
        </w:tc>
        <w:tc>
          <w:tcPr>
            <w:tcW w:w="3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Large MNE groups (consolidated revenue &gt;EUR 750M)</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Petroleum Income Tax</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Up to 50%</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Specific regime for petroleum companies</w:t>
            </w:r>
          </w:p>
        </w:tc>
      </w:tr>
    </w:tbl>
    <w:p w:rsidR="00C82EC0" w:rsidRDefault="00CA1EFB">
      <w:pPr>
        <w:spacing w:after="120" w:line="276" w:lineRule="auto"/>
      </w:pPr>
      <w:r>
        <w:t>Important: CIT returns (Form PND.50 annual, PND.51 half-year) must be filed within 150 days of fiscal year-end. Half-year prepayment (PND.51) is due 2 months after the first 6 months. Late filing attracts THB 1,000-2,000 fines plus 1.5% monthly interest. P</w:t>
      </w:r>
      <w:r>
        <w:t>illar Two implementation introduces QDMTT, IIR, and UTPR for large MNE groups.</w:t>
      </w:r>
    </w:p>
    <w:p w:rsidR="00C82EC0" w:rsidRDefault="00CA1EFB">
      <w:pPr>
        <w:pStyle w:val="Heading2"/>
      </w:pPr>
      <w:bookmarkStart w:id="35" w:name="_Toc230279710"/>
      <w:r>
        <w:t>10.3 Value Added Tax (VAT)</w:t>
      </w:r>
      <w:bookmarkEnd w:id="35"/>
    </w:p>
    <w:p w:rsidR="00C82EC0" w:rsidRDefault="00CA1EFB">
      <w:pPr>
        <w:spacing w:after="120" w:line="276" w:lineRule="auto"/>
      </w:pPr>
      <w:r>
        <w:t>Standard VAT rate is 7% (currently extended by Royal Decree No. 799 until 30 September 2026 - may revert to 10% statutory rate thereafter). Exports ar</w:t>
      </w:r>
      <w:r>
        <w:t>e zero-rated (0%). Basic goods/services (basic food, education, healthcare, real estate sales) are VAT-exempt. VAT registration is mandatory when annual revenue exceeds THB 1.8 million. Foreign digital service providers with revenue above THB 1.8 million f</w:t>
      </w:r>
      <w:r>
        <w:t xml:space="preserve">rom services to non-VAT-registered Thai customers must register for VAT (since 2021). Monthly VAT returns (PP.30) must be filed by the 15th of the following month. Since 18 February 2025, VAT applies to low-value imports (under </w:t>
      </w:r>
      <w:r>
        <w:lastRenderedPageBreak/>
        <w:t>THB 1,500) through e-commerc</w:t>
      </w:r>
      <w:r>
        <w:t>e platforms. VAT-exempt businesses (banks, finance, life insurance) pay Specific Business Tax (SBT) instead at rates of 0.1%, 2.5%, or 3% on gross receipts.</w:t>
      </w:r>
    </w:p>
    <w:p w:rsidR="00C82EC0" w:rsidRDefault="00CA1EFB">
      <w:pPr>
        <w:pStyle w:val="Heading2"/>
      </w:pPr>
      <w:bookmarkStart w:id="36" w:name="_Toc230279711"/>
      <w:r>
        <w:t>10.4 Withholding Tax Rates</w:t>
      </w:r>
      <w:bookmarkEnd w:id="36"/>
    </w:p>
    <w:p w:rsidR="00C82EC0" w:rsidRDefault="00C82EC0">
      <w:pPr>
        <w:spacing w:after="8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C82EC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Payment Type</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Thai Domestic Rate</w:t>
            </w:r>
          </w:p>
        </w:tc>
        <w:tc>
          <w:tcPr>
            <w:tcW w:w="3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Rate to Indian Resident (DTAA)</w:t>
            </w:r>
          </w:p>
        </w:tc>
      </w:tr>
      <w:tr w:rsidR="00C82EC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Dividends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10% final WHT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10% (capped under India-Thailand DTAA)</w:t>
            </w:r>
          </w:p>
        </w:tc>
      </w:tr>
      <w:tr w:rsidR="00C82EC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Interest (general)</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15% final WHT</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10% (capped under DTAA)</w:t>
            </w:r>
          </w:p>
        </w:tc>
      </w:tr>
      <w:tr w:rsidR="00C82EC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Royalties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15% final WHT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10% (capped under DTAA)</w:t>
            </w:r>
          </w:p>
        </w:tc>
      </w:tr>
      <w:tr w:rsidR="00C82EC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Fees for Technical Services</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15% (as services)</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FTS not separately defined; treated as business profits</w:t>
            </w:r>
          </w:p>
        </w:tc>
      </w:tr>
      <w:tr w:rsidR="00C82EC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Service fees (to companies)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3% creditable WHT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Follows business profits rules</w:t>
            </w:r>
          </w:p>
        </w:tc>
      </w:tr>
      <w:tr w:rsidR="00C82EC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Service fees (to individuals)</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3% creditable WHT</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Follows business profits rules</w:t>
            </w:r>
          </w:p>
        </w:tc>
      </w:tr>
      <w:tr w:rsidR="00C82EC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Rent on immovable property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5% creditable WHT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10% DTAA if real property</w:t>
            </w:r>
          </w:p>
        </w:tc>
      </w:tr>
      <w:tr w:rsidR="00C82EC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Branch Profit Remittance</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10% final</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Reduced under DTAA for Indian residents</w:t>
            </w:r>
          </w:p>
        </w:tc>
      </w:tr>
    </w:tbl>
    <w:p w:rsidR="00C82EC0" w:rsidRDefault="00CA1EFB">
      <w:pPr>
        <w:pStyle w:val="Heading2"/>
      </w:pPr>
      <w:bookmarkStart w:id="37" w:name="_Toc230279712"/>
      <w:r>
        <w:t>10.5 Tax Incentives and Reliefs</w:t>
      </w:r>
      <w:bookmarkEnd w:id="37"/>
    </w:p>
    <w:p w:rsidR="00C82EC0" w:rsidRDefault="00CA1EFB">
      <w:pPr>
        <w:spacing w:after="120" w:line="276" w:lineRule="auto"/>
      </w:pPr>
      <w:r>
        <w:t>Key BOI incentives include: Corporate Income Tax exemption of 3-13 years depending on sector, technology level, and location (activities in Eastern Economic Corridor (EEC) receive extended benefits); 50% reduction in CIT for 5 additional years after the ex</w:t>
      </w:r>
      <w:r>
        <w:t>emption period in some cases; import duty exemptions on machinery; import duty reduction/exemption on raw materials for export production; deduction of up to 2x transportation, electricity and water costs for 10 years; permission for 100% foreign ownership</w:t>
      </w:r>
      <w:r>
        <w:t>; permission to own land for BOI activities; Smart Visa for foreign professionals (up to 4 years); unrestricted capital and dividend repatriation; and enhanced R&amp;D deductions. EEC special regime offers additional PIT reduction for target-industry professio</w:t>
      </w:r>
      <w:r>
        <w:t>nals (17% flat rate). International Business Center (IBC) regime offers reduced CIT rates (3-8%) for qualifying treasury and service activities. Smart Visa and Long-Term Resident (LTR) Visa (10 years) for highly skilled migrants.</w:t>
      </w:r>
    </w:p>
    <w:p w:rsidR="00C82EC0" w:rsidRDefault="00CA1EFB">
      <w:r>
        <w:br w:type="page"/>
      </w:r>
    </w:p>
    <w:p w:rsidR="00C82EC0" w:rsidRDefault="00CA1EFB">
      <w:pPr>
        <w:pStyle w:val="Heading1"/>
      </w:pPr>
      <w:bookmarkStart w:id="38" w:name="_Toc230279713"/>
      <w:r>
        <w:lastRenderedPageBreak/>
        <w:t>11. Banking, Finance, an</w:t>
      </w:r>
      <w:r>
        <w:t>d Repatriation</w:t>
      </w:r>
      <w:bookmarkEnd w:id="38"/>
    </w:p>
    <w:p w:rsidR="00C82EC0" w:rsidRDefault="00CA1EFB">
      <w:pPr>
        <w:pStyle w:val="Heading2"/>
      </w:pPr>
      <w:bookmarkStart w:id="39" w:name="_Toc230279714"/>
      <w:r>
        <w:t>11.1 Opening Corporate Bank Accounts</w:t>
      </w:r>
      <w:bookmarkEnd w:id="39"/>
    </w:p>
    <w:p w:rsidR="00C82EC0" w:rsidRDefault="00CA1EFB">
      <w:pPr>
        <w:spacing w:after="120" w:line="276" w:lineRule="auto"/>
      </w:pPr>
      <w:r>
        <w:t>Opening a Thai corporate bank account can be challenging for foreign-owned entities and typically takes 4-12 weeks. Banks apply rigorous AML/KYC procedures. Required documents typically include: Certifica</w:t>
      </w:r>
      <w:r>
        <w:t>te of Incorporation (Bor Or Jor 5 and Bor Or Jor 6), MOA and AOA, affidavit from DBD, shareholders' list, directors' list (Bor Or Jor 2), board resolution authorising account opening, proof of identity for all directors and UBOs, proof of Thai registered o</w:t>
      </w:r>
      <w:r>
        <w:t>ffice, business plan and projected turnover, source of funds documentation, parent company documents (if Indian parent - legalized/apostilled if from abroad), details of expected transactions, BOI certificate (if BOI-promoted). Major Thai banks include Ban</w:t>
      </w:r>
      <w:r>
        <w:t>gkok Bank (BBL), Kasikornbank (KBANK), Siam Commercial Bank (SCB), Krungthai Bank (KTB), Bank of Ayudhya (BAY), and Kiatnakin Phatra Bank. International banks include HSBC, Standard Chartered, and Citi Thailand. BOI certification and physical presence sign</w:t>
      </w:r>
      <w:r>
        <w:t>ificantly improve approval chances.</w:t>
      </w:r>
    </w:p>
    <w:p w:rsidR="00C82EC0" w:rsidRDefault="00CA1EFB">
      <w:pPr>
        <w:pStyle w:val="Heading2"/>
      </w:pPr>
      <w:bookmarkStart w:id="40" w:name="_Toc230279715"/>
      <w:r>
        <w:t>11.2 Funding Options</w:t>
      </w:r>
      <w:bookmarkEnd w:id="40"/>
    </w:p>
    <w:p w:rsidR="00C82EC0" w:rsidRDefault="00CA1EFB">
      <w:pPr>
        <w:spacing w:after="120" w:line="276" w:lineRule="auto"/>
      </w:pPr>
      <w:r>
        <w:t>Thai companies have diverse funding options: equity from Indian parent (through ODI filing), shareholder loans (subject to Thai thin capitalization and transfer pricing rules), Thai bank lending (typ</w:t>
      </w:r>
      <w:r>
        <w:t>ically requires trading history and Thai collateral), local venture capital and private equity (Bangkok has growing VC ecosystem), BOI-promoted financial support, Thai Credit Guarantee Corporation (TCG) for SMEs, government-backed schemes (SME Bank, Export</w:t>
      </w:r>
      <w:r>
        <w:t>-Import Bank of Thailand), Thai Industrial Estate Authority (IEAT) financing, regional development banks, and crowdfunding/digital assets platforms regulated by SEC.</w:t>
      </w:r>
    </w:p>
    <w:p w:rsidR="00C82EC0" w:rsidRDefault="00CA1EFB">
      <w:pPr>
        <w:pStyle w:val="Heading2"/>
      </w:pPr>
      <w:bookmarkStart w:id="41" w:name="_Toc230279716"/>
      <w:r>
        <w:t>11.3 Repatriation Rules</w:t>
      </w:r>
      <w:bookmarkEnd w:id="41"/>
    </w:p>
    <w:p w:rsidR="00C82EC0" w:rsidRDefault="00CA1EFB">
      <w:pPr>
        <w:spacing w:after="120" w:line="276" w:lineRule="auto"/>
      </w:pPr>
      <w:r>
        <w:t>Thailand does permit repatriation of capital, dividends, and profi</w:t>
      </w:r>
      <w:r>
        <w:t>ts through authorised banks with proper documentation. BOI-promoted companies enjoy unrestricted capital and dividend repatriation rights. Non-BOI companies must also repatriate through authorised banks with supporting documentation. Repatriation of amount</w:t>
      </w:r>
      <w:r>
        <w:t>s exceeding USD 200,000 requires submission of Foreign Exchange Transaction Form. Dividend repatriation is subject to 10% final WHT (may be reduced to treaty rate under DTAA). Interest repatriation is subject to 15% WHT (10% under India-Thailand DTAA). Roy</w:t>
      </w:r>
      <w:r>
        <w:t xml:space="preserve">alty repatriation is subject to 15% WHT (10% under DTAA). The Indian parent must comply with Indian FEMA reporting requirements for inward remittances and treat the income appropriately under Indian tax law, claiming Foreign Tax Credit (FTC) under Section </w:t>
      </w:r>
      <w:r>
        <w:t>90/Rule 128.</w:t>
      </w:r>
    </w:p>
    <w:p w:rsidR="00C82EC0" w:rsidRDefault="00CA1EFB">
      <w:r>
        <w:br w:type="page"/>
      </w:r>
    </w:p>
    <w:p w:rsidR="00C82EC0" w:rsidRDefault="00CA1EFB">
      <w:pPr>
        <w:pStyle w:val="Heading1"/>
      </w:pPr>
      <w:bookmarkStart w:id="42" w:name="_Toc230279717"/>
      <w:r>
        <w:lastRenderedPageBreak/>
        <w:t>12. Employment, Immigration, and Payroll</w:t>
      </w:r>
      <w:bookmarkEnd w:id="42"/>
    </w:p>
    <w:p w:rsidR="00C82EC0" w:rsidRDefault="00CA1EFB">
      <w:pPr>
        <w:pStyle w:val="Heading2"/>
      </w:pPr>
      <w:bookmarkStart w:id="43" w:name="_Toc230279718"/>
      <w:r>
        <w:t>12.1 Key Employment Laws</w:t>
      </w:r>
      <w:bookmarkEnd w:id="43"/>
    </w:p>
    <w:p w:rsidR="00C82EC0" w:rsidRDefault="00CA1EFB">
      <w:pPr>
        <w:spacing w:after="120" w:line="276" w:lineRule="auto"/>
      </w:pPr>
      <w:r>
        <w:t>Thai employment law is governed primarily by the Labour Protection Act B.E. 2541 (1998) (as amended), the Civil and Commercial Code, the Social Security Act, and various minis</w:t>
      </w:r>
      <w:r>
        <w:t xml:space="preserve">terial regulations. Key provisions: standard work week is 48 hours (8 hours/day, 6 days) or 40-45 hours in office/commercial work; minimum 6 days paid annual leave (increases with tenure); 13 public holidays; statutory sick leave (30 days paid); maternity </w:t>
      </w:r>
      <w:r>
        <w:t>leave 98 days (45 days paid by employer); severance pay based on length of service (30-400 days); mandatory Provident Fund not required but common; minimum notice period of one pay cycle; Work Rules registration required for employers with 10+ employees; a</w:t>
      </w:r>
      <w:r>
        <w:t>nd statutory minimum wage varies by province (approximately THB 354-400/day in 2026, with BOI flexibility for certain EEC areas).</w:t>
      </w:r>
    </w:p>
    <w:p w:rsidR="00C82EC0" w:rsidRDefault="00CA1EFB">
      <w:pPr>
        <w:pStyle w:val="Heading2"/>
      </w:pPr>
      <w:bookmarkStart w:id="44" w:name="_Toc230279719"/>
      <w:r>
        <w:t>12.2 Immigration and Work Authorization</w:t>
      </w:r>
      <w:bookmarkEnd w:id="44"/>
    </w:p>
    <w:p w:rsidR="00C82EC0" w:rsidRDefault="00CA1EFB">
      <w:pPr>
        <w:spacing w:after="120" w:line="276" w:lineRule="auto"/>
      </w:pPr>
      <w:r>
        <w:t xml:space="preserve">Common routes for Indian nationals: (1) Non-Immigrant B Visa + Work Permit - standard route requires THB 2M paid-up capital per foreign WP, 4:1 Thai-to-foreign employee ratio (for non-BOI companies), minimum salary by nationality (approx. THB 50,000/month </w:t>
      </w:r>
      <w:r>
        <w:t xml:space="preserve">for Indians); (2) BOI Visa and Work Permit - streamlined for BOI-promoted companies, faster processing (e-WP/e-Visa), no strict 4:1 ratio; (3) Smart Visa - for experts, executives, investors, startups in 13 target industries (up to 4 years, no work permit </w:t>
      </w:r>
      <w:r>
        <w:t>needed for associated employment); (4) Long-Term Resident (LTR) Visa - 10 years for four categories: wealthy global citizens, wealthy pensioners, work-from-Thailand professionals, highly skilled professionals; (5) Elite Visa - for high-net-worth individual</w:t>
      </w:r>
      <w:r>
        <w:t>s (5-20 years); (6) APEC Business Travel Card. To hire foreign staff, the Thai company must apply for work permits on behalf of each foreign employee; employees enter Thailand on Non-Immigrant B Visa and convert to 1-year extensions locally.</w:t>
      </w:r>
    </w:p>
    <w:p w:rsidR="00C82EC0" w:rsidRDefault="00CA1EFB">
      <w:pPr>
        <w:pStyle w:val="Heading2"/>
      </w:pPr>
      <w:bookmarkStart w:id="45" w:name="_Toc230279720"/>
      <w:r>
        <w:t>12.3 Payroll a</w:t>
      </w:r>
      <w:r>
        <w:t>nd HR Compliance</w:t>
      </w:r>
      <w:bookmarkEnd w:id="45"/>
    </w:p>
    <w:p w:rsidR="00C82EC0" w:rsidRDefault="00CA1EFB">
      <w:pPr>
        <w:spacing w:after="120" w:line="276" w:lineRule="auto"/>
      </w:pPr>
      <w:r>
        <w:t>Employers must operate Thai payroll: Personal Income Tax (PIT) withholding on employee salaries (PND.1 monthly, PND.1Kor annual), Social Security contributions (both employer and employee contribute 5% each of salary capped at THB 15,000/m</w:t>
      </w:r>
      <w:r>
        <w:t xml:space="preserve">onth = max THB 750 each), Workmen's Compensation Fund (0.2-1.0% of payroll, employer only), Provident Fund if established (voluntary). Annual compliance includes Withholding Tax Certificates (50 Bis) for employees, PND.1Kor annual summary, employee annual </w:t>
      </w:r>
      <w:r>
        <w:t>PIT return support. Accounting records must be maintained in Thai language and retained for at least 5 years. Annual statutory audit is mandatory for all Thai limited companies regardless of size.</w:t>
      </w:r>
    </w:p>
    <w:p w:rsidR="00C82EC0" w:rsidRDefault="00CA1EFB">
      <w:r>
        <w:br w:type="page"/>
      </w:r>
    </w:p>
    <w:p w:rsidR="00C82EC0" w:rsidRDefault="00CA1EFB">
      <w:pPr>
        <w:pStyle w:val="Heading1"/>
      </w:pPr>
      <w:bookmarkStart w:id="46" w:name="_Toc230279721"/>
      <w:r>
        <w:lastRenderedPageBreak/>
        <w:t>13. Intellectual Property, Data, and Technology</w:t>
      </w:r>
      <w:bookmarkEnd w:id="46"/>
    </w:p>
    <w:p w:rsidR="00C82EC0" w:rsidRDefault="00CA1EFB">
      <w:pPr>
        <w:pStyle w:val="Heading2"/>
      </w:pPr>
      <w:bookmarkStart w:id="47" w:name="_Toc230279722"/>
      <w:r>
        <w:t>13.1 IP P</w:t>
      </w:r>
      <w:r>
        <w:t>rotection</w:t>
      </w:r>
      <w:bookmarkEnd w:id="47"/>
    </w:p>
    <w:p w:rsidR="00C82EC0" w:rsidRDefault="00CA1EFB">
      <w:pPr>
        <w:spacing w:after="120" w:line="276" w:lineRule="auto"/>
      </w:pPr>
      <w:r>
        <w:t>Thailand's IP is administered by the Department of Intellectual Property (DIP) under the Ministry of Commerce. Trademark registration takes 12-18 months (10 years protection, renewable). Patent registration takes 4-6 years (20 years for invention</w:t>
      </w:r>
      <w:r>
        <w:t xml:space="preserve"> patents, 10 years for design patents, 6-10 years for petty patents). Copyright is automatic on creation (registration optional with DIP for evidentiary purposes). Thailand is signatory to major IP treaties including Paris Convention, Berne Convention, PCT</w:t>
      </w:r>
      <w:r>
        <w:t>, Madrid Protocol (joined 2017), and WIPO treaties. Thailand has specialised IP and International Trade Court for enforcement. The DIP has been improving enforcement - Thailand was moved off the USTR Special 301 Priority Watch List in recent years. Thailan</w:t>
      </w:r>
      <w:r>
        <w:t>d offers tax incentives for domestic IP development through BOI-promoted R&amp;D activities.</w:t>
      </w:r>
    </w:p>
    <w:p w:rsidR="00C82EC0" w:rsidRDefault="00CA1EFB">
      <w:pPr>
        <w:pStyle w:val="Heading2"/>
      </w:pPr>
      <w:bookmarkStart w:id="48" w:name="_Toc230279723"/>
      <w:r>
        <w:t>13.2 Data Protection and Privacy</w:t>
      </w:r>
      <w:bookmarkEnd w:id="48"/>
    </w:p>
    <w:p w:rsidR="00C82EC0" w:rsidRDefault="00CA1EFB">
      <w:pPr>
        <w:spacing w:after="120" w:line="276" w:lineRule="auto"/>
      </w:pPr>
      <w:r>
        <w:t>The Personal Data Protection Act B.E. 2562 (PDPA) came into full effect on 1 June 2022 and is modelled closely on the EU GDPR. Key req</w:t>
      </w:r>
      <w:r>
        <w:t xml:space="preserve">uirements: identify a lawful basis for processing; transparent privacy notices; data subject rights (access, rectification, erasure, portability, objection, restriction); data breach notification to PDPC within 72 hours; Data Protection Impact Assessments </w:t>
      </w:r>
      <w:r>
        <w:t>for high-risk processing; appointment of a Data Protection Officer (DPO) for specific categories (public authorities, large-scale regular monitoring, large-scale special categories); cross-border transfer restrictions (requires adequacy or appropriate safe</w:t>
      </w:r>
      <w:r>
        <w:t>guards - SCCs, BCRs); sensitive personal data (health, religion, politics, biometrics etc.) requires explicit consent. Maximum administrative fine up to THB 5 million, criminal penalties up to THB 1 million + imprisonment, plus compensation liability to da</w:t>
      </w:r>
      <w:r>
        <w:t>ta subjects.</w:t>
      </w:r>
    </w:p>
    <w:p w:rsidR="00C82EC0" w:rsidRDefault="00CA1EFB">
      <w:r>
        <w:br w:type="page"/>
      </w:r>
    </w:p>
    <w:p w:rsidR="00C82EC0" w:rsidRDefault="00CA1EFB">
      <w:pPr>
        <w:pStyle w:val="Heading1"/>
      </w:pPr>
      <w:bookmarkStart w:id="49" w:name="_Toc230279724"/>
      <w:r>
        <w:lastRenderedPageBreak/>
        <w:t>14. Commercial Contracts and Local Practices</w:t>
      </w:r>
      <w:bookmarkEnd w:id="49"/>
    </w:p>
    <w:p w:rsidR="00C82EC0" w:rsidRDefault="00CA1EFB">
      <w:pPr>
        <w:spacing w:after="120" w:line="276" w:lineRule="auto"/>
      </w:pPr>
      <w:r>
        <w:t>Thai contract law is codified in the Civil and Commercial Code (CCC). Key principles: offer and acceptance, freedom of contract (subject to mandatory law), good faith, and pacta sunt servanda. Key features: Thai courts generally enforce contracts with choi</w:t>
      </w:r>
      <w:r>
        <w:t>ce of foreign law for international contracts, though mandatory Thai law (labour, consumer protection, competition, land, tax) overrides; contracts must generally be in Thai language when filed with government authorities; Thai-language version prevails in</w:t>
      </w:r>
      <w:r>
        <w:t xml:space="preserve"> Thai courts; certain contracts require notarisation or specific format. Arbitration is well-established - Thailand Arbitration Institute (TAI), Thai Arbitration Center (THAC). Thailand is signatory to the New York Convention on enforcement of foreign arbi</w:t>
      </w:r>
      <w:r>
        <w:t>tral awards. Business culture emphasises relationship-building ('kreng jai' - consideration for others), patience, and face-saving; initial negotiations may take longer than in Western contexts; written contracts critical despite emphasis on trust.</w:t>
      </w:r>
    </w:p>
    <w:p w:rsidR="00C82EC0" w:rsidRDefault="00CA1EFB">
      <w:r>
        <w:br w:type="page"/>
      </w:r>
    </w:p>
    <w:p w:rsidR="00C82EC0" w:rsidRDefault="00CA1EFB">
      <w:pPr>
        <w:pStyle w:val="Heading1"/>
      </w:pPr>
      <w:bookmarkStart w:id="50" w:name="_Toc230279725"/>
      <w:r>
        <w:lastRenderedPageBreak/>
        <w:t>15. O</w:t>
      </w:r>
      <w:r>
        <w:t>perations, Location, and Economic Zones</w:t>
      </w:r>
      <w:bookmarkEnd w:id="50"/>
    </w:p>
    <w:p w:rsidR="00C82EC0" w:rsidRDefault="00CA1EFB">
      <w:pPr>
        <w:pStyle w:val="Heading2"/>
      </w:pPr>
      <w:bookmarkStart w:id="51" w:name="_Toc230279726"/>
      <w:r>
        <w:t>15.1 Key Business Locations</w:t>
      </w:r>
      <w:bookmarkEnd w:id="51"/>
    </w:p>
    <w:p w:rsidR="00C82EC0" w:rsidRDefault="00CA1EFB">
      <w:pPr>
        <w:spacing w:after="120" w:line="276" w:lineRule="auto"/>
      </w:pPr>
      <w:r>
        <w:t>Bangkok remains the dominant business hub - particularly Silom/Sathorn (financial district), Sukhumvit (commercial/residential), and Ratchada (emerging office area). Outside Bangkok: Chonb</w:t>
      </w:r>
      <w:r>
        <w:t>uri and Rayong (EEC manufacturing hub, automotive and petrochemical); Chachoengsao (part of EEC, emerging industrial); Chiang Mai (northern hub - tech, creative industries, handicrafts); Phuket (tourism, digital nomads); Songkhla (southern border trade wit</w:t>
      </w:r>
      <w:r>
        <w:t>h Malaysia); Khon Kaen (northeast hub). The Eastern Economic Corridor (EEC) spanning three provinces is Thailand's flagship zone for next-generation industries (S-curve). Industrial estates managed by IEAT (Industrial Estate Authority of Thailand) and priv</w:t>
      </w:r>
      <w:r>
        <w:t>ate operators (Amata, WHA, Hemaraj) offer plug-and-play infrastructure.</w:t>
      </w:r>
    </w:p>
    <w:p w:rsidR="00C82EC0" w:rsidRDefault="00CA1EFB">
      <w:pPr>
        <w:pStyle w:val="Heading2"/>
      </w:pPr>
      <w:bookmarkStart w:id="52" w:name="_Toc230279727"/>
      <w:r>
        <w:t>15.2 Special Economic Zones and Industrial Estates</w:t>
      </w:r>
      <w:bookmarkEnd w:id="52"/>
    </w:p>
    <w:p w:rsidR="00C82EC0" w:rsidRDefault="00CA1EFB">
      <w:pPr>
        <w:spacing w:after="120" w:line="276" w:lineRule="auto"/>
      </w:pPr>
      <w:r>
        <w:t>Eastern Economic Corridor (EEC) - Thailand's flagship SEZ covering Chonburi, Rayong, and Chachoengsao, targeting 'New S-Curve' indust</w:t>
      </w:r>
      <w:r>
        <w:t>ries (next-gen automotive including EV, smart electronics, advanced tourism, agriculture and biotechnology, food for the future, robotics, aviation and logistics, biofuels and biochemicals, digital, and medical hub). Enhanced BOI incentives including CIT e</w:t>
      </w:r>
      <w:r>
        <w:t>xemption up to 13 years + 50% reduction for 5 more years, personal income tax 17% flat rate for target industry experts, ease of work permits and visas. SEZ along borders - 10 Special Economic Zones along Thai borders (Tak, Mukdahan, Sa Kaeo, Trat, Songkhl</w:t>
      </w:r>
      <w:r>
        <w:t>a, Chiang Rai, Nong Khai, Nakhon Phanom, Kanchanaburi, Narathiwat) offering 10% CIT rate for targeted businesses for 10 consecutive accounting periods (approved 2025). 70+ Industrial Estates operated by IEAT and partners - most approved for BOI-promoted an</w:t>
      </w:r>
      <w:r>
        <w:t>d heavy industries.</w:t>
      </w:r>
    </w:p>
    <w:p w:rsidR="00C82EC0" w:rsidRDefault="00CA1EFB">
      <w:r>
        <w:br w:type="page"/>
      </w:r>
    </w:p>
    <w:p w:rsidR="00C82EC0" w:rsidRDefault="00CA1EFB">
      <w:pPr>
        <w:pStyle w:val="Heading1"/>
      </w:pPr>
      <w:bookmarkStart w:id="53" w:name="_Toc230279728"/>
      <w:r>
        <w:lastRenderedPageBreak/>
        <w:t>16. Compliance Calendar and Ongoing Obligations</w:t>
      </w:r>
      <w:bookmarkEnd w:id="53"/>
    </w:p>
    <w:p w:rsidR="00C82EC0" w:rsidRDefault="00CA1EFB">
      <w:pPr>
        <w:spacing w:after="120" w:line="276" w:lineRule="auto"/>
      </w:pPr>
      <w:r>
        <w:t>Thai compliance obligations are spread across DBD (corporate filings), Revenue Department (taxes), Social Security Office (employee insurance), Ministry of Labour, BOI (if promoted), and</w:t>
      </w:r>
      <w:r>
        <w:t xml:space="preserve"> sector regulators. Below is a comprehensive calendar of ongoing obligations.</w:t>
      </w:r>
    </w:p>
    <w:p w:rsidR="00C82EC0" w:rsidRDefault="00CA1EFB">
      <w:pPr>
        <w:pStyle w:val="Heading2"/>
      </w:pPr>
      <w:bookmarkStart w:id="54" w:name="_Toc230279729"/>
      <w:r>
        <w:t>16.1 Periodic Compliance Obligations</w:t>
      </w:r>
      <w:bookmarkEnd w:id="5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200"/>
        <w:gridCol w:w="1760"/>
      </w:tblGrid>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Filing / Obligation</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Frequency / Reference</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Due Date</w:t>
            </w:r>
          </w:p>
        </w:tc>
        <w:tc>
          <w:tcPr>
            <w:tcW w:w="1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Authority</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PIT Withholding Return (PND.1)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Monthly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7th of following month (15th if e-filing)</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Corporate WHT Return (PND.3/PND.53)</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Monthly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7th of following month (15th if e-filing)</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VAT Return (PP.30)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Monthly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15th of following month (23rd if e-filing)</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Specific Business Tax (PP.40, if applicable)</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Monthly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15th of following month</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Social Security Contributions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Monthly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15th of following month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SSO</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Provident Fund Contributions</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Monthly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Per fund rules (often 15th)</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Fund trustee</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CIT Half-Year Prepayment (PND.51)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Semi-annual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2 months after 6-month period end</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BOI Quarterly Reports</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Quarterly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Per BOI conditions</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BOI</w:t>
            </w:r>
          </w:p>
        </w:tc>
      </w:tr>
    </w:tbl>
    <w:p w:rsidR="00C82EC0" w:rsidRDefault="00CA1EFB">
      <w:pPr>
        <w:pStyle w:val="Heading2"/>
      </w:pPr>
      <w:bookmarkStart w:id="55" w:name="_Toc230279730"/>
      <w:r>
        <w:t>16.2 Annual Compliance Obligations</w:t>
      </w:r>
      <w:bookmarkEnd w:id="55"/>
    </w:p>
    <w:p w:rsidR="00C82EC0" w:rsidRDefault="00C82EC0">
      <w:pPr>
        <w:spacing w:after="8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200"/>
        <w:gridCol w:w="1760"/>
      </w:tblGrid>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Filing / Obligation</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Form / Reference</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Due Date</w:t>
            </w:r>
          </w:p>
        </w:tc>
        <w:tc>
          <w:tcPr>
            <w:tcW w:w="1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Authority</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Annual Financial Statements (audited)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PND.50 submission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Within 150 days of FY end</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DBD / Revenue Dept</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Annual Corporate Income Tax Return</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PND.50</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Within 150 days of FY end</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Annual Report to DBD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BJ.5 (List of Shareholders)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Within 14 days of AGM</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DBD</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Annual General Meeting (AGM)</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Statutory meeting</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Within 4 months of FY end</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Company</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Annual PIT Summary (PND.1Kor)</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PND.1Kor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By end of February following year</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Withholding Tax Certificates (50 Bis)</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Form 50 Bis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Issued to employees by mid-Feb</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Employer to employees</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BOI Annual Report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BOI-specific</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Per BOI conditions (typically annual)</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BOI</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Work Permit Annual Report</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Labour Ministry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Annual renewal</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Ministry of Labour</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Workmen's Compensation Fund contribution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Annual settlement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Annual reconciliation</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SSO</w:t>
            </w:r>
          </w:p>
        </w:tc>
      </w:tr>
      <w:tr w:rsidR="00C82EC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lastRenderedPageBreak/>
              <w:t>UBO Register Update</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Online via DBD Biz Regist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Within 30 days of change</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DBD</w:t>
            </w:r>
          </w:p>
        </w:tc>
      </w:tr>
    </w:tbl>
    <w:p w:rsidR="00C82EC0" w:rsidRDefault="00CA1EFB">
      <w:pPr>
        <w:pStyle w:val="Heading2"/>
      </w:pPr>
      <w:bookmarkStart w:id="56" w:name="_Toc230279731"/>
      <w:r>
        <w:t>16.3 Month-wise Thai Calendar Year (January to December)</w:t>
      </w:r>
      <w:bookmarkEnd w:id="56"/>
    </w:p>
    <w:p w:rsidR="00C82EC0" w:rsidRDefault="00CA1EFB">
      <w:pPr>
        <w:spacing w:after="120" w:line="276" w:lineRule="auto"/>
      </w:pPr>
      <w:r>
        <w:t>Thailand uses the Gregorian calendar year for tax purposes for most companies (though companies can elect a different fiscal year). The Buddhist Era (B.E.) dating is used in official documents alongside Gregorian (B.E. 2569 = 2026). Below are key recurring</w:t>
      </w:r>
      <w:r>
        <w:t xml:space="preserve"> dates within the Thai calendar year.</w:t>
      </w:r>
    </w:p>
    <w:p w:rsidR="00C82EC0" w:rsidRDefault="00CA1EFB">
      <w:pPr>
        <w:pStyle w:val="Heading3"/>
      </w:pPr>
      <w:bookmarkStart w:id="57" w:name="_Toc230279732"/>
      <w:r>
        <w:t>January</w:t>
      </w:r>
      <w:bookmarkEnd w:id="57"/>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Authority</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7/15 Jan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PND.1, PND.3/53 (December) - WHT returns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15/23 Jan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PP.30 (December VAT) - return and payment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15 Jan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Social Security Contributions (December)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SSO</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31 Jan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DBD Biz Regist full digital mandate (from 1 Jan 2026)</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DBD</w:t>
            </w:r>
          </w:p>
        </w:tc>
      </w:tr>
    </w:tbl>
    <w:p w:rsidR="00C82EC0" w:rsidRDefault="00C82EC0">
      <w:pPr>
        <w:spacing w:after="80"/>
      </w:pPr>
    </w:p>
    <w:p w:rsidR="00C82EC0" w:rsidRDefault="00CA1EFB">
      <w:pPr>
        <w:pStyle w:val="Heading3"/>
      </w:pPr>
      <w:bookmarkStart w:id="58" w:name="_Toc230279733"/>
      <w:r>
        <w:t>February</w:t>
      </w:r>
      <w:bookmarkEnd w:id="58"/>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Authority</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7/15 Feb</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PND.1, PND.3/53 (January) - WHT returns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15/23 Feb</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PP.30 (January VAT) - return and payment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15 Feb</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Issue Withholding Tax Certificates (50 Bis) to employees</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Employer</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28/29 Feb</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PND.1Kor (Annual PIT Summary) due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bl>
    <w:p w:rsidR="00C82EC0" w:rsidRDefault="00C82EC0">
      <w:pPr>
        <w:spacing w:after="80"/>
      </w:pPr>
    </w:p>
    <w:p w:rsidR="00C82EC0" w:rsidRDefault="00CA1EFB">
      <w:pPr>
        <w:pStyle w:val="Heading3"/>
      </w:pPr>
      <w:bookmarkStart w:id="59" w:name="_Toc230279734"/>
      <w:r>
        <w:t>March</w:t>
      </w:r>
      <w:bookmarkEnd w:id="59"/>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Authority</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7/15 Mar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PND.1, PND.3/53 (February) - WHT returns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15/23 Mar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PP.30 (February VAT) - return and payment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31 Mar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Personal Income Tax Return (PND.90/91) due for employees</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Revenue Department</w:t>
            </w:r>
          </w:p>
        </w:tc>
      </w:tr>
    </w:tbl>
    <w:p w:rsidR="00C82EC0" w:rsidRDefault="00C82EC0">
      <w:pPr>
        <w:spacing w:after="80"/>
      </w:pPr>
    </w:p>
    <w:p w:rsidR="00C82EC0" w:rsidRDefault="00CA1EFB">
      <w:pPr>
        <w:pStyle w:val="Heading3"/>
      </w:pPr>
      <w:bookmarkStart w:id="60" w:name="_Toc230279735"/>
      <w:r>
        <w:t>April</w:t>
      </w:r>
      <w:bookmarkEnd w:id="60"/>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Authority</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7/15 Apr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PND.1, PND.3/53 (March) - WHT returns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15/23 Apr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PP.30 (March VAT) - return and payment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30 Apr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AGM deadline for FY ending December (within 4 months)</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Company</w:t>
            </w:r>
          </w:p>
        </w:tc>
      </w:tr>
    </w:tbl>
    <w:p w:rsidR="00C82EC0" w:rsidRDefault="00C82EC0">
      <w:pPr>
        <w:spacing w:after="80"/>
      </w:pPr>
    </w:p>
    <w:p w:rsidR="00C82EC0" w:rsidRDefault="00CA1EFB">
      <w:pPr>
        <w:pStyle w:val="Heading3"/>
      </w:pPr>
      <w:bookmarkStart w:id="61" w:name="_Toc230279736"/>
      <w:r>
        <w:t>May</w:t>
      </w:r>
      <w:bookmarkEnd w:id="61"/>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lastRenderedPageBreak/>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Authority</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7/15 May</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PND.1, PND.3/53 (April) - WHT returns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15/23 May</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PP.30 (April VAT) - return and payment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14 May</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BJ.5 (List of Shareholders) - within 14 days of AGM</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DBD</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31 May</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PND.50 (Annual CIT Return) due for FY ending December (150 days)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bl>
    <w:p w:rsidR="00C82EC0" w:rsidRDefault="00C82EC0">
      <w:pPr>
        <w:spacing w:after="80"/>
      </w:pPr>
    </w:p>
    <w:p w:rsidR="00C82EC0" w:rsidRDefault="00CA1EFB">
      <w:pPr>
        <w:pStyle w:val="Heading3"/>
      </w:pPr>
      <w:bookmarkStart w:id="62" w:name="_Toc230279737"/>
      <w:r>
        <w:t>June</w:t>
      </w:r>
      <w:bookmarkEnd w:id="62"/>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Authority</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7/15 Jun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PND.1, PND.3/53 (May) - WHT returns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15/23 Jun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PP.30 (May VAT) - return and payment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bl>
    <w:p w:rsidR="00C82EC0" w:rsidRDefault="00C82EC0">
      <w:pPr>
        <w:spacing w:after="80"/>
      </w:pPr>
    </w:p>
    <w:p w:rsidR="00C82EC0" w:rsidRDefault="00CA1EFB">
      <w:pPr>
        <w:pStyle w:val="Heading3"/>
      </w:pPr>
      <w:bookmarkStart w:id="63" w:name="_Toc230279738"/>
      <w:r>
        <w:t>July</w:t>
      </w:r>
      <w:bookmarkEnd w:id="63"/>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Authority</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7/15 Jul</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PND.1, PND.3/53 (June) - WHT returns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15/23 Jul</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PP.30 (June VAT) - return and payment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bl>
    <w:p w:rsidR="00C82EC0" w:rsidRDefault="00C82EC0">
      <w:pPr>
        <w:spacing w:after="80"/>
      </w:pPr>
    </w:p>
    <w:p w:rsidR="00C82EC0" w:rsidRDefault="00CA1EFB">
      <w:pPr>
        <w:pStyle w:val="Heading3"/>
      </w:pPr>
      <w:bookmarkStart w:id="64" w:name="_Toc230279739"/>
      <w:r>
        <w:t>August</w:t>
      </w:r>
      <w:bookmarkEnd w:id="6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Authority</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7/15 Aug</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PND.1, PND.3/53 (July) - WHT returns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15/23 Aug</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PP.30 (July VAT) - return and payment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31 Aug</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PND.51 (Half-year CIT Prepayment) for FY ending December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Revenue Department</w:t>
            </w:r>
          </w:p>
        </w:tc>
      </w:tr>
    </w:tbl>
    <w:p w:rsidR="00C82EC0" w:rsidRDefault="00C82EC0">
      <w:pPr>
        <w:spacing w:after="80"/>
      </w:pPr>
    </w:p>
    <w:p w:rsidR="00C82EC0" w:rsidRDefault="00CA1EFB">
      <w:pPr>
        <w:pStyle w:val="Heading3"/>
      </w:pPr>
      <w:bookmarkStart w:id="65" w:name="_Toc230279740"/>
      <w:r>
        <w:t>September</w:t>
      </w:r>
      <w:bookmarkEnd w:id="65"/>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Authority</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7/15 Sep</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PND.1, PND.3/53 (August) - WHT returns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15/23 Sep</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PP.30 (August VAT) - return and payment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30 Sep</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VAT 7% reduction expires if not extended (currently to 30 Sep 2026)</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Revenue Department</w:t>
            </w:r>
          </w:p>
        </w:tc>
      </w:tr>
    </w:tbl>
    <w:p w:rsidR="00C82EC0" w:rsidRDefault="00C82EC0">
      <w:pPr>
        <w:spacing w:after="80"/>
      </w:pPr>
    </w:p>
    <w:p w:rsidR="00C82EC0" w:rsidRDefault="00CA1EFB">
      <w:pPr>
        <w:pStyle w:val="Heading3"/>
      </w:pPr>
      <w:bookmarkStart w:id="66" w:name="_Toc230279741"/>
      <w:r>
        <w:t>October</w:t>
      </w:r>
      <w:bookmarkEnd w:id="66"/>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Authority</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7/15 Oct</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PND.1, PND.3/53 (September) - WHT returns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15/23 Oct</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PP.30 (September VAT) - return and payment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bl>
    <w:p w:rsidR="00C82EC0" w:rsidRDefault="00C82EC0">
      <w:pPr>
        <w:spacing w:after="80"/>
      </w:pPr>
    </w:p>
    <w:p w:rsidR="00C82EC0" w:rsidRDefault="00CA1EFB">
      <w:pPr>
        <w:pStyle w:val="Heading3"/>
      </w:pPr>
      <w:bookmarkStart w:id="67" w:name="_Toc230279742"/>
      <w:r>
        <w:lastRenderedPageBreak/>
        <w:t>November</w:t>
      </w:r>
      <w:bookmarkEnd w:id="67"/>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Authority</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7/15 Nov</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PND.1, PND.3/53 (October) - WHT returns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15/23 Nov</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PP.30 (October VAT) - return and payment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bl>
    <w:p w:rsidR="00C82EC0" w:rsidRDefault="00C82EC0">
      <w:pPr>
        <w:spacing w:after="80"/>
      </w:pPr>
    </w:p>
    <w:p w:rsidR="00C82EC0" w:rsidRDefault="00CA1EFB">
      <w:pPr>
        <w:pStyle w:val="Heading3"/>
      </w:pPr>
      <w:bookmarkStart w:id="68" w:name="_Toc230279743"/>
      <w:r>
        <w:t>December</w:t>
      </w:r>
      <w:bookmarkEnd w:id="68"/>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Authority</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7/15 Dec</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PND.1, PND.3/53 (November) - WHT returns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15/23 Dec</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PP.30 (November VAT) - return and payment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31 Dec</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End of FY for most companies</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Company</w:t>
            </w:r>
          </w:p>
        </w:tc>
      </w:tr>
    </w:tbl>
    <w:p w:rsidR="00C82EC0" w:rsidRDefault="00C82EC0">
      <w:pPr>
        <w:spacing w:after="80"/>
      </w:pPr>
    </w:p>
    <w:p w:rsidR="00C82EC0" w:rsidRDefault="00CA1EFB">
      <w:pPr>
        <w:spacing w:after="120" w:line="276" w:lineRule="auto"/>
      </w:pPr>
      <w:r>
        <w:t>Note: Dates assume 31 December fiscal year-end for illustration. Thai deadlines shift slightly when they fall on weekends/public holidays. E-filing via Revenue Department platform extends most WHT deadlines from 7th to 15th, and VAT from 15th to 23rd of th</w:t>
      </w:r>
      <w:r>
        <w:t>e month. BOI-promoted companies should track BOI-specific reporting requirements separately.</w:t>
      </w:r>
    </w:p>
    <w:p w:rsidR="00C82EC0" w:rsidRDefault="00CA1EFB">
      <w:r>
        <w:br w:type="page"/>
      </w:r>
    </w:p>
    <w:p w:rsidR="00C82EC0" w:rsidRDefault="00CA1EFB">
      <w:pPr>
        <w:pStyle w:val="Heading1"/>
      </w:pPr>
      <w:bookmarkStart w:id="69" w:name="_Toc230279744"/>
      <w:r>
        <w:lastRenderedPageBreak/>
        <w:t>17. Risk, Disputes, and Exit Options</w:t>
      </w:r>
      <w:bookmarkEnd w:id="69"/>
    </w:p>
    <w:p w:rsidR="00C82EC0" w:rsidRDefault="00CA1EFB">
      <w:pPr>
        <w:pStyle w:val="Heading2"/>
      </w:pPr>
      <w:bookmarkStart w:id="70" w:name="_Toc230279745"/>
      <w:r>
        <w:t>17.1 Dispute Resolution</w:t>
      </w:r>
      <w:bookmarkEnd w:id="70"/>
    </w:p>
    <w:p w:rsidR="00C82EC0" w:rsidRDefault="00CA1EFB">
      <w:pPr>
        <w:spacing w:after="120" w:line="276" w:lineRule="auto"/>
      </w:pPr>
      <w:r>
        <w:t>Thailand's court system has four tiers: Courts of First Instance, Courts of Appeal, Supreme Court (Dika Court), and Constitutional Court. Specialised courts include the Central Intellectual Property and International Trade Court (CIPITC), Central Tax Court</w:t>
      </w:r>
      <w:r>
        <w:t>, Central Bankruptcy Court, Central Labour Court, and Central Juvenile and Family Court. International arbitration is conducted through the Thailand Arbitration Institute (TAI), Thai Arbitration Center (THAC), or ad hoc arbitration under UNCITRAL Rules. Th</w:t>
      </w:r>
      <w:r>
        <w:t xml:space="preserve">ailand is signatory to the New York Convention on enforcement of foreign arbitral awards. Mediation is increasingly used. The CIPITC hears cross-border commercial disputes and IP matters, which often involve international parties. Court proceedings are in </w:t>
      </w:r>
      <w:r>
        <w:t>Thai; certified translations required for foreign documents.</w:t>
      </w:r>
    </w:p>
    <w:p w:rsidR="00C82EC0" w:rsidRDefault="00CA1EFB">
      <w:pPr>
        <w:pStyle w:val="Heading2"/>
      </w:pPr>
      <w:bookmarkStart w:id="71" w:name="_Toc230279746"/>
      <w:r>
        <w:t>17.2 Key Risk Areas</w:t>
      </w:r>
      <w:bookmarkEnd w:id="71"/>
    </w:p>
    <w:p w:rsidR="00C82EC0" w:rsidRDefault="00CA1EFB">
      <w:pPr>
        <w:spacing w:after="120" w:line="276" w:lineRule="auto"/>
      </w:pPr>
      <w:r>
        <w:t>Indian businesses should be aware of: Foreign Business Act compliance - nominee shareholder arrangements are illegal and enforcement has intensified; DBD Order 2/2568 (effecti</w:t>
      </w:r>
      <w:r>
        <w:t>ve 1 January 2026) requiring bank statement evidence from Thai shareholders; BOI condition compliance (employment, technology transfer, environmental etc.); Personal Data Protection Act compliance; Pillar Two Top-up Tax for large MNE groups (revenue &gt;EUR 7</w:t>
      </w:r>
      <w:r>
        <w:t>50M); Anti-corruption laws (Thailand has strict anti-bribery provisions under the Organic Act on Counter Corruption); strict labour dismissal rules (requires just cause and severance payment); transfer pricing documentation requirements (Master File, Local</w:t>
      </w:r>
      <w:r>
        <w:t xml:space="preserve"> File, CbCR for large groups); strict environmental requirements for factories; and cultural sensitivity around the monarchy (Lese-Majeste laws are strictly enforced). Thailand has been working to improve its Corruption Perceptions Index ranking.</w:t>
      </w:r>
    </w:p>
    <w:p w:rsidR="00C82EC0" w:rsidRDefault="00CA1EFB">
      <w:pPr>
        <w:pStyle w:val="Heading2"/>
      </w:pPr>
      <w:bookmarkStart w:id="72" w:name="_Toc230279747"/>
      <w:r>
        <w:t>17.3 Exit</w:t>
      </w:r>
      <w:r>
        <w:t xml:space="preserve"> and Restructuring Options</w:t>
      </w:r>
      <w:bookmarkEnd w:id="72"/>
    </w:p>
    <w:p w:rsidR="00C82EC0" w:rsidRDefault="00CA1EFB">
      <w:pPr>
        <w:spacing w:after="120" w:line="276" w:lineRule="auto"/>
      </w:pPr>
      <w:r>
        <w:t>Exit options include: Share sale (capital gains generally taxed as ordinary income; tax incentives for listed shares); Asset sale; Amalgamation/merger under CCC; Voluntary liquidation (tax clearance certificate required, typicall</w:t>
      </w:r>
      <w:r>
        <w:t>y takes 6-12 months); Bankruptcy for insolvent companies; Cross-border transfer of business; and IPO on Stock Exchange of Thailand (SET) or Market for Alternative Investment (MAI). Pre-closure tasks: cease trading, settle all creditors, dismiss employees w</w:t>
      </w:r>
      <w:r>
        <w:t>ith severance, cancel work permits and visas, file final tax returns, obtain Revenue Department tax clearance, deregister for VAT, settle Social Security obligations, file liquidation with DBD via Biz Regist platform, and publish liquidation notice in news</w:t>
      </w:r>
      <w:r>
        <w:t>paper twice. The process typically takes 12-24 months to fully complete due to tax clearance procedures. BOI-promoted companies must also notify BOI of any material changes or wind-up.</w:t>
      </w:r>
    </w:p>
    <w:p w:rsidR="00C82EC0" w:rsidRDefault="00CA1EFB">
      <w:r>
        <w:br w:type="page"/>
      </w:r>
    </w:p>
    <w:p w:rsidR="00C82EC0" w:rsidRDefault="00CA1EFB">
      <w:pPr>
        <w:pStyle w:val="Heading1"/>
      </w:pPr>
      <w:bookmarkStart w:id="73" w:name="_Toc230279748"/>
      <w:r>
        <w:lastRenderedPageBreak/>
        <w:t>18. Practical Checklists and Tools</w:t>
      </w:r>
      <w:bookmarkEnd w:id="73"/>
    </w:p>
    <w:p w:rsidR="00C82EC0" w:rsidRDefault="00CA1EFB">
      <w:pPr>
        <w:pStyle w:val="Heading2"/>
      </w:pPr>
      <w:bookmarkStart w:id="74" w:name="_Toc230279749"/>
      <w:r>
        <w:t>18.1 Pre-Entry Checklist for India</w:t>
      </w:r>
      <w:r>
        <w:t>n Entrepreneurs</w:t>
      </w:r>
      <w:bookmarkEnd w:id="7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360"/>
        <w:gridCol w:w="1800"/>
        <w:gridCol w:w="2600"/>
      </w:tblGrid>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No.</w:t>
            </w:r>
          </w:p>
        </w:tc>
        <w:tc>
          <w:tcPr>
            <w:tcW w:w="4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Category</w:t>
            </w:r>
          </w:p>
        </w:tc>
        <w:tc>
          <w:tcPr>
            <w:tcW w:w="2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Status</w:t>
            </w:r>
          </w:p>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Assess FBA restriction list for intended activity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Strategic</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82EC0"/>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Evaluate BOI promotion eligibility (prioritise if eligible)</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Strategic</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82EC0"/>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Determine entity structure (Limited Co / Branch / Rep Office)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Legal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82EC0"/>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Verify FEMA ODI eligibility in India (400% net worth limit)</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Indian Compliance</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82EC0"/>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Plan registered capital (THB 2M per foreign work permit)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Financial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82EC0"/>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Engage Thai legal counsel and Thai licensed auditor</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Legal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82EC0"/>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7</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Identify genuine Thai shareholders (not nominees) if 49% foreign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Legal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82EC0"/>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8</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Prepare 3-month bank statements for Thai shareholders (DBD Order 2/2568)</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Documentation</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82EC0"/>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Secure Thai registered office address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Operational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82EC0"/>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Reserve name via DBD Biz Regist (from 1 Jan 2026)</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Legal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82EC0"/>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Submit BOI application (if pursuing 100% foreign ownership)</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Legal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82EC0"/>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12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Plan Thai bank account opening (allow 4-12 weeks)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Financial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82EC0"/>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Obtain India Tax Residency Certificate (TRC) and Form 10F for treaty benefits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Tax</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82EC0"/>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14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Plan work permits and Non-Immigrant B Visas for Indian staff</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HR</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82EC0"/>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Register for Revenue Dept Tax ID and VAT if applicable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Tax</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82EC0"/>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16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Register with SSO before first hire</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HR</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82EC0"/>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17</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File Form FC with AD bank in India before first remittance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FEMA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82EC0"/>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18</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Plan transfer pricing documentation for intercompany flows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Tax</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82EC0"/>
        </w:tc>
      </w:tr>
      <w:tr w:rsidR="00C82EC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19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Assess PDPA compliance requirements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Legal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82EC0"/>
        </w:tc>
      </w:tr>
    </w:tbl>
    <w:p w:rsidR="00C82EC0" w:rsidRDefault="00CA1EFB">
      <w:r>
        <w:br w:type="page"/>
      </w:r>
    </w:p>
    <w:p w:rsidR="00C82EC0" w:rsidRDefault="00CA1EFB">
      <w:pPr>
        <w:pStyle w:val="Heading1"/>
      </w:pPr>
      <w:bookmarkStart w:id="75" w:name="_Toc230279750"/>
      <w:r>
        <w:lastRenderedPageBreak/>
        <w:t>19. Compliance Penalty Matrix</w:t>
      </w:r>
      <w:bookmarkEnd w:id="75"/>
    </w:p>
    <w:p w:rsidR="00C82EC0" w:rsidRDefault="00CA1EFB">
      <w:pPr>
        <w:spacing w:after="120" w:line="276" w:lineRule="auto"/>
      </w:pPr>
      <w:r>
        <w:t>Non-compliance with Thai regulatory and tax obligations may result in the following penalties: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000"/>
        <w:gridCol w:w="2360"/>
      </w:tblGrid>
      <w:tr w:rsidR="00C82EC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Compliance Area</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Violation</w:t>
            </w:r>
          </w:p>
        </w:tc>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Penalty</w:t>
            </w:r>
          </w:p>
        </w:tc>
        <w:tc>
          <w:tcPr>
            <w:tcW w:w="2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2EC0" w:rsidRDefault="00CA1EFB">
            <w:r>
              <w:rPr>
                <w:b/>
                <w:bCs/>
                <w:color w:val="FFFFFF"/>
                <w:sz w:val="20"/>
                <w:szCs w:val="20"/>
              </w:rPr>
              <w:t>Authority</w:t>
            </w:r>
          </w:p>
        </w:tc>
      </w:tr>
      <w:tr w:rsidR="00C82EC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FBA Nominee Shareholding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Concealed foreign control via Thai nominees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Imprisonment up to 3 years + THB 100K-1M fine; company dissolution</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DBD / Courts</w:t>
            </w:r>
          </w:p>
        </w:tc>
      </w:tr>
      <w:tr w:rsidR="00C82EC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FBA Operation without licence</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Operating restricted activity without FBL/BOI</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Imprisonment up to 3 years + THB 100K-1M fine + daily fine of THB 10K-50K</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DBD</w:t>
            </w:r>
          </w:p>
        </w:tc>
      </w:tr>
      <w:tr w:rsidR="00C82EC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DBD Order 2/2568 compliance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False financial capacity evidence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Registration rejected; criminal liability</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DBD</w:t>
            </w:r>
          </w:p>
        </w:tc>
      </w:tr>
      <w:tr w:rsidR="00C82EC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Annual Accounts filing</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Late/failure to file annual accounts</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Director fines up to THB 50,000 each</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DBD</w:t>
            </w:r>
          </w:p>
        </w:tc>
      </w:tr>
      <w:tr w:rsidR="00C82EC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CIT Return (PND.50)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Late filing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THB 1,000-2,000 fine + 1.5% monthly interest on unpaid tax</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CIT Payment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Late payment</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1.5% monthly interest; penalty up to 100%-200% of tax</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VAT (PP.30)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Late filing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THB 2,000 per return + 1.5% monthly interest</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VAT Payment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Late payment / underpayment</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Surcharge up to 200% of VAT; 1.5% monthly interest</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PIT Withholding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Late filing/payment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THB 200-2,000 + 1.5% monthly interest; penalty up to 100%</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Work Permit Violation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Foreign employee without work permit</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Up to THB 50K-100K fine; employer fines; deportation of employee</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Ministry of Labour / Immigration</w:t>
            </w:r>
          </w:p>
        </w:tc>
      </w:tr>
      <w:tr w:rsidR="00C82EC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PDPA Violation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Data breach / unlawful processing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Admin fines up to THB 5M + THB 1M criminal + compensation</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PDPC</w:t>
            </w:r>
          </w:p>
        </w:tc>
      </w:tr>
      <w:tr w:rsidR="00C82EC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Social Security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Non-payment of contributions</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2% monthly surcharge; up to 200% penalty</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SSO</w:t>
            </w:r>
          </w:p>
        </w:tc>
      </w:tr>
      <w:tr w:rsidR="00C82EC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Pillar Two (Large MNE)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Non-compliance for in-scope groups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Penalties under Top-up Tax Decree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Revenue Department</w:t>
            </w:r>
          </w:p>
        </w:tc>
      </w:tr>
      <w:tr w:rsidR="00C82EC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BOI Conditions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Non-compliance with BOI promotion terms</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Withdrawal of benefits; retrospective tax collection</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2EC0" w:rsidRDefault="00CA1EFB">
            <w:r>
              <w:rPr>
                <w:sz w:val="19"/>
                <w:szCs w:val="19"/>
              </w:rPr>
              <w:t>BOI</w:t>
            </w:r>
          </w:p>
        </w:tc>
      </w:tr>
      <w:tr w:rsidR="00C82EC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Anti-Corruption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Bribery (under NACC Act)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Imprisonment 5-20 years + fines; corporate liability</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2EC0" w:rsidRDefault="00CA1EFB">
            <w:r>
              <w:rPr>
                <w:sz w:val="19"/>
                <w:szCs w:val="19"/>
              </w:rPr>
              <w:t>NACC</w:t>
            </w:r>
          </w:p>
        </w:tc>
      </w:tr>
    </w:tbl>
    <w:p w:rsidR="00C82EC0" w:rsidRDefault="00CA1EFB">
      <w:r>
        <w:br w:type="page"/>
      </w:r>
    </w:p>
    <w:p w:rsidR="00C82EC0" w:rsidRDefault="00CA1EFB">
      <w:pPr>
        <w:pStyle w:val="Heading1"/>
      </w:pPr>
      <w:bookmarkStart w:id="76" w:name="_Toc230279751"/>
      <w:r>
        <w:lastRenderedPageBreak/>
        <w:t>20. How Comply Globally Supports Entry Thailand</w:t>
      </w:r>
      <w:bookmarkEnd w:id="76"/>
    </w:p>
    <w:p w:rsidR="00C82EC0" w:rsidRDefault="00CA1EFB">
      <w:pPr>
        <w:spacing w:after="120" w:line="276" w:lineRule="auto"/>
      </w:pPr>
      <w:r>
        <w:t xml:space="preserve">Comply Globally, a Connect Ventures Initiative, provides end-to-end advisory and execution support for Indian businesses entering the Thai market. Our integrated India-Thailand service model covers both ends </w:t>
      </w:r>
      <w:r>
        <w:t>of the cross-border journey - from FEMA compliance and Indian tax planning to Thai incorporation, tax registration, BOI applications, and ongoing compliance.</w:t>
      </w:r>
    </w:p>
    <w:p w:rsidR="00C82EC0" w:rsidRDefault="00CA1EFB">
      <w:pPr>
        <w:pStyle w:val="Heading2"/>
      </w:pPr>
      <w:bookmarkStart w:id="77" w:name="_Toc230279752"/>
      <w:r>
        <w:t>20.1 Our Services</w:t>
      </w:r>
      <w:bookmarkEnd w:id="77"/>
    </w:p>
    <w:p w:rsidR="00C82EC0" w:rsidRDefault="00CA1EFB">
      <w:pPr>
        <w:spacing w:after="120" w:line="276" w:lineRule="auto"/>
      </w:pPr>
      <w:r>
        <w:rPr>
          <w:b/>
          <w:bCs/>
        </w:rPr>
        <w:t xml:space="preserve">Pre-Entry Advisory: </w:t>
      </w:r>
      <w:r>
        <w:t>Entry route assessment, FBA analysis, BOI eligibility evalua</w:t>
      </w:r>
      <w:r>
        <w:t>tion, FEMA ODI structuring, India-Thailand DTAA planning, structure optimisation.</w:t>
      </w:r>
    </w:p>
    <w:p w:rsidR="00C82EC0" w:rsidRDefault="00CA1EFB">
      <w:pPr>
        <w:spacing w:after="120" w:line="276" w:lineRule="auto"/>
      </w:pPr>
      <w:r>
        <w:rPr>
          <w:b/>
          <w:bCs/>
        </w:rPr>
        <w:t xml:space="preserve">FEMA &amp; RBI Compliance: </w:t>
      </w:r>
      <w:r>
        <w:t>Form FC filing through AD bank, Annual Performance Report (APR), Foreign Liabilities and Assets (FLA) Return, ongoing FEMA reporting.</w:t>
      </w:r>
    </w:p>
    <w:p w:rsidR="00C82EC0" w:rsidRDefault="00CA1EFB">
      <w:pPr>
        <w:spacing w:after="120" w:line="276" w:lineRule="auto"/>
      </w:pPr>
      <w:r>
        <w:rPr>
          <w:b/>
          <w:bCs/>
        </w:rPr>
        <w:t>Thai Company Inco</w:t>
      </w:r>
      <w:r>
        <w:rPr>
          <w:b/>
          <w:bCs/>
        </w:rPr>
        <w:t xml:space="preserve">rporation: </w:t>
      </w:r>
      <w:r>
        <w:t>Name reservation, MOA/AOA drafting, DBD Biz Regist digital registration, UBO registration, compliance with DBD Order 2/2568 documentation requirements.</w:t>
      </w:r>
    </w:p>
    <w:p w:rsidR="00C82EC0" w:rsidRDefault="00CA1EFB">
      <w:pPr>
        <w:spacing w:after="120" w:line="276" w:lineRule="auto"/>
      </w:pPr>
      <w:r>
        <w:rPr>
          <w:b/>
          <w:bCs/>
        </w:rPr>
        <w:t xml:space="preserve">BOI Promotion Application: </w:t>
      </w:r>
      <w:r>
        <w:t>Activity qualification, application dossier preparation, BOI submi</w:t>
      </w:r>
      <w:r>
        <w:t>ssions and follow-up, compliance with BOI conditions post-approval.</w:t>
      </w:r>
    </w:p>
    <w:p w:rsidR="00C82EC0" w:rsidRDefault="00CA1EFB">
      <w:pPr>
        <w:spacing w:after="120" w:line="276" w:lineRule="auto"/>
      </w:pPr>
      <w:r>
        <w:rPr>
          <w:b/>
          <w:bCs/>
        </w:rPr>
        <w:t xml:space="preserve">Thai Tax Registration &amp; Advisory: </w:t>
      </w:r>
      <w:r>
        <w:t>Revenue Department tax ID, VAT, SBT registration; corporate tax planning; BOI tax incentive optimisation; transfer pricing documentation; Pillar Two analy</w:t>
      </w:r>
      <w:r>
        <w:t>sis.</w:t>
      </w:r>
    </w:p>
    <w:p w:rsidR="00C82EC0" w:rsidRDefault="00CA1EFB">
      <w:pPr>
        <w:spacing w:after="120" w:line="276" w:lineRule="auto"/>
      </w:pPr>
      <w:r>
        <w:rPr>
          <w:b/>
          <w:bCs/>
        </w:rPr>
        <w:t xml:space="preserve">Thai Banking Support: </w:t>
      </w:r>
      <w:r>
        <w:t>Bank account opening introductions with major Thai banks (Bangkok Bank, KBank, SCB, KTB) and international banks (HSBC, Standard Chartered); KYC/AML document preparation.</w:t>
      </w:r>
    </w:p>
    <w:p w:rsidR="00C82EC0" w:rsidRDefault="00CA1EFB">
      <w:pPr>
        <w:spacing w:after="120" w:line="276" w:lineRule="auto"/>
      </w:pPr>
      <w:r>
        <w:rPr>
          <w:b/>
          <w:bCs/>
        </w:rPr>
        <w:t xml:space="preserve">Immigration Support: </w:t>
      </w:r>
      <w:r>
        <w:t>Non-Immigrant B Visa applications, Wo</w:t>
      </w:r>
      <w:r>
        <w:t>rk Permit applications (WP.3/WP.10), Smart Visa and LTR Visa applications, visa extensions, dependent visas.</w:t>
      </w:r>
    </w:p>
    <w:p w:rsidR="00C82EC0" w:rsidRDefault="00CA1EFB">
      <w:pPr>
        <w:spacing w:after="120" w:line="276" w:lineRule="auto"/>
      </w:pPr>
      <w:r>
        <w:rPr>
          <w:b/>
          <w:bCs/>
        </w:rPr>
        <w:t xml:space="preserve">Ongoing Thai Compliance: </w:t>
      </w:r>
      <w:r>
        <w:t>Monthly WHT and VAT returns, monthly Social Security, semi-annual CIT prepayment, annual CIT return, annual audited accoun</w:t>
      </w:r>
      <w:r>
        <w:t>ts, DBD filings, BOI reporting, PDPA compliance.</w:t>
      </w:r>
    </w:p>
    <w:p w:rsidR="00C82EC0" w:rsidRDefault="00CA1EFB">
      <w:pPr>
        <w:spacing w:after="120" w:line="276" w:lineRule="auto"/>
      </w:pPr>
      <w:r>
        <w:rPr>
          <w:b/>
          <w:bCs/>
        </w:rPr>
        <w:t xml:space="preserve">Indian Parent Compliance: </w:t>
      </w:r>
      <w:r>
        <w:t>Consolidated Financial Statements, Companies Act reporting, Form AOC-1, Foreign Tax Credit (FTC) claims under Section 90/Rule 128.</w:t>
      </w:r>
    </w:p>
    <w:p w:rsidR="00C82EC0" w:rsidRDefault="00CA1EFB">
      <w:pPr>
        <w:pStyle w:val="Heading2"/>
      </w:pPr>
      <w:bookmarkStart w:id="78" w:name="_Toc230279753"/>
      <w:r>
        <w:t>20.2 Engagement Models</w:t>
      </w:r>
      <w:bookmarkEnd w:id="78"/>
    </w:p>
    <w:p w:rsidR="00C82EC0" w:rsidRDefault="00CA1EFB">
      <w:pPr>
        <w:spacing w:after="120" w:line="276" w:lineRule="auto"/>
      </w:pPr>
      <w:r>
        <w:t>Flexible engagement options: Fixed-Fee Incorporation Packages (covering setup + first year compliance); Monthly Retainers for ongoing Thai compliance and advisory; BOI Application Packages for companies pursuing 100% foreign ownership via BOI promotion; Pr</w:t>
      </w:r>
      <w:r>
        <w:t>oject-Based Engagements for specific transactions (acquisition, restructuring, regulatory applications); and Comprehensive Entry Packages combining FEMA filing, Thai incorporation, BOI promotion, banking, tax registration, immigration, and first-year compl</w:t>
      </w:r>
      <w:r>
        <w:t>iance.</w:t>
      </w:r>
    </w:p>
    <w:p w:rsidR="00C82EC0" w:rsidRDefault="00CA1EFB">
      <w:pPr>
        <w:pStyle w:val="Heading2"/>
      </w:pPr>
      <w:bookmarkStart w:id="79" w:name="_Toc230279754"/>
      <w:r>
        <w:t>20.3 Contact Us</w:t>
      </w:r>
      <w:bookmarkEnd w:id="79"/>
    </w:p>
    <w:p w:rsidR="00C82EC0" w:rsidRDefault="00C82EC0">
      <w:pPr>
        <w:spacing w:after="80"/>
      </w:pPr>
    </w:p>
    <w:p w:rsidR="00C82EC0" w:rsidRDefault="00CA1EFB">
      <w:pPr>
        <w:spacing w:after="120" w:line="276" w:lineRule="auto"/>
      </w:pPr>
      <w:r>
        <w:rPr>
          <w:b/>
          <w:bCs/>
        </w:rPr>
        <w:t>Comply Globally - A Connect Ventures Initiative</w:t>
      </w:r>
    </w:p>
    <w:p w:rsidR="00C82EC0" w:rsidRDefault="00CA1EFB">
      <w:pPr>
        <w:spacing w:after="120" w:line="276" w:lineRule="auto"/>
      </w:pPr>
      <w:r>
        <w:rPr>
          <w:b/>
          <w:bCs/>
        </w:rPr>
        <w:t xml:space="preserve">Email: </w:t>
      </w:r>
      <w:hyperlink r:id="rId9" w:history="1">
        <w:r w:rsidR="0051621E" w:rsidRPr="00A969E2">
          <w:rPr>
            <w:rStyle w:val="Hyperlink"/>
          </w:rPr>
          <w:t>anil.gupta@TheConnectVentures.com</w:t>
        </w:r>
      </w:hyperlink>
      <w:r w:rsidR="0051621E">
        <w:t xml:space="preserve"> </w:t>
      </w:r>
    </w:p>
    <w:p w:rsidR="00C82EC0" w:rsidRDefault="00CA1EFB">
      <w:pPr>
        <w:spacing w:after="120" w:line="276" w:lineRule="auto"/>
      </w:pPr>
      <w:r>
        <w:rPr>
          <w:b/>
          <w:bCs/>
        </w:rPr>
        <w:t xml:space="preserve">Phone: </w:t>
      </w:r>
      <w:r>
        <w:t>+91 99999 81613 | +1 302 214 1717</w:t>
      </w:r>
    </w:p>
    <w:p w:rsidR="00C82EC0" w:rsidRDefault="00C82EC0">
      <w:pPr>
        <w:spacing w:after="80"/>
      </w:pPr>
    </w:p>
    <w:p w:rsidR="00C82EC0" w:rsidRDefault="00CA1EFB">
      <w:pPr>
        <w:spacing w:after="120" w:line="276" w:lineRule="auto"/>
      </w:pPr>
      <w:r>
        <w:t>We look forward to supporting your successful entry into the Thailand market.</w:t>
      </w:r>
    </w:p>
    <w:sectPr w:rsidR="00C82EC0">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1EFB" w:rsidRDefault="00CA1EFB">
      <w:r>
        <w:separator/>
      </w:r>
    </w:p>
  </w:endnote>
  <w:endnote w:type="continuationSeparator" w:id="0">
    <w:p w:rsidR="00CA1EFB" w:rsidRDefault="00CA1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EC0" w:rsidRDefault="00CA1EFB">
    <w:pPr>
      <w:pBdr>
        <w:top w:val="single" w:sz="6" w:space="4" w:color="003366"/>
      </w:pBdr>
      <w:tabs>
        <w:tab w:val="right" w:pos="9360"/>
      </w:tabs>
    </w:pPr>
    <w:r>
      <w:rPr>
        <w:color w:val="666666"/>
        <w:sz w:val="14"/>
        <w:szCs w:val="14"/>
      </w:rPr>
      <w:t>Comply Globally - A Connect Ventures Initiative  |  anil.gupta@TheConnectVentures.com</w:t>
    </w:r>
    <w:r>
      <w:rPr>
        <w:sz w:val="14"/>
        <w:szCs w:val="14"/>
      </w:rPr>
      <w:tab/>
    </w:r>
    <w:r>
      <w:rPr>
        <w:color w:val="666666"/>
        <w:sz w:val="14"/>
        <w:szCs w:val="14"/>
      </w:rPr>
      <w:t xml:space="preserve">Page </w:t>
    </w:r>
    <w:r>
      <w:rPr>
        <w:color w:val="666666"/>
        <w:sz w:val="14"/>
        <w:szCs w:val="14"/>
      </w:rPr>
      <w:fldChar w:fldCharType="begin"/>
    </w:r>
    <w:r>
      <w:rPr>
        <w:color w:val="666666"/>
        <w:sz w:val="14"/>
        <w:szCs w:val="14"/>
      </w:rPr>
      <w:instrText>PAGE</w:instrText>
    </w:r>
    <w:r w:rsidR="0051621E">
      <w:rPr>
        <w:color w:val="666666"/>
        <w:sz w:val="14"/>
        <w:szCs w:val="14"/>
      </w:rPr>
      <w:fldChar w:fldCharType="separate"/>
    </w:r>
    <w:r w:rsidR="0051621E">
      <w:rPr>
        <w:noProof/>
        <w:color w:val="666666"/>
        <w:sz w:val="14"/>
        <w:szCs w:val="14"/>
      </w:rPr>
      <w:t>11</w:t>
    </w:r>
    <w:r>
      <w:rPr>
        <w:color w:val="666666"/>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1EFB" w:rsidRDefault="00CA1EFB">
      <w:r>
        <w:separator/>
      </w:r>
    </w:p>
  </w:footnote>
  <w:footnote w:type="continuationSeparator" w:id="0">
    <w:p w:rsidR="00CA1EFB" w:rsidRDefault="00CA1E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EC0" w:rsidRDefault="00CA1EFB">
    <w:pPr>
      <w:pBdr>
        <w:bottom w:val="single" w:sz="6" w:space="4" w:color="003366"/>
      </w:pBdr>
    </w:pPr>
    <w:r>
      <w:rPr>
        <w:b/>
        <w:bCs/>
        <w:color w:val="003366"/>
        <w:sz w:val="16"/>
        <w:szCs w:val="16"/>
      </w:rPr>
      <w:t>COMPLY GLOBALLY</w:t>
    </w:r>
    <w:r>
      <w:rPr>
        <w:color w:val="666666"/>
        <w:sz w:val="16"/>
        <w:szCs w:val="16"/>
      </w:rPr>
      <w:t xml:space="preserve">  |  Entry Thailand Guide  |  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E77113"/>
    <w:multiLevelType w:val="hybridMultilevel"/>
    <w:tmpl w:val="79F40DDC"/>
    <w:lvl w:ilvl="0" w:tplc="F9FA81CA">
      <w:start w:val="1"/>
      <w:numFmt w:val="bullet"/>
      <w:lvlText w:val="●"/>
      <w:lvlJc w:val="left"/>
      <w:pPr>
        <w:ind w:left="720" w:hanging="360"/>
      </w:pPr>
    </w:lvl>
    <w:lvl w:ilvl="1" w:tplc="97203DCE">
      <w:start w:val="1"/>
      <w:numFmt w:val="bullet"/>
      <w:lvlText w:val="○"/>
      <w:lvlJc w:val="left"/>
      <w:pPr>
        <w:ind w:left="1440" w:hanging="360"/>
      </w:pPr>
    </w:lvl>
    <w:lvl w:ilvl="2" w:tplc="6FB04154">
      <w:start w:val="1"/>
      <w:numFmt w:val="bullet"/>
      <w:lvlText w:val="■"/>
      <w:lvlJc w:val="left"/>
      <w:pPr>
        <w:ind w:left="2160" w:hanging="360"/>
      </w:pPr>
    </w:lvl>
    <w:lvl w:ilvl="3" w:tplc="8F180888">
      <w:start w:val="1"/>
      <w:numFmt w:val="bullet"/>
      <w:lvlText w:val="●"/>
      <w:lvlJc w:val="left"/>
      <w:pPr>
        <w:ind w:left="2880" w:hanging="360"/>
      </w:pPr>
    </w:lvl>
    <w:lvl w:ilvl="4" w:tplc="8CC00E0A">
      <w:start w:val="1"/>
      <w:numFmt w:val="bullet"/>
      <w:lvlText w:val="○"/>
      <w:lvlJc w:val="left"/>
      <w:pPr>
        <w:ind w:left="3600" w:hanging="360"/>
      </w:pPr>
    </w:lvl>
    <w:lvl w:ilvl="5" w:tplc="E52ECB4C">
      <w:start w:val="1"/>
      <w:numFmt w:val="bullet"/>
      <w:lvlText w:val="■"/>
      <w:lvlJc w:val="left"/>
      <w:pPr>
        <w:ind w:left="4320" w:hanging="360"/>
      </w:pPr>
    </w:lvl>
    <w:lvl w:ilvl="6" w:tplc="C6460004">
      <w:start w:val="1"/>
      <w:numFmt w:val="bullet"/>
      <w:lvlText w:val="●"/>
      <w:lvlJc w:val="left"/>
      <w:pPr>
        <w:ind w:left="5040" w:hanging="360"/>
      </w:pPr>
    </w:lvl>
    <w:lvl w:ilvl="7" w:tplc="D972ACBE">
      <w:start w:val="1"/>
      <w:numFmt w:val="bullet"/>
      <w:lvlText w:val="●"/>
      <w:lvlJc w:val="left"/>
      <w:pPr>
        <w:ind w:left="5760" w:hanging="360"/>
      </w:pPr>
    </w:lvl>
    <w:lvl w:ilvl="8" w:tplc="7F601C6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C82EC0"/>
    <w:rsid w:val="0051621E"/>
    <w:rsid w:val="00C82EC0"/>
    <w:rsid w:val="00CA1E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03366"/>
      <w:sz w:val="36"/>
      <w:szCs w:val="36"/>
    </w:rPr>
  </w:style>
  <w:style w:type="paragraph" w:styleId="Heading2">
    <w:name w:val="heading 2"/>
    <w:qFormat/>
    <w:pPr>
      <w:spacing w:before="240" w:after="160"/>
      <w:outlineLvl w:val="1"/>
    </w:pPr>
    <w:rPr>
      <w:b/>
      <w:bCs/>
      <w:color w:val="0066CC"/>
      <w:sz w:val="28"/>
      <w:szCs w:val="28"/>
    </w:rPr>
  </w:style>
  <w:style w:type="paragraph" w:styleId="Heading3">
    <w:name w:val="heading 3"/>
    <w:qFormat/>
    <w:pPr>
      <w:spacing w:before="200" w:after="120"/>
      <w:outlineLvl w:val="2"/>
    </w:pPr>
    <w:rPr>
      <w:b/>
      <w:bCs/>
      <w:color w:val="1A1A2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1621E"/>
    <w:pPr>
      <w:spacing w:after="100"/>
    </w:pPr>
  </w:style>
  <w:style w:type="paragraph" w:styleId="TOC2">
    <w:name w:val="toc 2"/>
    <w:basedOn w:val="Normal"/>
    <w:next w:val="Normal"/>
    <w:autoRedefine/>
    <w:uiPriority w:val="39"/>
    <w:unhideWhenUsed/>
    <w:rsid w:val="0051621E"/>
    <w:pPr>
      <w:spacing w:after="100"/>
      <w:ind w:left="220"/>
    </w:pPr>
  </w:style>
  <w:style w:type="paragraph" w:styleId="TOC3">
    <w:name w:val="toc 3"/>
    <w:basedOn w:val="Normal"/>
    <w:next w:val="Normal"/>
    <w:autoRedefine/>
    <w:uiPriority w:val="39"/>
    <w:unhideWhenUsed/>
    <w:rsid w:val="0051621E"/>
    <w:pPr>
      <w:spacing w:after="100"/>
      <w:ind w:left="440"/>
    </w:pPr>
  </w:style>
  <w:style w:type="paragraph" w:styleId="BalloonText">
    <w:name w:val="Balloon Text"/>
    <w:basedOn w:val="Normal"/>
    <w:link w:val="BalloonTextChar"/>
    <w:uiPriority w:val="99"/>
    <w:semiHidden/>
    <w:unhideWhenUsed/>
    <w:rsid w:val="0051621E"/>
    <w:rPr>
      <w:rFonts w:ascii="Tahoma" w:hAnsi="Tahoma" w:cs="Tahoma"/>
      <w:sz w:val="16"/>
      <w:szCs w:val="16"/>
    </w:rPr>
  </w:style>
  <w:style w:type="character" w:customStyle="1" w:styleId="BalloonTextChar">
    <w:name w:val="Balloon Text Char"/>
    <w:basedOn w:val="DefaultParagraphFont"/>
    <w:link w:val="BalloonText"/>
    <w:uiPriority w:val="99"/>
    <w:semiHidden/>
    <w:rsid w:val="0051621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03366"/>
      <w:sz w:val="36"/>
      <w:szCs w:val="36"/>
    </w:rPr>
  </w:style>
  <w:style w:type="paragraph" w:styleId="Heading2">
    <w:name w:val="heading 2"/>
    <w:qFormat/>
    <w:pPr>
      <w:spacing w:before="240" w:after="160"/>
      <w:outlineLvl w:val="1"/>
    </w:pPr>
    <w:rPr>
      <w:b/>
      <w:bCs/>
      <w:color w:val="0066CC"/>
      <w:sz w:val="28"/>
      <w:szCs w:val="28"/>
    </w:rPr>
  </w:style>
  <w:style w:type="paragraph" w:styleId="Heading3">
    <w:name w:val="heading 3"/>
    <w:qFormat/>
    <w:pPr>
      <w:spacing w:before="200" w:after="120"/>
      <w:outlineLvl w:val="2"/>
    </w:pPr>
    <w:rPr>
      <w:b/>
      <w:bCs/>
      <w:color w:val="1A1A2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1621E"/>
    <w:pPr>
      <w:spacing w:after="100"/>
    </w:pPr>
  </w:style>
  <w:style w:type="paragraph" w:styleId="TOC2">
    <w:name w:val="toc 2"/>
    <w:basedOn w:val="Normal"/>
    <w:next w:val="Normal"/>
    <w:autoRedefine/>
    <w:uiPriority w:val="39"/>
    <w:unhideWhenUsed/>
    <w:rsid w:val="0051621E"/>
    <w:pPr>
      <w:spacing w:after="100"/>
      <w:ind w:left="220"/>
    </w:pPr>
  </w:style>
  <w:style w:type="paragraph" w:styleId="TOC3">
    <w:name w:val="toc 3"/>
    <w:basedOn w:val="Normal"/>
    <w:next w:val="Normal"/>
    <w:autoRedefine/>
    <w:uiPriority w:val="39"/>
    <w:unhideWhenUsed/>
    <w:rsid w:val="0051621E"/>
    <w:pPr>
      <w:spacing w:after="100"/>
      <w:ind w:left="440"/>
    </w:pPr>
  </w:style>
  <w:style w:type="paragraph" w:styleId="BalloonText">
    <w:name w:val="Balloon Text"/>
    <w:basedOn w:val="Normal"/>
    <w:link w:val="BalloonTextChar"/>
    <w:uiPriority w:val="99"/>
    <w:semiHidden/>
    <w:unhideWhenUsed/>
    <w:rsid w:val="0051621E"/>
    <w:rPr>
      <w:rFonts w:ascii="Tahoma" w:hAnsi="Tahoma" w:cs="Tahoma"/>
      <w:sz w:val="16"/>
      <w:szCs w:val="16"/>
    </w:rPr>
  </w:style>
  <w:style w:type="character" w:customStyle="1" w:styleId="BalloonTextChar">
    <w:name w:val="Balloon Text Char"/>
    <w:basedOn w:val="DefaultParagraphFont"/>
    <w:link w:val="BalloonText"/>
    <w:uiPriority w:val="99"/>
    <w:semiHidden/>
    <w:rsid w:val="0051621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anil.gupta@TheConnectVentures.com"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nil.gupta@TheConnectVentur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Pages>
  <Words>8518</Words>
  <Characters>48553</Characters>
  <Application>Microsoft Office Word</Application>
  <DocSecurity>0</DocSecurity>
  <Lines>404</Lines>
  <Paragraphs>113</Paragraphs>
  <ScaleCrop>false</ScaleCrop>
  <Company/>
  <LinksUpToDate>false</LinksUpToDate>
  <CharactersWithSpaces>56958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2026-04-16T08:24:00Z</dcterms:created>
  <dcterms:modified xsi:type="dcterms:W3CDTF">2026-05-21T12:45:00Z</dcterms:modified>
</cp:coreProperties>
</file>