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723" w:rsidRDefault="00016AF6">
      <w:pPr>
        <w:jc w:val="center"/>
      </w:pPr>
      <w:r>
        <w:rPr>
          <w:b/>
          <w:color w:val="1F4E79"/>
          <w:sz w:val="44"/>
        </w:rPr>
        <w:t>COMPLY GLOBALLY</w:t>
      </w:r>
    </w:p>
    <w:p w:rsidR="00A17723" w:rsidRDefault="00016AF6">
      <w:pPr>
        <w:jc w:val="center"/>
      </w:pPr>
      <w:r>
        <w:rPr>
          <w:sz w:val="24"/>
        </w:rPr>
        <w:t>A Connect Ventures Initiative</w:t>
      </w:r>
    </w:p>
    <w:p w:rsidR="00A17723" w:rsidRDefault="00016AF6">
      <w:pPr>
        <w:jc w:val="center"/>
      </w:pPr>
      <w:r>
        <w:rPr>
          <w:b/>
          <w:color w:val="1F1F3A"/>
          <w:sz w:val="44"/>
        </w:rPr>
        <w:t>ENTRY VIETNAM</w:t>
      </w:r>
    </w:p>
    <w:p w:rsidR="00A17723" w:rsidRDefault="00016AF6">
      <w:pPr>
        <w:jc w:val="center"/>
      </w:pPr>
      <w:r>
        <w:rPr>
          <w:sz w:val="24"/>
        </w:rPr>
        <w:t>Comprehensive Country Guide for</w:t>
      </w:r>
    </w:p>
    <w:p w:rsidR="00A17723" w:rsidRDefault="00016AF6">
      <w:pPr>
        <w:jc w:val="center"/>
      </w:pPr>
      <w:r>
        <w:rPr>
          <w:color w:val="006FB5"/>
          <w:sz w:val="24"/>
        </w:rPr>
        <w:t>Indian Entrepreneurs, Investors &amp; Expansion-Stage Companies</w:t>
      </w:r>
    </w:p>
    <w:p w:rsidR="00A17723" w:rsidRDefault="00016AF6">
      <w:pPr>
        <w:jc w:val="center"/>
      </w:pPr>
      <w:r>
        <w:t>Compliance | Taxation | Market Entry | Operations</w:t>
      </w:r>
    </w:p>
    <w:p w:rsidR="00A17723" w:rsidRDefault="00016AF6">
      <w:pPr>
        <w:jc w:val="center"/>
      </w:pPr>
      <w:r>
        <w:rPr>
          <w:b/>
          <w:color w:val="F27A24"/>
          <w:sz w:val="28"/>
        </w:rPr>
        <w:t>2026 Edition</w:t>
      </w:r>
    </w:p>
    <w:p w:rsidR="00A17723" w:rsidRDefault="00A17723"/>
    <w:p w:rsidR="00A17723" w:rsidRDefault="00016AF6">
      <w:pPr>
        <w:jc w:val="center"/>
      </w:pPr>
      <w:r>
        <w:t xml:space="preserve">Contact: </w:t>
      </w:r>
      <w:hyperlink r:id="rId7" w:history="1">
        <w:r w:rsidRPr="00951B65">
          <w:rPr>
            <w:rStyle w:val="Hyperlink"/>
          </w:rPr>
          <w:t>anil.gupta@TheConnectVentures.com</w:t>
        </w:r>
      </w:hyperlink>
      <w:r>
        <w:t xml:space="preserve"> </w:t>
      </w:r>
    </w:p>
    <w:p w:rsidR="00A17723" w:rsidRDefault="00016AF6">
      <w:pPr>
        <w:jc w:val="center"/>
      </w:pPr>
      <w:r>
        <w:t>Phone: +91 99999 81613 | +1 302 214 1717</w:t>
      </w:r>
    </w:p>
    <w:p w:rsidR="00A17723" w:rsidRDefault="00016AF6">
      <w:pPr>
        <w:jc w:val="center"/>
      </w:pPr>
      <w:r>
        <w:rPr>
          <w:sz w:val="16"/>
        </w:rPr>
        <w:t>Disclaimer: This guide is for informational purposes only and does not constitute legal or tax advice. Users should verify all information independently.</w:t>
      </w:r>
    </w:p>
    <w:p w:rsidR="00A17723" w:rsidRDefault="00016AF6">
      <w:r>
        <w:br w:type="page"/>
      </w:r>
    </w:p>
    <w:p w:rsidR="00A17723" w:rsidRDefault="00016AF6">
      <w:pPr>
        <w:pStyle w:val="Heading1"/>
      </w:pPr>
      <w:r>
        <w:rPr>
          <w:rFonts w:ascii="Calibri" w:hAnsi="Calibri"/>
          <w:color w:val="1F4E79"/>
        </w:rPr>
        <w:lastRenderedPageBreak/>
        <w:t>TABLE OF CONTENTS</w:t>
      </w:r>
    </w:p>
    <w:p w:rsidR="00A17723" w:rsidRDefault="00016AF6">
      <w:pPr>
        <w:pStyle w:val="ListNumber"/>
      </w:pPr>
      <w:r>
        <w:t>1. Exec</w:t>
      </w:r>
      <w:r>
        <w:t>utive Overview</w:t>
      </w:r>
    </w:p>
    <w:p w:rsidR="00A17723" w:rsidRDefault="00016AF6">
      <w:pPr>
        <w:pStyle w:val="ListNumber"/>
      </w:pPr>
      <w:r>
        <w:t>2. Country Snapshot</w:t>
      </w:r>
    </w:p>
    <w:p w:rsidR="00A17723" w:rsidRDefault="00016AF6">
      <w:pPr>
        <w:pStyle w:val="ListNumber"/>
      </w:pPr>
      <w:r>
        <w:t>3. Investment Climate &amp; Business Environment</w:t>
      </w:r>
    </w:p>
    <w:p w:rsidR="00A17723" w:rsidRDefault="00016AF6">
      <w:pPr>
        <w:pStyle w:val="ListNumber"/>
      </w:pPr>
      <w:r>
        <w:t>4. Market Entry Strategy</w:t>
      </w:r>
    </w:p>
    <w:p w:rsidR="00A17723" w:rsidRDefault="00016AF6">
      <w:pPr>
        <w:pStyle w:val="ListNumber"/>
      </w:pPr>
      <w:r>
        <w:t>5. Legal and Regulatory Framework</w:t>
      </w:r>
    </w:p>
    <w:p w:rsidR="00A17723" w:rsidRDefault="00016AF6">
      <w:pPr>
        <w:pStyle w:val="ListNumber"/>
      </w:pPr>
      <w:r>
        <w:t>6. Business Structures for Foreign Investors</w:t>
      </w:r>
    </w:p>
    <w:p w:rsidR="00A17723" w:rsidRDefault="00016AF6">
      <w:pPr>
        <w:pStyle w:val="ListNumber"/>
      </w:pPr>
      <w:r>
        <w:t>7. Foreign Investment Rules and Exchange Control</w:t>
      </w:r>
    </w:p>
    <w:p w:rsidR="00A17723" w:rsidRDefault="00016AF6">
      <w:pPr>
        <w:pStyle w:val="ListNumber"/>
      </w:pPr>
      <w:r>
        <w:t>8. Step-by-Step Incorpo</w:t>
      </w:r>
      <w:r>
        <w:t>ration &amp; Registration Process</w:t>
      </w:r>
    </w:p>
    <w:p w:rsidR="00A17723" w:rsidRDefault="00016AF6">
      <w:pPr>
        <w:pStyle w:val="ListNumber"/>
      </w:pPr>
      <w:r>
        <w:t>9. Licenses, Approvals, and Sector-Specific Requirements</w:t>
      </w:r>
    </w:p>
    <w:p w:rsidR="00A17723" w:rsidRDefault="00016AF6">
      <w:pPr>
        <w:pStyle w:val="ListNumber"/>
      </w:pPr>
      <w:r>
        <w:t>10. Taxation and Incentives</w:t>
      </w:r>
    </w:p>
    <w:p w:rsidR="00A17723" w:rsidRDefault="00016AF6">
      <w:pPr>
        <w:pStyle w:val="ListNumber"/>
      </w:pPr>
      <w:r>
        <w:t>11. Banking, Finance, and Repatriation</w:t>
      </w:r>
    </w:p>
    <w:p w:rsidR="00A17723" w:rsidRDefault="00016AF6">
      <w:pPr>
        <w:pStyle w:val="ListNumber"/>
      </w:pPr>
      <w:r>
        <w:t>12. Employment, Immigration, and Payroll</w:t>
      </w:r>
    </w:p>
    <w:p w:rsidR="00A17723" w:rsidRDefault="00016AF6">
      <w:pPr>
        <w:pStyle w:val="ListNumber"/>
      </w:pPr>
      <w:r>
        <w:t>13. Intellectual Property, Data, and Technology</w:t>
      </w:r>
    </w:p>
    <w:p w:rsidR="00A17723" w:rsidRDefault="00016AF6">
      <w:pPr>
        <w:pStyle w:val="ListNumber"/>
      </w:pPr>
      <w:r>
        <w:t>14. Commercia</w:t>
      </w:r>
      <w:r>
        <w:t>l Contracts and Local Practices</w:t>
      </w:r>
    </w:p>
    <w:p w:rsidR="00A17723" w:rsidRDefault="00016AF6">
      <w:pPr>
        <w:pStyle w:val="ListNumber"/>
      </w:pPr>
      <w:r>
        <w:t>15. Operations, Locations, and Economic Zones</w:t>
      </w:r>
    </w:p>
    <w:p w:rsidR="00A17723" w:rsidRDefault="00016AF6">
      <w:pPr>
        <w:pStyle w:val="ListNumber"/>
      </w:pPr>
      <w:r>
        <w:t>16. Compliance Calendar and Ongoing Obligations</w:t>
      </w:r>
    </w:p>
    <w:p w:rsidR="00A17723" w:rsidRDefault="00016AF6">
      <w:pPr>
        <w:pStyle w:val="ListNumber"/>
      </w:pPr>
      <w:r>
        <w:t>17. Risk, Disputes, and Exit Options</w:t>
      </w:r>
    </w:p>
    <w:p w:rsidR="00A17723" w:rsidRDefault="00016AF6">
      <w:pPr>
        <w:pStyle w:val="ListNumber"/>
      </w:pPr>
      <w:r>
        <w:t>18. Practical Checklists and Tools</w:t>
      </w:r>
    </w:p>
    <w:p w:rsidR="00A17723" w:rsidRDefault="00016AF6">
      <w:pPr>
        <w:pStyle w:val="ListNumber"/>
      </w:pPr>
      <w:r>
        <w:t>19. Compliance Penalty Matrix</w:t>
      </w:r>
    </w:p>
    <w:p w:rsidR="00A17723" w:rsidRDefault="00016AF6">
      <w:pPr>
        <w:pStyle w:val="ListNumber"/>
      </w:pPr>
      <w:r>
        <w:t xml:space="preserve">20. How Comply Globally </w:t>
      </w:r>
      <w:r>
        <w:t>Supports Entry Vietnam</w:t>
      </w:r>
    </w:p>
    <w:p w:rsidR="00A17723" w:rsidRDefault="00016AF6">
      <w:r>
        <w:br w:type="page"/>
      </w:r>
    </w:p>
    <w:p w:rsidR="00A17723" w:rsidRDefault="00016AF6">
      <w:pPr>
        <w:pStyle w:val="Heading1"/>
      </w:pPr>
      <w:r>
        <w:rPr>
          <w:rFonts w:ascii="Calibri" w:hAnsi="Calibri"/>
          <w:color w:val="1F4E79"/>
        </w:rPr>
        <w:lastRenderedPageBreak/>
        <w:t>1. Executive Overview</w:t>
      </w:r>
    </w:p>
    <w:p w:rsidR="00A17723" w:rsidRDefault="00016AF6">
      <w:pPr>
        <w:spacing w:after="80" w:line="259" w:lineRule="auto"/>
      </w:pPr>
      <w:r>
        <w:t>This guide is designed for Indian entrepreneurs, investors, and expansion-stage companies seeking to establish or expand business operations in Vietnam. It provides a practical overview of the legal, regulator</w:t>
      </w:r>
      <w:r>
        <w:t>y, tax, banking, immigration, and operational framework relevant to foreign-owned businesses in Vietnam.</w:t>
      </w:r>
    </w:p>
    <w:p w:rsidR="00A17723" w:rsidRDefault="00016AF6">
      <w:pPr>
        <w:pStyle w:val="Heading2"/>
      </w:pPr>
      <w:r>
        <w:rPr>
          <w:rFonts w:ascii="Calibri" w:hAnsi="Calibri"/>
          <w:color w:val="1F4E79"/>
          <w:sz w:val="24"/>
        </w:rPr>
        <w:t>1.1 Why Vietnam?</w:t>
      </w:r>
    </w:p>
    <w:p w:rsidR="00A17723" w:rsidRDefault="00016AF6">
      <w:pPr>
        <w:spacing w:after="80" w:line="259" w:lineRule="auto"/>
      </w:pPr>
      <w:r>
        <w:t xml:space="preserve">Vietnam is one of Southeast Asia's most important manufacturing and export economies. For Indian companies, the country offers access </w:t>
      </w:r>
      <w:r>
        <w:t>to a large domestic market, a competitive labour base, growing consumer demand, strong regional trade links, and a wide network of free-trade agreements. For many business models, Vietnam works well as a production, sourcing, sales, distribution, or region</w:t>
      </w:r>
      <w:r>
        <w:t>al operating hub.</w:t>
      </w:r>
    </w:p>
    <w:p w:rsidR="00A17723" w:rsidRDefault="00016AF6">
      <w:pPr>
        <w:pStyle w:val="Heading2"/>
      </w:pPr>
      <w:r>
        <w:rPr>
          <w:rFonts w:ascii="Calibri" w:hAnsi="Calibri"/>
          <w:color w:val="1F4E79"/>
          <w:sz w:val="24"/>
        </w:rPr>
        <w:t>1.2 Typical Entry Timelines and Cost Ranges</w:t>
      </w:r>
    </w:p>
    <w:p w:rsidR="00A17723" w:rsidRDefault="00016AF6">
      <w:pPr>
        <w:spacing w:after="80" w:line="259" w:lineRule="auto"/>
      </w:pPr>
      <w:r>
        <w:t>A straightforward Vietnamese company setup can often be completed in several weeks, but the total timeline depends on the business line, foreign investment structure, licensing needs, bank onboa</w:t>
      </w:r>
      <w:r>
        <w:t>rding, and work-permit requirements. In practice, bank account opening and foreign-worker permits are often the slowest steps. Businesses should budget more time where sector-specific approvals, foreign-investment registration, or legalization of foreign d</w:t>
      </w:r>
      <w:r>
        <w:t>ocuments are required.</w:t>
      </w:r>
    </w:p>
    <w:p w:rsidR="00A17723" w:rsidRDefault="00016AF6">
      <w:pPr>
        <w:pStyle w:val="Heading1"/>
      </w:pPr>
      <w:r>
        <w:rPr>
          <w:rFonts w:ascii="Calibri" w:hAnsi="Calibri"/>
          <w:color w:val="1F4E79"/>
        </w:rPr>
        <w:t>2. Country Snapshot</w:t>
      </w:r>
    </w:p>
    <w:p w:rsidR="00A17723" w:rsidRDefault="00016AF6">
      <w:pPr>
        <w:pStyle w:val="Heading2"/>
      </w:pPr>
      <w:r>
        <w:rPr>
          <w:rFonts w:ascii="Calibri" w:hAnsi="Calibri"/>
          <w:color w:val="1F4E79"/>
          <w:sz w:val="24"/>
        </w:rPr>
        <w:t>2.1 Political and Economic Overview</w:t>
      </w:r>
    </w:p>
    <w:p w:rsidR="00A17723" w:rsidRDefault="00016AF6">
      <w:pPr>
        <w:spacing w:after="80" w:line="259" w:lineRule="auto"/>
      </w:pPr>
      <w:r>
        <w:t>Vietnam is a socialist republic in Southeast Asia. Hanoi is the capital, while Ho Chi Minh City is the main commercial and financial centre. The economy is highly export-oriente</w:t>
      </w:r>
      <w:r>
        <w:t>d, with strong manufacturing clusters, an expanding services sector, and continued foreign direct investment inflows.</w:t>
      </w:r>
    </w:p>
    <w:p w:rsidR="00A17723" w:rsidRDefault="00016AF6">
      <w:pPr>
        <w:pStyle w:val="Heading2"/>
      </w:pPr>
      <w:r>
        <w:rPr>
          <w:rFonts w:ascii="Calibri" w:hAnsi="Calibri"/>
          <w:color w:val="1F4E79"/>
          <w:sz w:val="24"/>
        </w:rPr>
        <w:t>2.2 Demographics and Key Economic Hubs</w:t>
      </w:r>
    </w:p>
    <w:p w:rsidR="00A17723" w:rsidRDefault="00016AF6">
      <w:pPr>
        <w:spacing w:after="80" w:line="259" w:lineRule="auto"/>
      </w:pPr>
      <w:r>
        <w:t>Key business hubs include Hanoi, Ho Chi Minh City, Da Nang, Hai Phong, Binh Duong, Dong Nai, and Ba</w:t>
      </w:r>
      <w:r>
        <w:t>c Ninh. These locations matter because licensing, workforce availability, logistics, and industrial-zone access can differ significantly by province.</w:t>
      </w:r>
    </w:p>
    <w:p w:rsidR="00A17723" w:rsidRDefault="00016AF6">
      <w:pPr>
        <w:pStyle w:val="Heading2"/>
      </w:pPr>
      <w:r>
        <w:rPr>
          <w:rFonts w:ascii="Calibri" w:hAnsi="Calibri"/>
          <w:color w:val="1F4E79"/>
          <w:sz w:val="24"/>
        </w:rPr>
        <w:t>2.3 Trade Agreements and Tax Treaties</w:t>
      </w:r>
    </w:p>
    <w:p w:rsidR="00A17723" w:rsidRDefault="00016AF6">
      <w:pPr>
        <w:spacing w:after="80" w:line="259" w:lineRule="auto"/>
      </w:pPr>
      <w:r>
        <w:t>Vietnam has an extensive FTA and treaty network. For Indian business</w:t>
      </w:r>
      <w:r>
        <w:t>es, the India-Vietnam Double Taxation Avoidance Agreement and ASEAN-linked trade arrangements are central to structuring cross-border trade, services, and investment flows.</w:t>
      </w:r>
    </w:p>
    <w:p w:rsidR="00A17723" w:rsidRDefault="00016AF6">
      <w:pPr>
        <w:pStyle w:val="Heading1"/>
      </w:pPr>
      <w:r>
        <w:rPr>
          <w:rFonts w:ascii="Calibri" w:hAnsi="Calibri"/>
          <w:color w:val="1F4E79"/>
        </w:rPr>
        <w:t>3. Investment Climate &amp; Business Environment</w:t>
      </w:r>
    </w:p>
    <w:p w:rsidR="00A17723" w:rsidRDefault="00016AF6">
      <w:pPr>
        <w:pStyle w:val="Heading2"/>
      </w:pPr>
      <w:r>
        <w:rPr>
          <w:rFonts w:ascii="Calibri" w:hAnsi="Calibri"/>
          <w:color w:val="1F4E79"/>
          <w:sz w:val="24"/>
        </w:rPr>
        <w:t>3.1 Openness to Foreign Investment</w:t>
      </w:r>
    </w:p>
    <w:p w:rsidR="00A17723" w:rsidRDefault="00016AF6">
      <w:pPr>
        <w:spacing w:after="80" w:line="259" w:lineRule="auto"/>
      </w:pPr>
      <w:r>
        <w:t>Vie</w:t>
      </w:r>
      <w:r>
        <w:t>tnam is generally open to foreign investment, but foreign investors must comply with market-access conditions and sector-specific restrictions. Many business lines permit 100% foreign ownership, while others require additional approvals, conditions, or a l</w:t>
      </w:r>
      <w:r>
        <w:t>ocal partner. The safest approach is to test the intended activity against the current market-access list before filing.</w:t>
      </w:r>
    </w:p>
    <w:p w:rsidR="00A17723" w:rsidRDefault="00016AF6">
      <w:pPr>
        <w:pStyle w:val="Heading2"/>
      </w:pPr>
      <w:r>
        <w:rPr>
          <w:rFonts w:ascii="Calibri" w:hAnsi="Calibri"/>
          <w:color w:val="1F4E79"/>
          <w:sz w:val="24"/>
        </w:rPr>
        <w:t>3.2 Ease of Doing Business</w:t>
      </w:r>
    </w:p>
    <w:p w:rsidR="00A17723" w:rsidRDefault="00016AF6">
      <w:pPr>
        <w:spacing w:after="80" w:line="259" w:lineRule="auto"/>
      </w:pPr>
      <w:r>
        <w:t>Business registration and many tax interactions are increasingly digital, but foreign investors should still</w:t>
      </w:r>
      <w:r>
        <w:t xml:space="preserve"> expect legalisation, translation, and authority-specific documentary requirements. The practical complexity usually comes from sector licensing, investment registration, tax onboarding, banking compliance, and employment approvals rather than from the cor</w:t>
      </w:r>
      <w:r>
        <w:t>e company-registration form itself.</w:t>
      </w:r>
    </w:p>
    <w:p w:rsidR="00A17723" w:rsidRDefault="00016AF6">
      <w:pPr>
        <w:pStyle w:val="Heading2"/>
      </w:pPr>
      <w:r>
        <w:rPr>
          <w:rFonts w:ascii="Calibri" w:hAnsi="Calibri"/>
          <w:color w:val="1F4E79"/>
          <w:sz w:val="24"/>
        </w:rPr>
        <w:lastRenderedPageBreak/>
        <w:t>3.3 Priority Sectors and Incentives</w:t>
      </w:r>
    </w:p>
    <w:p w:rsidR="00A17723" w:rsidRDefault="00016AF6">
      <w:pPr>
        <w:spacing w:after="80" w:line="259" w:lineRule="auto"/>
      </w:pPr>
      <w:r>
        <w:t>Vietnam continues to prioritise manufacturing, supporting industries, high technology, digital services, export-oriented production, logistics, renewable energy, and selected value-add</w:t>
      </w:r>
      <w:r>
        <w:t>ed services. Incentives can include preferential corporate income tax treatment, import duty relief on qualifying machinery or inputs, and project-specific land or location incentives.</w:t>
      </w:r>
    </w:p>
    <w:p w:rsidR="00A17723" w:rsidRDefault="00016AF6">
      <w:pPr>
        <w:pStyle w:val="Heading1"/>
      </w:pPr>
      <w:r>
        <w:rPr>
          <w:rFonts w:ascii="Calibri" w:hAnsi="Calibri"/>
          <w:color w:val="1F4E79"/>
        </w:rPr>
        <w:t>4. Market Entry Strategy</w:t>
      </w:r>
    </w:p>
    <w:p w:rsidR="00A17723" w:rsidRDefault="00016AF6">
      <w:pPr>
        <w:pStyle w:val="Heading2"/>
      </w:pPr>
      <w:r>
        <w:rPr>
          <w:rFonts w:ascii="Calibri" w:hAnsi="Calibri"/>
          <w:color w:val="1F4E79"/>
          <w:sz w:val="24"/>
        </w:rPr>
        <w:t>4.1 Go-to-Market Models</w:t>
      </w:r>
    </w:p>
    <w:p w:rsidR="00A17723" w:rsidRDefault="00016AF6">
      <w:pPr>
        <w:spacing w:after="80" w:line="259" w:lineRule="auto"/>
      </w:pPr>
      <w:r>
        <w:t xml:space="preserve">Indian entrants </w:t>
      </w:r>
      <w:r>
        <w:t>typically consider direct export, distributor or agent models, a Vietnamese subsidiary, a joint venture, a representative office, a branch in limited cases, or acquisition of an existing local business.</w:t>
      </w:r>
    </w:p>
    <w:p w:rsidR="00A17723" w:rsidRDefault="00016AF6">
      <w:pPr>
        <w:pStyle w:val="Heading2"/>
      </w:pPr>
      <w:r>
        <w:rPr>
          <w:rFonts w:ascii="Calibri" w:hAnsi="Calibri"/>
          <w:color w:val="1F4E79"/>
          <w:sz w:val="24"/>
        </w:rPr>
        <w:t>4.2 Strategic Considerations</w:t>
      </w:r>
    </w:p>
    <w:p w:rsidR="00A17723" w:rsidRDefault="00016AF6">
      <w:pPr>
        <w:spacing w:after="80" w:line="259" w:lineRule="auto"/>
      </w:pPr>
      <w:r>
        <w:t>The key decision is whet</w:t>
      </w:r>
      <w:r>
        <w:t>her the activity can be carried out through a simple local company or whether foreign-investment registration, a conditional-line licence, or a sectoral approval is needed. For many operating businesses, a Vietnamese limited liability company is the most p</w:t>
      </w:r>
      <w:r>
        <w:t>ractical entry vehicle.</w:t>
      </w:r>
    </w:p>
    <w:tbl>
      <w:tblPr>
        <w:tblStyle w:val="TableGrid"/>
        <w:tblW w:w="0" w:type="auto"/>
        <w:jc w:val="center"/>
        <w:tblLook w:val="04A0" w:firstRow="1" w:lastRow="0" w:firstColumn="1" w:lastColumn="0" w:noHBand="0" w:noVBand="1"/>
      </w:tblPr>
      <w:tblGrid>
        <w:gridCol w:w="2304"/>
        <w:gridCol w:w="1152"/>
        <w:gridCol w:w="1152"/>
        <w:gridCol w:w="2880"/>
        <w:gridCol w:w="2304"/>
      </w:tblGrid>
      <w:tr w:rsidR="00A17723">
        <w:trPr>
          <w:jc w:val="center"/>
        </w:trPr>
        <w:tc>
          <w:tcPr>
            <w:tcW w:w="2304" w:type="dxa"/>
            <w:shd w:val="clear" w:color="auto" w:fill="1F4E79"/>
          </w:tcPr>
          <w:p w:rsidR="00A17723" w:rsidRDefault="00016AF6">
            <w:r>
              <w:rPr>
                <w:b/>
                <w:color w:val="FFFFFF"/>
                <w:sz w:val="18"/>
              </w:rPr>
              <w:t>Entry Model</w:t>
            </w:r>
          </w:p>
        </w:tc>
        <w:tc>
          <w:tcPr>
            <w:tcW w:w="1152" w:type="dxa"/>
            <w:shd w:val="clear" w:color="auto" w:fill="1F4E79"/>
          </w:tcPr>
          <w:p w:rsidR="00A17723" w:rsidRDefault="00016AF6">
            <w:r>
              <w:rPr>
                <w:b/>
                <w:color w:val="FFFFFF"/>
                <w:sz w:val="18"/>
              </w:rPr>
              <w:t>Control</w:t>
            </w:r>
          </w:p>
        </w:tc>
        <w:tc>
          <w:tcPr>
            <w:tcW w:w="1152" w:type="dxa"/>
            <w:shd w:val="clear" w:color="auto" w:fill="1F4E79"/>
          </w:tcPr>
          <w:p w:rsidR="00A17723" w:rsidRDefault="00016AF6">
            <w:r>
              <w:rPr>
                <w:b/>
                <w:color w:val="FFFFFF"/>
                <w:sz w:val="18"/>
              </w:rPr>
              <w:t>Speed</w:t>
            </w:r>
          </w:p>
        </w:tc>
        <w:tc>
          <w:tcPr>
            <w:tcW w:w="2880" w:type="dxa"/>
            <w:shd w:val="clear" w:color="auto" w:fill="1F4E79"/>
          </w:tcPr>
          <w:p w:rsidR="00A17723" w:rsidRDefault="00016AF6">
            <w:r>
              <w:rPr>
                <w:b/>
                <w:color w:val="FFFFFF"/>
                <w:sz w:val="18"/>
              </w:rPr>
              <w:t>Tax / Compliance Notes</w:t>
            </w:r>
          </w:p>
        </w:tc>
        <w:tc>
          <w:tcPr>
            <w:tcW w:w="2304" w:type="dxa"/>
            <w:shd w:val="clear" w:color="auto" w:fill="1F4E79"/>
          </w:tcPr>
          <w:p w:rsidR="00A17723" w:rsidRDefault="00016AF6">
            <w:r>
              <w:rPr>
                <w:b/>
                <w:color w:val="FFFFFF"/>
                <w:sz w:val="18"/>
              </w:rPr>
              <w:t>Best For</w:t>
            </w:r>
          </w:p>
        </w:tc>
      </w:tr>
      <w:tr w:rsidR="00A17723">
        <w:trPr>
          <w:jc w:val="center"/>
        </w:trPr>
        <w:tc>
          <w:tcPr>
            <w:tcW w:w="2304" w:type="dxa"/>
          </w:tcPr>
          <w:p w:rsidR="00A17723" w:rsidRDefault="00016AF6">
            <w:r>
              <w:rPr>
                <w:sz w:val="18"/>
              </w:rPr>
              <w:t>Direct export</w:t>
            </w:r>
          </w:p>
        </w:tc>
        <w:tc>
          <w:tcPr>
            <w:tcW w:w="1152" w:type="dxa"/>
          </w:tcPr>
          <w:p w:rsidR="00A17723" w:rsidRDefault="00016AF6">
            <w:r>
              <w:rPr>
                <w:sz w:val="18"/>
              </w:rPr>
              <w:t>High</w:t>
            </w:r>
          </w:p>
        </w:tc>
        <w:tc>
          <w:tcPr>
            <w:tcW w:w="1152" w:type="dxa"/>
          </w:tcPr>
          <w:p w:rsidR="00A17723" w:rsidRDefault="00016AF6">
            <w:r>
              <w:rPr>
                <w:sz w:val="18"/>
              </w:rPr>
              <w:t>Fast</w:t>
            </w:r>
          </w:p>
        </w:tc>
        <w:tc>
          <w:tcPr>
            <w:tcW w:w="2880" w:type="dxa"/>
          </w:tcPr>
          <w:p w:rsidR="00A17723" w:rsidRDefault="00016AF6">
            <w:r>
              <w:rPr>
                <w:sz w:val="18"/>
              </w:rPr>
              <w:t>Watch customs, VAT and contractor-tax rules</w:t>
            </w:r>
          </w:p>
        </w:tc>
        <w:tc>
          <w:tcPr>
            <w:tcW w:w="2304" w:type="dxa"/>
          </w:tcPr>
          <w:p w:rsidR="00A17723" w:rsidRDefault="00016AF6">
            <w:r>
              <w:rPr>
                <w:sz w:val="18"/>
              </w:rPr>
              <w:t>Low-touch sales</w:t>
            </w:r>
          </w:p>
        </w:tc>
      </w:tr>
      <w:tr w:rsidR="00A17723">
        <w:trPr>
          <w:jc w:val="center"/>
        </w:trPr>
        <w:tc>
          <w:tcPr>
            <w:tcW w:w="2304" w:type="dxa"/>
          </w:tcPr>
          <w:p w:rsidR="00A17723" w:rsidRDefault="00016AF6">
            <w:r>
              <w:rPr>
                <w:sz w:val="18"/>
              </w:rPr>
              <w:t>Vietnam LLC</w:t>
            </w:r>
          </w:p>
        </w:tc>
        <w:tc>
          <w:tcPr>
            <w:tcW w:w="1152" w:type="dxa"/>
          </w:tcPr>
          <w:p w:rsidR="00A17723" w:rsidRDefault="00016AF6">
            <w:r>
              <w:rPr>
                <w:sz w:val="18"/>
              </w:rPr>
              <w:t>High</w:t>
            </w:r>
          </w:p>
        </w:tc>
        <w:tc>
          <w:tcPr>
            <w:tcW w:w="1152" w:type="dxa"/>
          </w:tcPr>
          <w:p w:rsidR="00A17723" w:rsidRDefault="00016AF6">
            <w:r>
              <w:rPr>
                <w:sz w:val="18"/>
              </w:rPr>
              <w:t>Moderate</w:t>
            </w:r>
          </w:p>
        </w:tc>
        <w:tc>
          <w:tcPr>
            <w:tcW w:w="2880" w:type="dxa"/>
          </w:tcPr>
          <w:p w:rsidR="00A17723" w:rsidRDefault="00016AF6">
            <w:r>
              <w:rPr>
                <w:sz w:val="18"/>
              </w:rPr>
              <w:t>Most common operating vehicle</w:t>
            </w:r>
          </w:p>
        </w:tc>
        <w:tc>
          <w:tcPr>
            <w:tcW w:w="2304" w:type="dxa"/>
          </w:tcPr>
          <w:p w:rsidR="00A17723" w:rsidRDefault="00016AF6">
            <w:r>
              <w:rPr>
                <w:sz w:val="18"/>
              </w:rPr>
              <w:t>Local operations</w:t>
            </w:r>
          </w:p>
        </w:tc>
      </w:tr>
      <w:tr w:rsidR="00A17723">
        <w:trPr>
          <w:jc w:val="center"/>
        </w:trPr>
        <w:tc>
          <w:tcPr>
            <w:tcW w:w="2304" w:type="dxa"/>
          </w:tcPr>
          <w:p w:rsidR="00A17723" w:rsidRDefault="00016AF6">
            <w:r>
              <w:rPr>
                <w:sz w:val="18"/>
              </w:rPr>
              <w:t>Joint venture</w:t>
            </w:r>
          </w:p>
        </w:tc>
        <w:tc>
          <w:tcPr>
            <w:tcW w:w="1152" w:type="dxa"/>
          </w:tcPr>
          <w:p w:rsidR="00A17723" w:rsidRDefault="00016AF6">
            <w:r>
              <w:rPr>
                <w:sz w:val="18"/>
              </w:rPr>
              <w:t>Shared</w:t>
            </w:r>
          </w:p>
        </w:tc>
        <w:tc>
          <w:tcPr>
            <w:tcW w:w="1152" w:type="dxa"/>
          </w:tcPr>
          <w:p w:rsidR="00A17723" w:rsidRDefault="00016AF6">
            <w:r>
              <w:rPr>
                <w:sz w:val="18"/>
              </w:rPr>
              <w:t>Moderate</w:t>
            </w:r>
          </w:p>
        </w:tc>
        <w:tc>
          <w:tcPr>
            <w:tcW w:w="2880" w:type="dxa"/>
          </w:tcPr>
          <w:p w:rsidR="00A17723" w:rsidRDefault="00016AF6">
            <w:r>
              <w:rPr>
                <w:sz w:val="18"/>
              </w:rPr>
              <w:t>Useful where local partner value matters</w:t>
            </w:r>
          </w:p>
        </w:tc>
        <w:tc>
          <w:tcPr>
            <w:tcW w:w="2304" w:type="dxa"/>
          </w:tcPr>
          <w:p w:rsidR="00A17723" w:rsidRDefault="00016AF6">
            <w:r>
              <w:rPr>
                <w:sz w:val="18"/>
              </w:rPr>
              <w:t>Regulated / local-market sectors</w:t>
            </w:r>
          </w:p>
        </w:tc>
      </w:tr>
      <w:tr w:rsidR="00A17723">
        <w:trPr>
          <w:jc w:val="center"/>
        </w:trPr>
        <w:tc>
          <w:tcPr>
            <w:tcW w:w="2304" w:type="dxa"/>
          </w:tcPr>
          <w:p w:rsidR="00A17723" w:rsidRDefault="00016AF6">
            <w:r>
              <w:rPr>
                <w:sz w:val="18"/>
              </w:rPr>
              <w:t>Representative office</w:t>
            </w:r>
          </w:p>
        </w:tc>
        <w:tc>
          <w:tcPr>
            <w:tcW w:w="1152" w:type="dxa"/>
          </w:tcPr>
          <w:p w:rsidR="00A17723" w:rsidRDefault="00016AF6">
            <w:r>
              <w:rPr>
                <w:sz w:val="18"/>
              </w:rPr>
              <w:t>Limited</w:t>
            </w:r>
          </w:p>
        </w:tc>
        <w:tc>
          <w:tcPr>
            <w:tcW w:w="1152" w:type="dxa"/>
          </w:tcPr>
          <w:p w:rsidR="00A17723" w:rsidRDefault="00016AF6">
            <w:r>
              <w:rPr>
                <w:sz w:val="18"/>
              </w:rPr>
              <w:t>Fast</w:t>
            </w:r>
          </w:p>
        </w:tc>
        <w:tc>
          <w:tcPr>
            <w:tcW w:w="2880" w:type="dxa"/>
          </w:tcPr>
          <w:p w:rsidR="00A17723" w:rsidRDefault="00016AF6">
            <w:r>
              <w:rPr>
                <w:sz w:val="18"/>
              </w:rPr>
              <w:t>Cannot generate revenue</w:t>
            </w:r>
          </w:p>
        </w:tc>
        <w:tc>
          <w:tcPr>
            <w:tcW w:w="2304" w:type="dxa"/>
          </w:tcPr>
          <w:p w:rsidR="00A17723" w:rsidRDefault="00016AF6">
            <w:r>
              <w:rPr>
                <w:sz w:val="18"/>
              </w:rPr>
              <w:t>Market research / liaison</w:t>
            </w:r>
          </w:p>
        </w:tc>
      </w:tr>
      <w:tr w:rsidR="00A17723">
        <w:trPr>
          <w:jc w:val="center"/>
        </w:trPr>
        <w:tc>
          <w:tcPr>
            <w:tcW w:w="2304" w:type="dxa"/>
          </w:tcPr>
          <w:p w:rsidR="00A17723" w:rsidRDefault="00016AF6">
            <w:r>
              <w:rPr>
                <w:sz w:val="18"/>
              </w:rPr>
              <w:t>Branch</w:t>
            </w:r>
          </w:p>
        </w:tc>
        <w:tc>
          <w:tcPr>
            <w:tcW w:w="1152" w:type="dxa"/>
          </w:tcPr>
          <w:p w:rsidR="00A17723" w:rsidRDefault="00016AF6">
            <w:r>
              <w:rPr>
                <w:sz w:val="18"/>
              </w:rPr>
              <w:t>High</w:t>
            </w:r>
          </w:p>
        </w:tc>
        <w:tc>
          <w:tcPr>
            <w:tcW w:w="1152" w:type="dxa"/>
          </w:tcPr>
          <w:p w:rsidR="00A17723" w:rsidRDefault="00016AF6">
            <w:r>
              <w:rPr>
                <w:sz w:val="18"/>
              </w:rPr>
              <w:t>Slower</w:t>
            </w:r>
          </w:p>
        </w:tc>
        <w:tc>
          <w:tcPr>
            <w:tcW w:w="2880" w:type="dxa"/>
          </w:tcPr>
          <w:p w:rsidR="00A17723" w:rsidRDefault="00016AF6">
            <w:r>
              <w:rPr>
                <w:sz w:val="18"/>
              </w:rPr>
              <w:t>Scope depends on sector approval</w:t>
            </w:r>
          </w:p>
        </w:tc>
        <w:tc>
          <w:tcPr>
            <w:tcW w:w="2304" w:type="dxa"/>
          </w:tcPr>
          <w:p w:rsidR="00A17723" w:rsidRDefault="00016AF6">
            <w:r>
              <w:rPr>
                <w:sz w:val="18"/>
              </w:rPr>
              <w:t xml:space="preserve">Specialised foreign trader </w:t>
            </w:r>
            <w:r>
              <w:rPr>
                <w:sz w:val="18"/>
              </w:rPr>
              <w:t>activities</w:t>
            </w:r>
          </w:p>
        </w:tc>
      </w:tr>
    </w:tbl>
    <w:p w:rsidR="00A17723" w:rsidRDefault="00016AF6">
      <w:pPr>
        <w:pStyle w:val="Heading1"/>
      </w:pPr>
      <w:r>
        <w:rPr>
          <w:rFonts w:ascii="Calibri" w:hAnsi="Calibri"/>
          <w:color w:val="1F4E79"/>
        </w:rPr>
        <w:t>5. Legal and Regulatory Framework</w:t>
      </w:r>
    </w:p>
    <w:p w:rsidR="00A17723" w:rsidRDefault="00016AF6">
      <w:pPr>
        <w:pStyle w:val="Heading2"/>
      </w:pPr>
      <w:r>
        <w:rPr>
          <w:rFonts w:ascii="Calibri" w:hAnsi="Calibri"/>
          <w:color w:val="1F4E79"/>
          <w:sz w:val="24"/>
        </w:rPr>
        <w:t>5.1 Overview of the Legal System</w:t>
      </w:r>
    </w:p>
    <w:p w:rsidR="00A17723" w:rsidRDefault="00016AF6">
      <w:pPr>
        <w:spacing w:after="80" w:line="259" w:lineRule="auto"/>
      </w:pPr>
      <w:r>
        <w:t>Vietnam follows a civil-law system. Core business laws include the Law on Enterprises, the Law on Investment, the Labour Code, the Tax Administration Law, the Law on Corporate I</w:t>
      </w:r>
      <w:r>
        <w:t>ncome Tax, the Law on Value Added Tax, the Law on Personal Income Tax, social-insurance rules, customs rules, cybersecurity rules, and personal-data protection regulations.</w:t>
      </w:r>
    </w:p>
    <w:p w:rsidR="00A17723" w:rsidRDefault="00016AF6">
      <w:pPr>
        <w:pStyle w:val="Heading2"/>
      </w:pPr>
      <w:r>
        <w:rPr>
          <w:rFonts w:ascii="Calibri" w:hAnsi="Calibri"/>
          <w:color w:val="1F4E79"/>
          <w:sz w:val="24"/>
        </w:rPr>
        <w:t>5.2 Key Regulatory Bodies</w:t>
      </w:r>
    </w:p>
    <w:p w:rsidR="00A17723" w:rsidRDefault="00016AF6">
      <w:pPr>
        <w:pStyle w:val="ListBullet"/>
      </w:pPr>
      <w:r>
        <w:t>Ministry of Finance / General Department of Taxation: tax</w:t>
      </w:r>
      <w:r>
        <w:t xml:space="preserve"> registration, filing, payment, and audit administration.</w:t>
      </w:r>
    </w:p>
    <w:p w:rsidR="00A17723" w:rsidRDefault="00016AF6">
      <w:pPr>
        <w:pStyle w:val="ListBullet"/>
      </w:pPr>
      <w:r>
        <w:t>Provincial business registration authority under the Department of Finance: enterprise registration and changes to company information.</w:t>
      </w:r>
    </w:p>
    <w:p w:rsidR="00A17723" w:rsidRDefault="00016AF6">
      <w:pPr>
        <w:pStyle w:val="ListBullet"/>
      </w:pPr>
      <w:r>
        <w:t>Ministry of Labour, Invalids and Social Affairs / local labour</w:t>
      </w:r>
      <w:r>
        <w:t xml:space="preserve"> authority: work permits and labour compliance.</w:t>
      </w:r>
    </w:p>
    <w:p w:rsidR="00A17723" w:rsidRDefault="00016AF6">
      <w:pPr>
        <w:pStyle w:val="ListBullet"/>
      </w:pPr>
      <w:r>
        <w:t>Vietnam Social Security: social-insurance administration.</w:t>
      </w:r>
    </w:p>
    <w:p w:rsidR="00A17723" w:rsidRDefault="00016AF6">
      <w:pPr>
        <w:pStyle w:val="ListBullet"/>
      </w:pPr>
      <w:r>
        <w:t>State Bank of Vietnam: banking and foreign-exchange supervision.</w:t>
      </w:r>
    </w:p>
    <w:p w:rsidR="00A17723" w:rsidRDefault="00016AF6">
      <w:pPr>
        <w:pStyle w:val="ListBullet"/>
      </w:pPr>
      <w:r>
        <w:t>Ministry of Public Security: cybersecurity and personal-data oversight.</w:t>
      </w:r>
    </w:p>
    <w:p w:rsidR="00A17723" w:rsidRDefault="00016AF6">
      <w:pPr>
        <w:pStyle w:val="Heading1"/>
      </w:pPr>
      <w:r>
        <w:rPr>
          <w:rFonts w:ascii="Calibri" w:hAnsi="Calibri"/>
          <w:color w:val="1F4E79"/>
        </w:rPr>
        <w:t>6. Business S</w:t>
      </w:r>
      <w:r>
        <w:rPr>
          <w:rFonts w:ascii="Calibri" w:hAnsi="Calibri"/>
          <w:color w:val="1F4E79"/>
        </w:rPr>
        <w:t>tructures for Foreign Investors</w:t>
      </w:r>
    </w:p>
    <w:p w:rsidR="00A17723" w:rsidRDefault="00016AF6">
      <w:pPr>
        <w:pStyle w:val="Heading2"/>
      </w:pPr>
      <w:r>
        <w:rPr>
          <w:rFonts w:ascii="Calibri" w:hAnsi="Calibri"/>
          <w:color w:val="1F4E79"/>
          <w:sz w:val="24"/>
        </w:rPr>
        <w:t>6.1 Available Business Vehicles</w:t>
      </w:r>
    </w:p>
    <w:p w:rsidR="00A17723" w:rsidRDefault="00016AF6">
      <w:pPr>
        <w:spacing w:after="80" w:line="259" w:lineRule="auto"/>
      </w:pPr>
      <w:r>
        <w:t>Foreign investors commonly use a one-member limited liability company, a multi-member limited liability company, or a joint-stock company. A representative office is useful for liaison and mar</w:t>
      </w:r>
      <w:r>
        <w:t>ket research, while a branch is available only in limited situations and often depends on the foreign trader's permitted business scope.</w:t>
      </w:r>
    </w:p>
    <w:p w:rsidR="00A17723" w:rsidRDefault="00016AF6">
      <w:pPr>
        <w:pStyle w:val="Heading2"/>
      </w:pPr>
      <w:r>
        <w:rPr>
          <w:rFonts w:ascii="Calibri" w:hAnsi="Calibri"/>
          <w:color w:val="1F4E79"/>
          <w:sz w:val="24"/>
        </w:rPr>
        <w:lastRenderedPageBreak/>
        <w:t>6.2 Comparative Table of Structures</w:t>
      </w:r>
    </w:p>
    <w:tbl>
      <w:tblPr>
        <w:tblStyle w:val="TableGrid"/>
        <w:tblW w:w="0" w:type="auto"/>
        <w:jc w:val="center"/>
        <w:tblLook w:val="04A0" w:firstRow="1" w:lastRow="0" w:firstColumn="1" w:lastColumn="0" w:noHBand="0" w:noVBand="1"/>
      </w:tblPr>
      <w:tblGrid>
        <w:gridCol w:w="1872"/>
        <w:gridCol w:w="2016"/>
        <w:gridCol w:w="2016"/>
        <w:gridCol w:w="1728"/>
        <w:gridCol w:w="2304"/>
      </w:tblGrid>
      <w:tr w:rsidR="00A17723">
        <w:trPr>
          <w:jc w:val="center"/>
        </w:trPr>
        <w:tc>
          <w:tcPr>
            <w:tcW w:w="1872" w:type="dxa"/>
            <w:shd w:val="clear" w:color="auto" w:fill="1F4E79"/>
          </w:tcPr>
          <w:p w:rsidR="00A17723" w:rsidRDefault="00016AF6">
            <w:r>
              <w:rPr>
                <w:b/>
                <w:color w:val="FFFFFF"/>
                <w:sz w:val="18"/>
              </w:rPr>
              <w:t>Feature</w:t>
            </w:r>
          </w:p>
        </w:tc>
        <w:tc>
          <w:tcPr>
            <w:tcW w:w="2016" w:type="dxa"/>
            <w:shd w:val="clear" w:color="auto" w:fill="1F4E79"/>
          </w:tcPr>
          <w:p w:rsidR="00A17723" w:rsidRDefault="00016AF6">
            <w:r>
              <w:rPr>
                <w:b/>
                <w:color w:val="FFFFFF"/>
                <w:sz w:val="18"/>
              </w:rPr>
              <w:t>LLC</w:t>
            </w:r>
          </w:p>
        </w:tc>
        <w:tc>
          <w:tcPr>
            <w:tcW w:w="2016" w:type="dxa"/>
            <w:shd w:val="clear" w:color="auto" w:fill="1F4E79"/>
          </w:tcPr>
          <w:p w:rsidR="00A17723" w:rsidRDefault="00016AF6">
            <w:r>
              <w:rPr>
                <w:b/>
                <w:color w:val="FFFFFF"/>
                <w:sz w:val="18"/>
              </w:rPr>
              <w:t>JSC</w:t>
            </w:r>
          </w:p>
        </w:tc>
        <w:tc>
          <w:tcPr>
            <w:tcW w:w="1728" w:type="dxa"/>
            <w:shd w:val="clear" w:color="auto" w:fill="1F4E79"/>
          </w:tcPr>
          <w:p w:rsidR="00A17723" w:rsidRDefault="00016AF6">
            <w:r>
              <w:rPr>
                <w:b/>
                <w:color w:val="FFFFFF"/>
                <w:sz w:val="18"/>
              </w:rPr>
              <w:t>Branch</w:t>
            </w:r>
          </w:p>
        </w:tc>
        <w:tc>
          <w:tcPr>
            <w:tcW w:w="2304" w:type="dxa"/>
            <w:shd w:val="clear" w:color="auto" w:fill="1F4E79"/>
          </w:tcPr>
          <w:p w:rsidR="00A17723" w:rsidRDefault="00016AF6">
            <w:r>
              <w:rPr>
                <w:b/>
                <w:color w:val="FFFFFF"/>
                <w:sz w:val="18"/>
              </w:rPr>
              <w:t>Representative Office</w:t>
            </w:r>
          </w:p>
        </w:tc>
      </w:tr>
      <w:tr w:rsidR="00A17723">
        <w:trPr>
          <w:jc w:val="center"/>
        </w:trPr>
        <w:tc>
          <w:tcPr>
            <w:tcW w:w="1872" w:type="dxa"/>
          </w:tcPr>
          <w:p w:rsidR="00A17723" w:rsidRDefault="00016AF6">
            <w:r>
              <w:rPr>
                <w:sz w:val="18"/>
              </w:rPr>
              <w:t>Legal personality</w:t>
            </w:r>
          </w:p>
        </w:tc>
        <w:tc>
          <w:tcPr>
            <w:tcW w:w="2016" w:type="dxa"/>
          </w:tcPr>
          <w:p w:rsidR="00A17723" w:rsidRDefault="00016AF6">
            <w:r>
              <w:rPr>
                <w:sz w:val="18"/>
              </w:rPr>
              <w:t>Separate entity</w:t>
            </w:r>
          </w:p>
        </w:tc>
        <w:tc>
          <w:tcPr>
            <w:tcW w:w="2016" w:type="dxa"/>
          </w:tcPr>
          <w:p w:rsidR="00A17723" w:rsidRDefault="00016AF6">
            <w:r>
              <w:rPr>
                <w:sz w:val="18"/>
              </w:rPr>
              <w:t>Separate entity</w:t>
            </w:r>
          </w:p>
        </w:tc>
        <w:tc>
          <w:tcPr>
            <w:tcW w:w="1728" w:type="dxa"/>
          </w:tcPr>
          <w:p w:rsidR="00A17723" w:rsidRDefault="00016AF6">
            <w:r>
              <w:rPr>
                <w:sz w:val="18"/>
              </w:rPr>
              <w:t>Not a separate local company in the same way</w:t>
            </w:r>
          </w:p>
        </w:tc>
        <w:tc>
          <w:tcPr>
            <w:tcW w:w="2304" w:type="dxa"/>
          </w:tcPr>
          <w:p w:rsidR="00A17723" w:rsidRDefault="00016AF6">
            <w:r>
              <w:rPr>
                <w:sz w:val="18"/>
              </w:rPr>
              <w:t>Extension of foreign trader</w:t>
            </w:r>
          </w:p>
        </w:tc>
      </w:tr>
      <w:tr w:rsidR="00A17723">
        <w:trPr>
          <w:jc w:val="center"/>
        </w:trPr>
        <w:tc>
          <w:tcPr>
            <w:tcW w:w="1872" w:type="dxa"/>
          </w:tcPr>
          <w:p w:rsidR="00A17723" w:rsidRDefault="00016AF6">
            <w:r>
              <w:rPr>
                <w:sz w:val="18"/>
              </w:rPr>
              <w:t>Foreign ownership</w:t>
            </w:r>
          </w:p>
        </w:tc>
        <w:tc>
          <w:tcPr>
            <w:tcW w:w="2016" w:type="dxa"/>
          </w:tcPr>
          <w:p w:rsidR="00A17723" w:rsidRDefault="00016AF6">
            <w:r>
              <w:rPr>
                <w:sz w:val="18"/>
              </w:rPr>
              <w:t>Often up to 100% subject to conditions</w:t>
            </w:r>
          </w:p>
        </w:tc>
        <w:tc>
          <w:tcPr>
            <w:tcW w:w="2016" w:type="dxa"/>
          </w:tcPr>
          <w:p w:rsidR="00A17723" w:rsidRDefault="00016AF6">
            <w:r>
              <w:rPr>
                <w:sz w:val="18"/>
              </w:rPr>
              <w:t>Often up to 100% subject to conditions</w:t>
            </w:r>
          </w:p>
        </w:tc>
        <w:tc>
          <w:tcPr>
            <w:tcW w:w="1728" w:type="dxa"/>
          </w:tcPr>
          <w:p w:rsidR="00A17723" w:rsidRDefault="00016AF6">
            <w:r>
              <w:rPr>
                <w:sz w:val="18"/>
              </w:rPr>
              <w:t>Depends on scope</w:t>
            </w:r>
          </w:p>
        </w:tc>
        <w:tc>
          <w:tcPr>
            <w:tcW w:w="2304" w:type="dxa"/>
          </w:tcPr>
          <w:p w:rsidR="00A17723" w:rsidRDefault="00016AF6">
            <w:r>
              <w:rPr>
                <w:sz w:val="18"/>
              </w:rPr>
              <w:t>100% parent</w:t>
            </w:r>
          </w:p>
        </w:tc>
      </w:tr>
      <w:tr w:rsidR="00A17723">
        <w:trPr>
          <w:jc w:val="center"/>
        </w:trPr>
        <w:tc>
          <w:tcPr>
            <w:tcW w:w="1872" w:type="dxa"/>
          </w:tcPr>
          <w:p w:rsidR="00A17723" w:rsidRDefault="00016AF6">
            <w:r>
              <w:rPr>
                <w:sz w:val="18"/>
              </w:rPr>
              <w:t>Revenue generation</w:t>
            </w:r>
          </w:p>
        </w:tc>
        <w:tc>
          <w:tcPr>
            <w:tcW w:w="2016" w:type="dxa"/>
          </w:tcPr>
          <w:p w:rsidR="00A17723" w:rsidRDefault="00016AF6">
            <w:r>
              <w:rPr>
                <w:sz w:val="18"/>
              </w:rPr>
              <w:t>Yes</w:t>
            </w:r>
          </w:p>
        </w:tc>
        <w:tc>
          <w:tcPr>
            <w:tcW w:w="2016" w:type="dxa"/>
          </w:tcPr>
          <w:p w:rsidR="00A17723" w:rsidRDefault="00016AF6">
            <w:r>
              <w:rPr>
                <w:sz w:val="18"/>
              </w:rPr>
              <w:t>Yes</w:t>
            </w:r>
          </w:p>
        </w:tc>
        <w:tc>
          <w:tcPr>
            <w:tcW w:w="1728" w:type="dxa"/>
          </w:tcPr>
          <w:p w:rsidR="00A17723" w:rsidRDefault="00016AF6">
            <w:r>
              <w:rPr>
                <w:sz w:val="18"/>
              </w:rPr>
              <w:t xml:space="preserve">Usually yes </w:t>
            </w:r>
            <w:r>
              <w:rPr>
                <w:sz w:val="18"/>
              </w:rPr>
              <w:t>if licensed</w:t>
            </w:r>
          </w:p>
        </w:tc>
        <w:tc>
          <w:tcPr>
            <w:tcW w:w="2304" w:type="dxa"/>
          </w:tcPr>
          <w:p w:rsidR="00A17723" w:rsidRDefault="00016AF6">
            <w:r>
              <w:rPr>
                <w:sz w:val="18"/>
              </w:rPr>
              <w:t>No</w:t>
            </w:r>
          </w:p>
        </w:tc>
      </w:tr>
      <w:tr w:rsidR="00A17723">
        <w:trPr>
          <w:jc w:val="center"/>
        </w:trPr>
        <w:tc>
          <w:tcPr>
            <w:tcW w:w="1872" w:type="dxa"/>
          </w:tcPr>
          <w:p w:rsidR="00A17723" w:rsidRDefault="00016AF6">
            <w:r>
              <w:rPr>
                <w:sz w:val="18"/>
              </w:rPr>
              <w:t>Governance</w:t>
            </w:r>
          </w:p>
        </w:tc>
        <w:tc>
          <w:tcPr>
            <w:tcW w:w="2016" w:type="dxa"/>
          </w:tcPr>
          <w:p w:rsidR="00A17723" w:rsidRDefault="00016AF6">
            <w:r>
              <w:rPr>
                <w:sz w:val="18"/>
              </w:rPr>
              <w:t>Simpler</w:t>
            </w:r>
          </w:p>
        </w:tc>
        <w:tc>
          <w:tcPr>
            <w:tcW w:w="2016" w:type="dxa"/>
          </w:tcPr>
          <w:p w:rsidR="00A17723" w:rsidRDefault="00016AF6">
            <w:r>
              <w:rPr>
                <w:sz w:val="18"/>
              </w:rPr>
              <w:t>More formal</w:t>
            </w:r>
          </w:p>
        </w:tc>
        <w:tc>
          <w:tcPr>
            <w:tcW w:w="1728" w:type="dxa"/>
          </w:tcPr>
          <w:p w:rsidR="00A17723" w:rsidRDefault="00016AF6">
            <w:r>
              <w:rPr>
                <w:sz w:val="18"/>
              </w:rPr>
              <w:t>Depends on authorisation</w:t>
            </w:r>
          </w:p>
        </w:tc>
        <w:tc>
          <w:tcPr>
            <w:tcW w:w="2304" w:type="dxa"/>
          </w:tcPr>
          <w:p w:rsidR="00A17723" w:rsidRDefault="00016AF6">
            <w:r>
              <w:rPr>
                <w:sz w:val="18"/>
              </w:rPr>
              <w:t>Most limited</w:t>
            </w:r>
          </w:p>
        </w:tc>
      </w:tr>
      <w:tr w:rsidR="00A17723">
        <w:trPr>
          <w:jc w:val="center"/>
        </w:trPr>
        <w:tc>
          <w:tcPr>
            <w:tcW w:w="1872" w:type="dxa"/>
          </w:tcPr>
          <w:p w:rsidR="00A17723" w:rsidRDefault="00016AF6">
            <w:r>
              <w:rPr>
                <w:sz w:val="18"/>
              </w:rPr>
              <w:t>Best for</w:t>
            </w:r>
          </w:p>
        </w:tc>
        <w:tc>
          <w:tcPr>
            <w:tcW w:w="2016" w:type="dxa"/>
          </w:tcPr>
          <w:p w:rsidR="00A17723" w:rsidRDefault="00016AF6">
            <w:r>
              <w:rPr>
                <w:sz w:val="18"/>
              </w:rPr>
              <w:t>Most operating businesses</w:t>
            </w:r>
          </w:p>
        </w:tc>
        <w:tc>
          <w:tcPr>
            <w:tcW w:w="2016" w:type="dxa"/>
          </w:tcPr>
          <w:p w:rsidR="00A17723" w:rsidRDefault="00016AF6">
            <w:r>
              <w:rPr>
                <w:sz w:val="18"/>
              </w:rPr>
              <w:t>Businesses needing multiple investors / future capital raising</w:t>
            </w:r>
          </w:p>
        </w:tc>
        <w:tc>
          <w:tcPr>
            <w:tcW w:w="1728" w:type="dxa"/>
          </w:tcPr>
          <w:p w:rsidR="00A17723" w:rsidRDefault="00016AF6">
            <w:r>
              <w:rPr>
                <w:sz w:val="18"/>
              </w:rPr>
              <w:t>Restricted foreign-trader activity</w:t>
            </w:r>
          </w:p>
        </w:tc>
        <w:tc>
          <w:tcPr>
            <w:tcW w:w="2304" w:type="dxa"/>
          </w:tcPr>
          <w:p w:rsidR="00A17723" w:rsidRDefault="00016AF6">
            <w:r>
              <w:rPr>
                <w:sz w:val="18"/>
              </w:rPr>
              <w:t>Liaison only</w:t>
            </w:r>
          </w:p>
        </w:tc>
      </w:tr>
    </w:tbl>
    <w:p w:rsidR="00A17723" w:rsidRDefault="00016AF6">
      <w:pPr>
        <w:spacing w:after="80" w:line="259" w:lineRule="auto"/>
      </w:pPr>
      <w:r>
        <w:t>For most Indian operati</w:t>
      </w:r>
      <w:r>
        <w:t>ng businesses, the practical choice is an LLC or a JSC, depending on the number of owners, future fundraising plan, and sector rules.</w:t>
      </w:r>
    </w:p>
    <w:p w:rsidR="00A17723" w:rsidRDefault="00016AF6">
      <w:pPr>
        <w:pStyle w:val="Heading1"/>
      </w:pPr>
      <w:r>
        <w:rPr>
          <w:rFonts w:ascii="Calibri" w:hAnsi="Calibri"/>
          <w:color w:val="1F4E79"/>
        </w:rPr>
        <w:t>7. Foreign Investment Rules and Exchange Control</w:t>
      </w:r>
    </w:p>
    <w:p w:rsidR="00A17723" w:rsidRDefault="00016AF6">
      <w:pPr>
        <w:pStyle w:val="Heading2"/>
      </w:pPr>
      <w:r>
        <w:rPr>
          <w:rFonts w:ascii="Calibri" w:hAnsi="Calibri"/>
          <w:color w:val="1F4E79"/>
          <w:sz w:val="24"/>
        </w:rPr>
        <w:t>7.1 FDI Regime Overview</w:t>
      </w:r>
    </w:p>
    <w:p w:rsidR="00A17723" w:rsidRDefault="00016AF6">
      <w:pPr>
        <w:spacing w:after="80" w:line="259" w:lineRule="auto"/>
      </w:pPr>
      <w:r>
        <w:t>Vietnam's foreign-investment regime is based on t</w:t>
      </w:r>
      <w:r>
        <w:t>he current investment law and market-access conditions. Foreign investors should first test whether the intended activity is prohibited, conditionally restricted, or open to foreign ownership. Even where 100% ownership is permitted, licensing and project d</w:t>
      </w:r>
      <w:r>
        <w:t>ocuments may still be required.</w:t>
      </w:r>
    </w:p>
    <w:p w:rsidR="00A17723" w:rsidRDefault="00016AF6">
      <w:pPr>
        <w:pStyle w:val="Heading2"/>
      </w:pPr>
      <w:r>
        <w:rPr>
          <w:rFonts w:ascii="Calibri" w:hAnsi="Calibri"/>
          <w:color w:val="1F4E79"/>
          <w:sz w:val="24"/>
        </w:rPr>
        <w:t>7.2 Key Conditions for Foreign Shareholders</w:t>
      </w:r>
    </w:p>
    <w:p w:rsidR="00A17723" w:rsidRDefault="00016AF6">
      <w:pPr>
        <w:spacing w:after="80" w:line="259" w:lineRule="auto"/>
      </w:pPr>
      <w:r>
        <w:t xml:space="preserve">Common requirements include a lawful registered address, legalised parent-company documents where applicable, proper beneficial-owner disclosure, and bankability of the investment </w:t>
      </w:r>
      <w:r>
        <w:t>structure. Changes to beneficial-owner information generally must be notified within 10 days of the change.</w:t>
      </w:r>
    </w:p>
    <w:p w:rsidR="00A17723" w:rsidRDefault="00016AF6">
      <w:pPr>
        <w:pStyle w:val="Heading2"/>
      </w:pPr>
      <w:r>
        <w:rPr>
          <w:rFonts w:ascii="Calibri" w:hAnsi="Calibri"/>
          <w:color w:val="1F4E79"/>
          <w:sz w:val="24"/>
        </w:rPr>
        <w:t>7.3 Foreign Exchange Regulations</w:t>
      </w:r>
    </w:p>
    <w:p w:rsidR="00A17723" w:rsidRDefault="00016AF6">
      <w:pPr>
        <w:spacing w:after="80" w:line="259" w:lineRule="auto"/>
      </w:pPr>
      <w:r>
        <w:t>Vietnam maintains exchange controls. Capital contribution, profit remittance, foreign-loan flows, royalties, and se</w:t>
      </w:r>
      <w:r>
        <w:t>rvice payments should be routed through authorised banks and supported by documentary evidence. Funds cannot be treated as freely repatriable in the same way as in a fully open capital account without bank and tax compliance.</w:t>
      </w:r>
    </w:p>
    <w:p w:rsidR="00A17723" w:rsidRDefault="00016AF6">
      <w:pPr>
        <w:pStyle w:val="Heading1"/>
      </w:pPr>
      <w:r>
        <w:rPr>
          <w:rFonts w:ascii="Calibri" w:hAnsi="Calibri"/>
          <w:color w:val="1F4E79"/>
        </w:rPr>
        <w:t xml:space="preserve">8. Step-by-Step Incorporation </w:t>
      </w:r>
      <w:r>
        <w:rPr>
          <w:rFonts w:ascii="Calibri" w:hAnsi="Calibri"/>
          <w:color w:val="1F4E79"/>
        </w:rPr>
        <w:t>&amp; Registration Process</w:t>
      </w:r>
    </w:p>
    <w:p w:rsidR="00A17723" w:rsidRDefault="00016AF6">
      <w:pPr>
        <w:pStyle w:val="Heading2"/>
      </w:pPr>
      <w:r>
        <w:rPr>
          <w:rFonts w:ascii="Calibri" w:hAnsi="Calibri"/>
          <w:color w:val="1F4E79"/>
          <w:sz w:val="24"/>
        </w:rPr>
        <w:t>8.1 Pre-Incorporation Planning</w:t>
      </w:r>
    </w:p>
    <w:p w:rsidR="00A17723" w:rsidRDefault="00016AF6">
      <w:pPr>
        <w:pStyle w:val="ListBullet"/>
      </w:pPr>
      <w:r>
        <w:t>Check whether the business line is open, conditional, or restricted for foreign investors.</w:t>
      </w:r>
    </w:p>
    <w:p w:rsidR="00A17723" w:rsidRDefault="00016AF6">
      <w:pPr>
        <w:pStyle w:val="ListBullet"/>
      </w:pPr>
      <w:r>
        <w:t>Decide the investment route and whether an Investment Registration Certificate is needed.</w:t>
      </w:r>
    </w:p>
    <w:p w:rsidR="00A17723" w:rsidRDefault="00016AF6">
      <w:pPr>
        <w:pStyle w:val="ListBullet"/>
      </w:pPr>
      <w:r>
        <w:t>Choose the entity typ</w:t>
      </w:r>
      <w:r>
        <w:t>e: LLC, JSC, branch, or representative office.</w:t>
      </w:r>
    </w:p>
    <w:p w:rsidR="00A17723" w:rsidRDefault="00016AF6">
      <w:pPr>
        <w:pStyle w:val="ListBullet"/>
      </w:pPr>
      <w:r>
        <w:t>Prepare legalised foreign documents, translations, charter, and shareholder / owner details.</w:t>
      </w:r>
    </w:p>
    <w:p w:rsidR="00A17723" w:rsidRDefault="00016AF6">
      <w:pPr>
        <w:pStyle w:val="ListBullet"/>
      </w:pPr>
      <w:r>
        <w:t>Plan the bank account, tax setup, e-invoice registration, labour compliance, and work permits early.</w:t>
      </w:r>
    </w:p>
    <w:p w:rsidR="00A17723" w:rsidRDefault="00016AF6">
      <w:pPr>
        <w:pStyle w:val="Heading2"/>
      </w:pPr>
      <w:r>
        <w:rPr>
          <w:rFonts w:ascii="Calibri" w:hAnsi="Calibri"/>
          <w:color w:val="1F4E79"/>
          <w:sz w:val="24"/>
        </w:rPr>
        <w:t>8.2 Step-by-Ste</w:t>
      </w:r>
      <w:r>
        <w:rPr>
          <w:rFonts w:ascii="Calibri" w:hAnsi="Calibri"/>
          <w:color w:val="1F4E79"/>
          <w:sz w:val="24"/>
        </w:rPr>
        <w:t>p Incorporation Workflow</w:t>
      </w:r>
      <w:bookmarkStart w:id="0" w:name="_GoBack"/>
      <w:bookmarkEnd w:id="0"/>
    </w:p>
    <w:tbl>
      <w:tblPr>
        <w:tblStyle w:val="TableGrid"/>
        <w:tblW w:w="0" w:type="auto"/>
        <w:jc w:val="center"/>
        <w:tblLook w:val="04A0" w:firstRow="1" w:lastRow="0" w:firstColumn="1" w:lastColumn="0" w:noHBand="0" w:noVBand="1"/>
      </w:tblPr>
      <w:tblGrid>
        <w:gridCol w:w="720"/>
        <w:gridCol w:w="3456"/>
        <w:gridCol w:w="1584"/>
        <w:gridCol w:w="3168"/>
      </w:tblGrid>
      <w:tr w:rsidR="00A17723">
        <w:trPr>
          <w:jc w:val="center"/>
        </w:trPr>
        <w:tc>
          <w:tcPr>
            <w:tcW w:w="720" w:type="dxa"/>
            <w:shd w:val="clear" w:color="auto" w:fill="1F4E79"/>
          </w:tcPr>
          <w:p w:rsidR="00A17723" w:rsidRDefault="00016AF6">
            <w:r>
              <w:rPr>
                <w:b/>
                <w:color w:val="FFFFFF"/>
                <w:sz w:val="18"/>
              </w:rPr>
              <w:t>Step</w:t>
            </w:r>
          </w:p>
        </w:tc>
        <w:tc>
          <w:tcPr>
            <w:tcW w:w="3456" w:type="dxa"/>
            <w:shd w:val="clear" w:color="auto" w:fill="1F4E79"/>
          </w:tcPr>
          <w:p w:rsidR="00A17723" w:rsidRDefault="00016AF6">
            <w:r>
              <w:rPr>
                <w:b/>
                <w:color w:val="FFFFFF"/>
                <w:sz w:val="18"/>
              </w:rPr>
              <w:t>Activity</w:t>
            </w:r>
          </w:p>
        </w:tc>
        <w:tc>
          <w:tcPr>
            <w:tcW w:w="1584" w:type="dxa"/>
            <w:shd w:val="clear" w:color="auto" w:fill="1F4E79"/>
          </w:tcPr>
          <w:p w:rsidR="00A17723" w:rsidRDefault="00016AF6">
            <w:r>
              <w:rPr>
                <w:b/>
                <w:color w:val="FFFFFF"/>
                <w:sz w:val="18"/>
              </w:rPr>
              <w:t>Typical timeline</w:t>
            </w:r>
          </w:p>
        </w:tc>
        <w:tc>
          <w:tcPr>
            <w:tcW w:w="3168" w:type="dxa"/>
            <w:shd w:val="clear" w:color="auto" w:fill="1F4E79"/>
          </w:tcPr>
          <w:p w:rsidR="00A17723" w:rsidRDefault="00016AF6">
            <w:r>
              <w:rPr>
                <w:b/>
                <w:color w:val="FFFFFF"/>
                <w:sz w:val="18"/>
              </w:rPr>
              <w:t>Authority / Notes</w:t>
            </w:r>
          </w:p>
        </w:tc>
      </w:tr>
      <w:tr w:rsidR="00A17723">
        <w:trPr>
          <w:jc w:val="center"/>
        </w:trPr>
        <w:tc>
          <w:tcPr>
            <w:tcW w:w="720" w:type="dxa"/>
          </w:tcPr>
          <w:p w:rsidR="00A17723" w:rsidRDefault="00016AF6">
            <w:r>
              <w:rPr>
                <w:sz w:val="18"/>
              </w:rPr>
              <w:t>1</w:t>
            </w:r>
          </w:p>
        </w:tc>
        <w:tc>
          <w:tcPr>
            <w:tcW w:w="3456" w:type="dxa"/>
          </w:tcPr>
          <w:p w:rsidR="00A17723" w:rsidRDefault="00016AF6">
            <w:r>
              <w:rPr>
                <w:sz w:val="18"/>
              </w:rPr>
              <w:t>Name search and reservation</w:t>
            </w:r>
          </w:p>
        </w:tc>
        <w:tc>
          <w:tcPr>
            <w:tcW w:w="1584" w:type="dxa"/>
          </w:tcPr>
          <w:p w:rsidR="00A17723" w:rsidRDefault="00016AF6">
            <w:r>
              <w:rPr>
                <w:sz w:val="18"/>
              </w:rPr>
              <w:t>Same day to a few days</w:t>
            </w:r>
          </w:p>
        </w:tc>
        <w:tc>
          <w:tcPr>
            <w:tcW w:w="3168" w:type="dxa"/>
          </w:tcPr>
          <w:p w:rsidR="00A17723" w:rsidRDefault="00016AF6">
            <w:r>
              <w:rPr>
                <w:sz w:val="18"/>
              </w:rPr>
              <w:t>Provincial business registration authority</w:t>
            </w:r>
          </w:p>
        </w:tc>
      </w:tr>
      <w:tr w:rsidR="00A17723">
        <w:trPr>
          <w:jc w:val="center"/>
        </w:trPr>
        <w:tc>
          <w:tcPr>
            <w:tcW w:w="720" w:type="dxa"/>
          </w:tcPr>
          <w:p w:rsidR="00A17723" w:rsidRDefault="00016AF6">
            <w:r>
              <w:rPr>
                <w:sz w:val="18"/>
              </w:rPr>
              <w:t>2</w:t>
            </w:r>
          </w:p>
        </w:tc>
        <w:tc>
          <w:tcPr>
            <w:tcW w:w="3456" w:type="dxa"/>
          </w:tcPr>
          <w:p w:rsidR="00A17723" w:rsidRDefault="00016AF6">
            <w:r>
              <w:rPr>
                <w:sz w:val="18"/>
              </w:rPr>
              <w:t>Prepare charter / shareholder documents</w:t>
            </w:r>
          </w:p>
        </w:tc>
        <w:tc>
          <w:tcPr>
            <w:tcW w:w="1584" w:type="dxa"/>
          </w:tcPr>
          <w:p w:rsidR="00A17723" w:rsidRDefault="00016AF6">
            <w:r>
              <w:rPr>
                <w:sz w:val="18"/>
              </w:rPr>
              <w:t>3-7 days</w:t>
            </w:r>
          </w:p>
        </w:tc>
        <w:tc>
          <w:tcPr>
            <w:tcW w:w="3168" w:type="dxa"/>
          </w:tcPr>
          <w:p w:rsidR="00A17723" w:rsidRDefault="00016AF6">
            <w:r>
              <w:rPr>
                <w:sz w:val="18"/>
              </w:rPr>
              <w:t>Company / legal adviser</w:t>
            </w:r>
          </w:p>
        </w:tc>
      </w:tr>
      <w:tr w:rsidR="00A17723">
        <w:trPr>
          <w:jc w:val="center"/>
        </w:trPr>
        <w:tc>
          <w:tcPr>
            <w:tcW w:w="720" w:type="dxa"/>
          </w:tcPr>
          <w:p w:rsidR="00A17723" w:rsidRDefault="00016AF6">
            <w:r>
              <w:rPr>
                <w:sz w:val="18"/>
              </w:rPr>
              <w:t>3</w:t>
            </w:r>
          </w:p>
        </w:tc>
        <w:tc>
          <w:tcPr>
            <w:tcW w:w="3456" w:type="dxa"/>
          </w:tcPr>
          <w:p w:rsidR="00A17723" w:rsidRDefault="00016AF6">
            <w:r>
              <w:rPr>
                <w:sz w:val="18"/>
              </w:rPr>
              <w:t xml:space="preserve">File </w:t>
            </w:r>
            <w:r>
              <w:rPr>
                <w:sz w:val="18"/>
              </w:rPr>
              <w:t>foreign investment dossier if required</w:t>
            </w:r>
          </w:p>
        </w:tc>
        <w:tc>
          <w:tcPr>
            <w:tcW w:w="1584" w:type="dxa"/>
          </w:tcPr>
          <w:p w:rsidR="00A17723" w:rsidRDefault="00016AF6">
            <w:r>
              <w:rPr>
                <w:sz w:val="18"/>
              </w:rPr>
              <w:t>1-4 weeks</w:t>
            </w:r>
          </w:p>
        </w:tc>
        <w:tc>
          <w:tcPr>
            <w:tcW w:w="3168" w:type="dxa"/>
          </w:tcPr>
          <w:p w:rsidR="00A17723" w:rsidRDefault="00016AF6">
            <w:r>
              <w:rPr>
                <w:sz w:val="18"/>
              </w:rPr>
              <w:t>Investment authority</w:t>
            </w:r>
          </w:p>
        </w:tc>
      </w:tr>
      <w:tr w:rsidR="00A17723">
        <w:trPr>
          <w:jc w:val="center"/>
        </w:trPr>
        <w:tc>
          <w:tcPr>
            <w:tcW w:w="720" w:type="dxa"/>
          </w:tcPr>
          <w:p w:rsidR="00A17723" w:rsidRDefault="00016AF6">
            <w:r>
              <w:rPr>
                <w:sz w:val="18"/>
              </w:rPr>
              <w:t>4</w:t>
            </w:r>
          </w:p>
        </w:tc>
        <w:tc>
          <w:tcPr>
            <w:tcW w:w="3456" w:type="dxa"/>
          </w:tcPr>
          <w:p w:rsidR="00A17723" w:rsidRDefault="00016AF6">
            <w:r>
              <w:rPr>
                <w:sz w:val="18"/>
              </w:rPr>
              <w:t>Obtain enterprise registration</w:t>
            </w:r>
          </w:p>
        </w:tc>
        <w:tc>
          <w:tcPr>
            <w:tcW w:w="1584" w:type="dxa"/>
          </w:tcPr>
          <w:p w:rsidR="00A17723" w:rsidRDefault="00016AF6">
            <w:r>
              <w:rPr>
                <w:sz w:val="18"/>
              </w:rPr>
              <w:t>3-10 working days</w:t>
            </w:r>
          </w:p>
        </w:tc>
        <w:tc>
          <w:tcPr>
            <w:tcW w:w="3168" w:type="dxa"/>
          </w:tcPr>
          <w:p w:rsidR="00A17723" w:rsidRDefault="00016AF6">
            <w:r>
              <w:rPr>
                <w:sz w:val="18"/>
              </w:rPr>
              <w:t>Business registration authority</w:t>
            </w:r>
          </w:p>
        </w:tc>
      </w:tr>
      <w:tr w:rsidR="00A17723">
        <w:trPr>
          <w:jc w:val="center"/>
        </w:trPr>
        <w:tc>
          <w:tcPr>
            <w:tcW w:w="720" w:type="dxa"/>
          </w:tcPr>
          <w:p w:rsidR="00A17723" w:rsidRDefault="00016AF6">
            <w:r>
              <w:rPr>
                <w:sz w:val="18"/>
              </w:rPr>
              <w:t>5</w:t>
            </w:r>
          </w:p>
        </w:tc>
        <w:tc>
          <w:tcPr>
            <w:tcW w:w="3456" w:type="dxa"/>
          </w:tcPr>
          <w:p w:rsidR="00A17723" w:rsidRDefault="00016AF6">
            <w:r>
              <w:rPr>
                <w:sz w:val="18"/>
              </w:rPr>
              <w:t>Register tax details and e-invoice setup</w:t>
            </w:r>
          </w:p>
        </w:tc>
        <w:tc>
          <w:tcPr>
            <w:tcW w:w="1584" w:type="dxa"/>
          </w:tcPr>
          <w:p w:rsidR="00A17723" w:rsidRDefault="00016AF6">
            <w:r>
              <w:rPr>
                <w:sz w:val="18"/>
              </w:rPr>
              <w:t>1-2 weeks</w:t>
            </w:r>
          </w:p>
        </w:tc>
        <w:tc>
          <w:tcPr>
            <w:tcW w:w="3168" w:type="dxa"/>
          </w:tcPr>
          <w:p w:rsidR="00A17723" w:rsidRDefault="00016AF6">
            <w:r>
              <w:rPr>
                <w:sz w:val="18"/>
              </w:rPr>
              <w:t>Tax authority</w:t>
            </w:r>
          </w:p>
        </w:tc>
      </w:tr>
      <w:tr w:rsidR="00A17723">
        <w:trPr>
          <w:jc w:val="center"/>
        </w:trPr>
        <w:tc>
          <w:tcPr>
            <w:tcW w:w="720" w:type="dxa"/>
          </w:tcPr>
          <w:p w:rsidR="00A17723" w:rsidRDefault="00016AF6">
            <w:r>
              <w:rPr>
                <w:sz w:val="18"/>
              </w:rPr>
              <w:t>6</w:t>
            </w:r>
          </w:p>
        </w:tc>
        <w:tc>
          <w:tcPr>
            <w:tcW w:w="3456" w:type="dxa"/>
          </w:tcPr>
          <w:p w:rsidR="00A17723" w:rsidRDefault="00016AF6">
            <w:r>
              <w:rPr>
                <w:sz w:val="18"/>
              </w:rPr>
              <w:t>Open corporate bank account</w:t>
            </w:r>
          </w:p>
        </w:tc>
        <w:tc>
          <w:tcPr>
            <w:tcW w:w="1584" w:type="dxa"/>
          </w:tcPr>
          <w:p w:rsidR="00A17723" w:rsidRDefault="00016AF6">
            <w:r>
              <w:rPr>
                <w:sz w:val="18"/>
              </w:rPr>
              <w:t>2-8</w:t>
            </w:r>
            <w:r>
              <w:rPr>
                <w:sz w:val="18"/>
              </w:rPr>
              <w:t xml:space="preserve"> weeks</w:t>
            </w:r>
          </w:p>
        </w:tc>
        <w:tc>
          <w:tcPr>
            <w:tcW w:w="3168" w:type="dxa"/>
          </w:tcPr>
          <w:p w:rsidR="00A17723" w:rsidRDefault="00016AF6">
            <w:r>
              <w:rPr>
                <w:sz w:val="18"/>
              </w:rPr>
              <w:t>Authorised bank</w:t>
            </w:r>
          </w:p>
        </w:tc>
      </w:tr>
      <w:tr w:rsidR="00A17723">
        <w:trPr>
          <w:jc w:val="center"/>
        </w:trPr>
        <w:tc>
          <w:tcPr>
            <w:tcW w:w="720" w:type="dxa"/>
          </w:tcPr>
          <w:p w:rsidR="00A17723" w:rsidRDefault="00016AF6">
            <w:r>
              <w:rPr>
                <w:sz w:val="18"/>
              </w:rPr>
              <w:lastRenderedPageBreak/>
              <w:t>7</w:t>
            </w:r>
          </w:p>
        </w:tc>
        <w:tc>
          <w:tcPr>
            <w:tcW w:w="3456" w:type="dxa"/>
          </w:tcPr>
          <w:p w:rsidR="00A17723" w:rsidRDefault="00016AF6">
            <w:r>
              <w:rPr>
                <w:sz w:val="18"/>
              </w:rPr>
              <w:t>Register labour / social-insurance accounts if hiring</w:t>
            </w:r>
          </w:p>
        </w:tc>
        <w:tc>
          <w:tcPr>
            <w:tcW w:w="1584" w:type="dxa"/>
          </w:tcPr>
          <w:p w:rsidR="00A17723" w:rsidRDefault="00016AF6">
            <w:r>
              <w:rPr>
                <w:sz w:val="18"/>
              </w:rPr>
              <w:t>Before first payroll</w:t>
            </w:r>
          </w:p>
        </w:tc>
        <w:tc>
          <w:tcPr>
            <w:tcW w:w="3168" w:type="dxa"/>
          </w:tcPr>
          <w:p w:rsidR="00A17723" w:rsidRDefault="00016AF6">
            <w:r>
              <w:rPr>
                <w:sz w:val="18"/>
              </w:rPr>
              <w:t>Labour / social-insurance authorities</w:t>
            </w:r>
          </w:p>
        </w:tc>
      </w:tr>
      <w:tr w:rsidR="00A17723">
        <w:trPr>
          <w:jc w:val="center"/>
        </w:trPr>
        <w:tc>
          <w:tcPr>
            <w:tcW w:w="720" w:type="dxa"/>
          </w:tcPr>
          <w:p w:rsidR="00A17723" w:rsidRDefault="00016AF6">
            <w:r>
              <w:rPr>
                <w:sz w:val="18"/>
              </w:rPr>
              <w:t>8</w:t>
            </w:r>
          </w:p>
        </w:tc>
        <w:tc>
          <w:tcPr>
            <w:tcW w:w="3456" w:type="dxa"/>
          </w:tcPr>
          <w:p w:rsidR="00A17723" w:rsidRDefault="00016AF6">
            <w:r>
              <w:rPr>
                <w:sz w:val="18"/>
              </w:rPr>
              <w:t>Apply for work permits if hiring foreigners</w:t>
            </w:r>
          </w:p>
        </w:tc>
        <w:tc>
          <w:tcPr>
            <w:tcW w:w="1584" w:type="dxa"/>
          </w:tcPr>
          <w:p w:rsidR="00A17723" w:rsidRDefault="00016AF6">
            <w:r>
              <w:rPr>
                <w:sz w:val="18"/>
              </w:rPr>
              <w:t>At least 15 days before start</w:t>
            </w:r>
          </w:p>
        </w:tc>
        <w:tc>
          <w:tcPr>
            <w:tcW w:w="3168" w:type="dxa"/>
          </w:tcPr>
          <w:p w:rsidR="00A17723" w:rsidRDefault="00016AF6">
            <w:r>
              <w:rPr>
                <w:sz w:val="18"/>
              </w:rPr>
              <w:t>Labour authority</w:t>
            </w:r>
          </w:p>
        </w:tc>
      </w:tr>
    </w:tbl>
    <w:p w:rsidR="00A17723" w:rsidRDefault="00016AF6">
      <w:pPr>
        <w:spacing w:after="80" w:line="259" w:lineRule="auto"/>
      </w:pPr>
      <w:r>
        <w:t>For foreign documents,</w:t>
      </w:r>
      <w:r>
        <w:t xml:space="preserve"> legalisation and certified Vietnamese translation are often required before filing.</w:t>
      </w:r>
    </w:p>
    <w:p w:rsidR="00A17723" w:rsidRDefault="00016AF6">
      <w:pPr>
        <w:pStyle w:val="Heading1"/>
      </w:pPr>
      <w:r>
        <w:rPr>
          <w:rFonts w:ascii="Calibri" w:hAnsi="Calibri"/>
          <w:color w:val="1F4E79"/>
        </w:rPr>
        <w:t>9. Licenses, Approvals, and Sector-Specific Requirements</w:t>
      </w:r>
    </w:p>
    <w:p w:rsidR="00A17723" w:rsidRDefault="00016AF6">
      <w:pPr>
        <w:pStyle w:val="Heading2"/>
      </w:pPr>
      <w:r>
        <w:rPr>
          <w:rFonts w:ascii="Calibri" w:hAnsi="Calibri"/>
          <w:color w:val="1F4E79"/>
          <w:sz w:val="24"/>
        </w:rPr>
        <w:t>9.1 Common Cross-Sector Requirements</w:t>
      </w:r>
    </w:p>
    <w:p w:rsidR="00A17723" w:rsidRDefault="00016AF6">
      <w:pPr>
        <w:spacing w:after="80" w:line="259" w:lineRule="auto"/>
      </w:pPr>
      <w:r>
        <w:t>Typical post-incorporation compliance includes tax registration, invoice / e-</w:t>
      </w:r>
      <w:r>
        <w:t>invoice setup, banking KYC, labour filings, and sector-specific approvals if the activity is regulated. Retail, distribution, logistics, food, healthcare, education, finance, telecom, and technology-related activities may trigger additional permits.</w:t>
      </w:r>
    </w:p>
    <w:p w:rsidR="00A17723" w:rsidRDefault="00016AF6">
      <w:pPr>
        <w:pStyle w:val="Heading2"/>
      </w:pPr>
      <w:r>
        <w:rPr>
          <w:rFonts w:ascii="Calibri" w:hAnsi="Calibri"/>
          <w:color w:val="1F4E79"/>
          <w:sz w:val="24"/>
        </w:rPr>
        <w:t>9.2 Se</w:t>
      </w:r>
      <w:r>
        <w:rPr>
          <w:rFonts w:ascii="Calibri" w:hAnsi="Calibri"/>
          <w:color w:val="1F4E79"/>
          <w:sz w:val="24"/>
        </w:rPr>
        <w:t>ctor-Specific Approvals</w:t>
      </w:r>
    </w:p>
    <w:p w:rsidR="00A17723" w:rsidRDefault="00016AF6">
      <w:pPr>
        <w:pStyle w:val="ListBullet"/>
      </w:pPr>
      <w:r>
        <w:t>Retail / distribution: sector licensing and outlet approvals may be required.</w:t>
      </w:r>
    </w:p>
    <w:p w:rsidR="00A17723" w:rsidRDefault="00016AF6">
      <w:pPr>
        <w:pStyle w:val="ListBullet"/>
      </w:pPr>
      <w:r>
        <w:t>Food / beverage / import-exposed products: food-safety and product-compliance rules apply.</w:t>
      </w:r>
    </w:p>
    <w:p w:rsidR="00A17723" w:rsidRDefault="00016AF6">
      <w:pPr>
        <w:pStyle w:val="ListBullet"/>
      </w:pPr>
      <w:r>
        <w:t xml:space="preserve">Education / training: specialist approvals and local operating </w:t>
      </w:r>
      <w:r>
        <w:t>conditions apply.</w:t>
      </w:r>
    </w:p>
    <w:p w:rsidR="00A17723" w:rsidRDefault="00016AF6">
      <w:pPr>
        <w:pStyle w:val="ListBullet"/>
      </w:pPr>
      <w:r>
        <w:t>Healthcare / pharma / medical devices: ministry and product-specific approvals are critical.</w:t>
      </w:r>
    </w:p>
    <w:p w:rsidR="00A17723" w:rsidRDefault="00016AF6">
      <w:pPr>
        <w:pStyle w:val="ListBullet"/>
      </w:pPr>
      <w:r>
        <w:t>Fintech / financial services / telecom: expect more intensive licensing and reporting.</w:t>
      </w:r>
    </w:p>
    <w:p w:rsidR="00A17723" w:rsidRDefault="00016AF6">
      <w:pPr>
        <w:pStyle w:val="Heading1"/>
      </w:pPr>
      <w:r>
        <w:rPr>
          <w:rFonts w:ascii="Calibri" w:hAnsi="Calibri"/>
          <w:color w:val="1F4E79"/>
        </w:rPr>
        <w:t>10. Taxation and Incentives</w:t>
      </w:r>
    </w:p>
    <w:p w:rsidR="00A17723" w:rsidRDefault="00016AF6">
      <w:pPr>
        <w:pStyle w:val="Heading2"/>
      </w:pPr>
      <w:r>
        <w:rPr>
          <w:rFonts w:ascii="Calibri" w:hAnsi="Calibri"/>
          <w:color w:val="1F4E79"/>
          <w:sz w:val="24"/>
        </w:rPr>
        <w:t>10.1 Overview of the Tax Syste</w:t>
      </w:r>
      <w:r>
        <w:rPr>
          <w:rFonts w:ascii="Calibri" w:hAnsi="Calibri"/>
          <w:color w:val="1F4E79"/>
          <w:sz w:val="24"/>
        </w:rPr>
        <w:t>m</w:t>
      </w:r>
    </w:p>
    <w:p w:rsidR="00A17723" w:rsidRDefault="00016AF6">
      <w:pPr>
        <w:spacing w:after="80" w:line="259" w:lineRule="auto"/>
      </w:pPr>
      <w:r>
        <w:t>Vietnam's tax system is administered through the Ministry of Finance and the General Department of Taxation. Core business taxes typically include corporate income tax, value added tax, personal income tax withholding, foreign contractor tax where releva</w:t>
      </w:r>
      <w:r>
        <w:t>nt, and customs duties for imports.</w:t>
      </w:r>
    </w:p>
    <w:p w:rsidR="00A17723" w:rsidRDefault="00016AF6">
      <w:pPr>
        <w:pStyle w:val="Heading2"/>
      </w:pPr>
      <w:r>
        <w:rPr>
          <w:rFonts w:ascii="Calibri" w:hAnsi="Calibri"/>
          <w:color w:val="1F4E79"/>
          <w:sz w:val="24"/>
        </w:rPr>
        <w:t>10.2 Corporate Income Tax</w:t>
      </w:r>
    </w:p>
    <w:tbl>
      <w:tblPr>
        <w:tblStyle w:val="TableGrid"/>
        <w:tblW w:w="0" w:type="auto"/>
        <w:jc w:val="center"/>
        <w:tblLook w:val="04A0" w:firstRow="1" w:lastRow="0" w:firstColumn="1" w:lastColumn="0" w:noHBand="0" w:noVBand="1"/>
      </w:tblPr>
      <w:tblGrid>
        <w:gridCol w:w="2016"/>
        <w:gridCol w:w="2304"/>
        <w:gridCol w:w="4320"/>
      </w:tblGrid>
      <w:tr w:rsidR="00A17723">
        <w:trPr>
          <w:jc w:val="center"/>
        </w:trPr>
        <w:tc>
          <w:tcPr>
            <w:tcW w:w="2016" w:type="dxa"/>
            <w:shd w:val="clear" w:color="auto" w:fill="1F4E79"/>
          </w:tcPr>
          <w:p w:rsidR="00A17723" w:rsidRDefault="00016AF6">
            <w:r>
              <w:rPr>
                <w:b/>
                <w:color w:val="FFFFFF"/>
                <w:sz w:val="18"/>
              </w:rPr>
              <w:t>Tax item</w:t>
            </w:r>
          </w:p>
        </w:tc>
        <w:tc>
          <w:tcPr>
            <w:tcW w:w="2304" w:type="dxa"/>
            <w:shd w:val="clear" w:color="auto" w:fill="1F4E79"/>
          </w:tcPr>
          <w:p w:rsidR="00A17723" w:rsidRDefault="00016AF6">
            <w:r>
              <w:rPr>
                <w:b/>
                <w:color w:val="FFFFFF"/>
                <w:sz w:val="18"/>
              </w:rPr>
              <w:t>Current position</w:t>
            </w:r>
          </w:p>
        </w:tc>
        <w:tc>
          <w:tcPr>
            <w:tcW w:w="4320" w:type="dxa"/>
            <w:shd w:val="clear" w:color="auto" w:fill="1F4E79"/>
          </w:tcPr>
          <w:p w:rsidR="00A17723" w:rsidRDefault="00016AF6">
            <w:r>
              <w:rPr>
                <w:b/>
                <w:color w:val="FFFFFF"/>
                <w:sz w:val="18"/>
              </w:rPr>
              <w:t>Notes</w:t>
            </w:r>
          </w:p>
        </w:tc>
      </w:tr>
      <w:tr w:rsidR="00A17723">
        <w:trPr>
          <w:jc w:val="center"/>
        </w:trPr>
        <w:tc>
          <w:tcPr>
            <w:tcW w:w="2016" w:type="dxa"/>
          </w:tcPr>
          <w:p w:rsidR="00A17723" w:rsidRDefault="00016AF6">
            <w:r>
              <w:rPr>
                <w:sz w:val="18"/>
              </w:rPr>
              <w:t>Standard CIT</w:t>
            </w:r>
          </w:p>
        </w:tc>
        <w:tc>
          <w:tcPr>
            <w:tcW w:w="2304" w:type="dxa"/>
          </w:tcPr>
          <w:p w:rsidR="00A17723" w:rsidRDefault="00016AF6">
            <w:r>
              <w:rPr>
                <w:sz w:val="18"/>
              </w:rPr>
              <w:t>20%</w:t>
            </w:r>
          </w:p>
        </w:tc>
        <w:tc>
          <w:tcPr>
            <w:tcW w:w="4320" w:type="dxa"/>
          </w:tcPr>
          <w:p w:rsidR="00A17723" w:rsidRDefault="00016AF6">
            <w:r>
              <w:rPr>
                <w:sz w:val="18"/>
              </w:rPr>
              <w:t>Baseline corporate rate.</w:t>
            </w:r>
          </w:p>
        </w:tc>
      </w:tr>
      <w:tr w:rsidR="00A17723">
        <w:trPr>
          <w:jc w:val="center"/>
        </w:trPr>
        <w:tc>
          <w:tcPr>
            <w:tcW w:w="2016" w:type="dxa"/>
          </w:tcPr>
          <w:p w:rsidR="00A17723" w:rsidRDefault="00016AF6">
            <w:r>
              <w:rPr>
                <w:sz w:val="18"/>
              </w:rPr>
              <w:t>Smaller-enterprise rates</w:t>
            </w:r>
          </w:p>
        </w:tc>
        <w:tc>
          <w:tcPr>
            <w:tcW w:w="2304" w:type="dxa"/>
          </w:tcPr>
          <w:p w:rsidR="00A17723" w:rsidRDefault="00016AF6">
            <w:r>
              <w:rPr>
                <w:sz w:val="18"/>
              </w:rPr>
              <w:t>15% / 17%</w:t>
            </w:r>
          </w:p>
        </w:tc>
        <w:tc>
          <w:tcPr>
            <w:tcW w:w="4320" w:type="dxa"/>
          </w:tcPr>
          <w:p w:rsidR="00A17723" w:rsidRDefault="00016AF6">
            <w:r>
              <w:rPr>
                <w:sz w:val="18"/>
              </w:rPr>
              <w:t>Qualifying revenue-based bands under the 2025 law.</w:t>
            </w:r>
          </w:p>
        </w:tc>
      </w:tr>
      <w:tr w:rsidR="00A17723">
        <w:trPr>
          <w:jc w:val="center"/>
        </w:trPr>
        <w:tc>
          <w:tcPr>
            <w:tcW w:w="2016" w:type="dxa"/>
          </w:tcPr>
          <w:p w:rsidR="00A17723" w:rsidRDefault="00016AF6">
            <w:r>
              <w:rPr>
                <w:sz w:val="18"/>
              </w:rPr>
              <w:t>Incentive rates</w:t>
            </w:r>
          </w:p>
        </w:tc>
        <w:tc>
          <w:tcPr>
            <w:tcW w:w="2304" w:type="dxa"/>
          </w:tcPr>
          <w:p w:rsidR="00A17723" w:rsidRDefault="00016AF6">
            <w:r>
              <w:rPr>
                <w:sz w:val="18"/>
              </w:rPr>
              <w:t>Project-dependent</w:t>
            </w:r>
          </w:p>
        </w:tc>
        <w:tc>
          <w:tcPr>
            <w:tcW w:w="4320" w:type="dxa"/>
          </w:tcPr>
          <w:p w:rsidR="00A17723" w:rsidRDefault="00016AF6">
            <w:r>
              <w:rPr>
                <w:sz w:val="18"/>
              </w:rPr>
              <w:t>May apply for qualifying investment projects, sectors, or locations.</w:t>
            </w:r>
          </w:p>
        </w:tc>
      </w:tr>
      <w:tr w:rsidR="00A17723">
        <w:trPr>
          <w:jc w:val="center"/>
        </w:trPr>
        <w:tc>
          <w:tcPr>
            <w:tcW w:w="2016" w:type="dxa"/>
          </w:tcPr>
          <w:p w:rsidR="00A17723" w:rsidRDefault="00016AF6">
            <w:r>
              <w:rPr>
                <w:sz w:val="18"/>
              </w:rPr>
              <w:t>Pillar Two</w:t>
            </w:r>
          </w:p>
        </w:tc>
        <w:tc>
          <w:tcPr>
            <w:tcW w:w="2304" w:type="dxa"/>
          </w:tcPr>
          <w:p w:rsidR="00A17723" w:rsidRDefault="00016AF6">
            <w:r>
              <w:rPr>
                <w:sz w:val="18"/>
              </w:rPr>
              <w:t>Possible for large MNEs</w:t>
            </w:r>
          </w:p>
        </w:tc>
        <w:tc>
          <w:tcPr>
            <w:tcW w:w="4320" w:type="dxa"/>
          </w:tcPr>
          <w:p w:rsidR="00A17723" w:rsidRDefault="00016AF6">
            <w:r>
              <w:rPr>
                <w:sz w:val="18"/>
              </w:rPr>
              <w:t>Additional rules can apply to in-scope groups.</w:t>
            </w:r>
          </w:p>
        </w:tc>
      </w:tr>
    </w:tbl>
    <w:p w:rsidR="00A17723" w:rsidRDefault="00016AF6">
      <w:pPr>
        <w:pStyle w:val="Heading2"/>
      </w:pPr>
      <w:r>
        <w:rPr>
          <w:rFonts w:ascii="Calibri" w:hAnsi="Calibri"/>
          <w:color w:val="1F4E79"/>
          <w:sz w:val="24"/>
        </w:rPr>
        <w:t>10.3 VAT</w:t>
      </w:r>
    </w:p>
    <w:p w:rsidR="00A17723" w:rsidRDefault="00016AF6">
      <w:pPr>
        <w:spacing w:after="80" w:line="259" w:lineRule="auto"/>
      </w:pPr>
      <w:r>
        <w:t xml:space="preserve">The standard VAT rate is 10%, with zero-rated treatment for certain exports </w:t>
      </w:r>
      <w:r>
        <w:t>and other preferential cases. Temporary VAT reductions may be available for eligible goods and services under current relief measures, so the rate should be confirmed at the time of filing.</w:t>
      </w:r>
    </w:p>
    <w:p w:rsidR="00A17723" w:rsidRDefault="00016AF6">
      <w:pPr>
        <w:pStyle w:val="Heading2"/>
      </w:pPr>
      <w:r>
        <w:rPr>
          <w:rFonts w:ascii="Calibri" w:hAnsi="Calibri"/>
          <w:color w:val="1F4E79"/>
          <w:sz w:val="24"/>
        </w:rPr>
        <w:t>10.4 Filing and Payment Deadlines</w:t>
      </w:r>
    </w:p>
    <w:p w:rsidR="00A17723" w:rsidRDefault="00016AF6">
      <w:pPr>
        <w:pStyle w:val="ListBullet"/>
      </w:pPr>
      <w:r>
        <w:t>Monthly tax declarations are gen</w:t>
      </w:r>
      <w:r>
        <w:t>erally due by the 20th day of the following month.</w:t>
      </w:r>
    </w:p>
    <w:p w:rsidR="00A17723" w:rsidRDefault="00016AF6">
      <w:pPr>
        <w:pStyle w:val="ListBullet"/>
      </w:pPr>
      <w:r>
        <w:t>Quarterly tax declarations are generally due by the last day of the first month of the following quarter.</w:t>
      </w:r>
    </w:p>
    <w:p w:rsidR="00A17723" w:rsidRDefault="00016AF6">
      <w:pPr>
        <w:pStyle w:val="ListBullet"/>
      </w:pPr>
      <w:r>
        <w:t>Annual tax finalization dossiers are generally due within 90 days from the end of the calendar year</w:t>
      </w:r>
      <w:r>
        <w:t xml:space="preserve"> or fiscal year.</w:t>
      </w:r>
    </w:p>
    <w:p w:rsidR="00A17723" w:rsidRDefault="00016AF6">
      <w:pPr>
        <w:pStyle w:val="ListBullet"/>
      </w:pPr>
      <w:r>
        <w:t>E-filing and local practice can affect the exact operational cut-off, so the taxpayer’s filing cycle should be checked carefully.</w:t>
      </w:r>
    </w:p>
    <w:p w:rsidR="00A17723" w:rsidRDefault="00016AF6">
      <w:pPr>
        <w:pStyle w:val="Heading2"/>
      </w:pPr>
      <w:r>
        <w:rPr>
          <w:rFonts w:ascii="Calibri" w:hAnsi="Calibri"/>
          <w:color w:val="1F4E79"/>
          <w:sz w:val="24"/>
        </w:rPr>
        <w:lastRenderedPageBreak/>
        <w:t>10.5 Tax Incentives and Reliefs</w:t>
      </w:r>
    </w:p>
    <w:p w:rsidR="00A17723" w:rsidRDefault="00016AF6">
      <w:pPr>
        <w:spacing w:after="80" w:line="259" w:lineRule="auto"/>
      </w:pPr>
      <w:r>
        <w:t>Vietnam offers incentives for qualifying projects in high-tech, supporting in</w:t>
      </w:r>
      <w:r>
        <w:t>dustries, R&amp;D, export-oriented production, and priority locations such as industrial zones, high-tech parks, and economic zones. Incentive packages should be reviewed project-by-project rather than assumed from the entity type alone.</w:t>
      </w:r>
    </w:p>
    <w:p w:rsidR="00A17723" w:rsidRDefault="00016AF6">
      <w:pPr>
        <w:pStyle w:val="Heading1"/>
      </w:pPr>
      <w:r>
        <w:rPr>
          <w:rFonts w:ascii="Calibri" w:hAnsi="Calibri"/>
          <w:color w:val="1F4E79"/>
        </w:rPr>
        <w:t xml:space="preserve">11. Banking, Finance, </w:t>
      </w:r>
      <w:r>
        <w:rPr>
          <w:rFonts w:ascii="Calibri" w:hAnsi="Calibri"/>
          <w:color w:val="1F4E79"/>
        </w:rPr>
        <w:t>and Repatriation</w:t>
      </w:r>
    </w:p>
    <w:p w:rsidR="00A17723" w:rsidRDefault="00016AF6">
      <w:pPr>
        <w:pStyle w:val="Heading2"/>
      </w:pPr>
      <w:r>
        <w:rPr>
          <w:rFonts w:ascii="Calibri" w:hAnsi="Calibri"/>
          <w:color w:val="1F4E79"/>
          <w:sz w:val="24"/>
        </w:rPr>
        <w:t>11.1 Opening Corporate Bank Accounts</w:t>
      </w:r>
    </w:p>
    <w:p w:rsidR="00A17723" w:rsidRDefault="00016AF6">
      <w:pPr>
        <w:spacing w:after="80" w:line="259" w:lineRule="auto"/>
      </w:pPr>
      <w:r>
        <w:t>Bank onboarding in Vietnam can be documentation-heavy, especially for foreign-owned entities. Banks typically request incorporation documents, charter, shareholder and beneficial-owner details, tax docu</w:t>
      </w:r>
      <w:r>
        <w:t>ments, proof of office address, and business descriptions. Parent-company documents often need legalisation and translation.</w:t>
      </w:r>
    </w:p>
    <w:p w:rsidR="00A17723" w:rsidRDefault="00016AF6">
      <w:pPr>
        <w:pStyle w:val="Heading2"/>
      </w:pPr>
      <w:r>
        <w:rPr>
          <w:rFonts w:ascii="Calibri" w:hAnsi="Calibri"/>
          <w:color w:val="1F4E79"/>
          <w:sz w:val="24"/>
        </w:rPr>
        <w:t>11.2 Funding Options</w:t>
      </w:r>
    </w:p>
    <w:p w:rsidR="00A17723" w:rsidRDefault="00016AF6">
      <w:pPr>
        <w:spacing w:after="80" w:line="259" w:lineRule="auto"/>
      </w:pPr>
      <w:r>
        <w:t>Funding can come from equity contribution, shareholder loans, intercompany arrangements, or local borrowing, s</w:t>
      </w:r>
      <w:r>
        <w:t>ubject to foreign-exchange, thin-capitalisation, and transfer-pricing considerations.</w:t>
      </w:r>
    </w:p>
    <w:p w:rsidR="00A17723" w:rsidRDefault="00016AF6">
      <w:pPr>
        <w:pStyle w:val="Heading2"/>
      </w:pPr>
      <w:r>
        <w:rPr>
          <w:rFonts w:ascii="Calibri" w:hAnsi="Calibri"/>
          <w:color w:val="1F4E79"/>
          <w:sz w:val="24"/>
        </w:rPr>
        <w:t>11.3 Repatriation Rules</w:t>
      </w:r>
    </w:p>
    <w:p w:rsidR="00A17723" w:rsidRDefault="00016AF6">
      <w:pPr>
        <w:spacing w:after="80" w:line="259" w:lineRule="auto"/>
      </w:pPr>
      <w:r>
        <w:t>Profits can generally be remitted abroad after tax and regulatory compliance, using authorised banks and proper source documentation. Dividends, r</w:t>
      </w:r>
      <w:r>
        <w:t>oyalties, service fees, and loan repayments should be structured carefully so that tax withholding, treaty relief, and bank documentation line up.</w:t>
      </w:r>
    </w:p>
    <w:p w:rsidR="00A17723" w:rsidRDefault="00016AF6">
      <w:pPr>
        <w:pStyle w:val="Heading1"/>
      </w:pPr>
      <w:r>
        <w:rPr>
          <w:rFonts w:ascii="Calibri" w:hAnsi="Calibri"/>
          <w:color w:val="1F4E79"/>
        </w:rPr>
        <w:t>12. Employment, Immigration, and Payroll</w:t>
      </w:r>
    </w:p>
    <w:p w:rsidR="00A17723" w:rsidRDefault="00016AF6">
      <w:pPr>
        <w:pStyle w:val="Heading2"/>
      </w:pPr>
      <w:r>
        <w:rPr>
          <w:rFonts w:ascii="Calibri" w:hAnsi="Calibri"/>
          <w:color w:val="1F4E79"/>
          <w:sz w:val="24"/>
        </w:rPr>
        <w:t>12.1 Key Employment Laws</w:t>
      </w:r>
    </w:p>
    <w:p w:rsidR="00A17723" w:rsidRDefault="00016AF6">
      <w:pPr>
        <w:spacing w:after="80" w:line="259" w:lineRule="auto"/>
      </w:pPr>
      <w:r>
        <w:t xml:space="preserve">Vietnamese employment rules are driven </w:t>
      </w:r>
      <w:r>
        <w:t>mainly by the Labour Code, social-insurance law, and implementing decrees. Working hours, overtime, leave, termination, and severance rules must be reviewed before hiring because they differ from India and from many common-law jurisdictions.</w:t>
      </w:r>
    </w:p>
    <w:p w:rsidR="00A17723" w:rsidRDefault="00016AF6">
      <w:pPr>
        <w:pStyle w:val="Heading2"/>
      </w:pPr>
      <w:r>
        <w:rPr>
          <w:rFonts w:ascii="Calibri" w:hAnsi="Calibri"/>
          <w:color w:val="1F4E79"/>
          <w:sz w:val="24"/>
        </w:rPr>
        <w:t>12.2 Immigrati</w:t>
      </w:r>
      <w:r>
        <w:rPr>
          <w:rFonts w:ascii="Calibri" w:hAnsi="Calibri"/>
          <w:color w:val="1F4E79"/>
          <w:sz w:val="24"/>
        </w:rPr>
        <w:t>on and Work Authorization</w:t>
      </w:r>
    </w:p>
    <w:p w:rsidR="00A17723" w:rsidRDefault="00016AF6">
      <w:pPr>
        <w:spacing w:after="80" w:line="259" w:lineRule="auto"/>
      </w:pPr>
      <w:r>
        <w:t>Foreign employees generally need work-permit compliance and the correct visa / residence pathway. The work-permit application should be filed at least 15 days before the proposed start date, and the authority generally issues a re</w:t>
      </w:r>
      <w:r>
        <w:t>sult within 5 working days after receiving a complete and valid application.</w:t>
      </w:r>
    </w:p>
    <w:p w:rsidR="00A17723" w:rsidRDefault="00016AF6">
      <w:pPr>
        <w:pStyle w:val="Heading2"/>
      </w:pPr>
      <w:r>
        <w:rPr>
          <w:rFonts w:ascii="Calibri" w:hAnsi="Calibri"/>
          <w:color w:val="1F4E79"/>
          <w:sz w:val="24"/>
        </w:rPr>
        <w:t>12.3 Payroll and HR Compliance</w:t>
      </w:r>
    </w:p>
    <w:p w:rsidR="00A17723" w:rsidRDefault="00016AF6">
      <w:pPr>
        <w:spacing w:after="80" w:line="259" w:lineRule="auto"/>
      </w:pPr>
      <w:r>
        <w:t>Payroll should be run with monthly withholding, social-insurance deductions where applicable, and year-end reconciliations. Foreign workers may be s</w:t>
      </w:r>
      <w:r>
        <w:t>ubject to compulsory social-insurance contributions depending on their status and the applicable law, so payroll design should be checked before the first hire.</w:t>
      </w:r>
    </w:p>
    <w:tbl>
      <w:tblPr>
        <w:tblStyle w:val="TableGrid"/>
        <w:tblW w:w="0" w:type="auto"/>
        <w:jc w:val="center"/>
        <w:tblLook w:val="04A0" w:firstRow="1" w:lastRow="0" w:firstColumn="1" w:lastColumn="0" w:noHBand="0" w:noVBand="1"/>
      </w:tblPr>
      <w:tblGrid>
        <w:gridCol w:w="2016"/>
        <w:gridCol w:w="3744"/>
        <w:gridCol w:w="2880"/>
      </w:tblGrid>
      <w:tr w:rsidR="00A17723">
        <w:trPr>
          <w:jc w:val="center"/>
        </w:trPr>
        <w:tc>
          <w:tcPr>
            <w:tcW w:w="2016" w:type="dxa"/>
            <w:shd w:val="clear" w:color="auto" w:fill="1F4E79"/>
          </w:tcPr>
          <w:p w:rsidR="00A17723" w:rsidRDefault="00016AF6">
            <w:r>
              <w:rPr>
                <w:b/>
                <w:color w:val="FFFFFF"/>
                <w:sz w:val="18"/>
              </w:rPr>
              <w:t>Payroll item</w:t>
            </w:r>
          </w:p>
        </w:tc>
        <w:tc>
          <w:tcPr>
            <w:tcW w:w="3744" w:type="dxa"/>
            <w:shd w:val="clear" w:color="auto" w:fill="1F4E79"/>
          </w:tcPr>
          <w:p w:rsidR="00A17723" w:rsidRDefault="00016AF6">
            <w:r>
              <w:rPr>
                <w:b/>
                <w:color w:val="FFFFFF"/>
                <w:sz w:val="18"/>
              </w:rPr>
              <w:t>Practical rule</w:t>
            </w:r>
          </w:p>
        </w:tc>
        <w:tc>
          <w:tcPr>
            <w:tcW w:w="2880" w:type="dxa"/>
            <w:shd w:val="clear" w:color="auto" w:fill="1F4E79"/>
          </w:tcPr>
          <w:p w:rsidR="00A17723" w:rsidRDefault="00016AF6">
            <w:r>
              <w:rPr>
                <w:b/>
                <w:color w:val="FFFFFF"/>
                <w:sz w:val="18"/>
              </w:rPr>
              <w:t>Authority / note</w:t>
            </w:r>
          </w:p>
        </w:tc>
      </w:tr>
      <w:tr w:rsidR="00A17723">
        <w:trPr>
          <w:jc w:val="center"/>
        </w:trPr>
        <w:tc>
          <w:tcPr>
            <w:tcW w:w="2016" w:type="dxa"/>
          </w:tcPr>
          <w:p w:rsidR="00A17723" w:rsidRDefault="00016AF6">
            <w:r>
              <w:rPr>
                <w:sz w:val="18"/>
              </w:rPr>
              <w:t>PIT withholding</w:t>
            </w:r>
          </w:p>
        </w:tc>
        <w:tc>
          <w:tcPr>
            <w:tcW w:w="3744" w:type="dxa"/>
          </w:tcPr>
          <w:p w:rsidR="00A17723" w:rsidRDefault="00016AF6">
            <w:r>
              <w:rPr>
                <w:sz w:val="18"/>
              </w:rPr>
              <w:t xml:space="preserve">Monthly / quarterly depending on </w:t>
            </w:r>
            <w:r>
              <w:rPr>
                <w:sz w:val="18"/>
              </w:rPr>
              <w:t>filing cycle</w:t>
            </w:r>
          </w:p>
        </w:tc>
        <w:tc>
          <w:tcPr>
            <w:tcW w:w="2880" w:type="dxa"/>
          </w:tcPr>
          <w:p w:rsidR="00A17723" w:rsidRDefault="00016AF6">
            <w:r>
              <w:rPr>
                <w:sz w:val="18"/>
              </w:rPr>
              <w:t>Tax authority</w:t>
            </w:r>
          </w:p>
        </w:tc>
      </w:tr>
      <w:tr w:rsidR="00A17723">
        <w:trPr>
          <w:jc w:val="center"/>
        </w:trPr>
        <w:tc>
          <w:tcPr>
            <w:tcW w:w="2016" w:type="dxa"/>
          </w:tcPr>
          <w:p w:rsidR="00A17723" w:rsidRDefault="00016AF6">
            <w:r>
              <w:rPr>
                <w:sz w:val="18"/>
              </w:rPr>
              <w:t>Social insurance</w:t>
            </w:r>
          </w:p>
        </w:tc>
        <w:tc>
          <w:tcPr>
            <w:tcW w:w="3744" w:type="dxa"/>
          </w:tcPr>
          <w:p w:rsidR="00A17723" w:rsidRDefault="00016AF6">
            <w:r>
              <w:rPr>
                <w:sz w:val="18"/>
              </w:rPr>
              <w:t>Monthly contributions where applicable</w:t>
            </w:r>
          </w:p>
        </w:tc>
        <w:tc>
          <w:tcPr>
            <w:tcW w:w="2880" w:type="dxa"/>
          </w:tcPr>
          <w:p w:rsidR="00A17723" w:rsidRDefault="00016AF6">
            <w:r>
              <w:rPr>
                <w:sz w:val="18"/>
              </w:rPr>
              <w:t>Vietnam Social Security</w:t>
            </w:r>
          </w:p>
        </w:tc>
      </w:tr>
      <w:tr w:rsidR="00A17723">
        <w:trPr>
          <w:jc w:val="center"/>
        </w:trPr>
        <w:tc>
          <w:tcPr>
            <w:tcW w:w="2016" w:type="dxa"/>
          </w:tcPr>
          <w:p w:rsidR="00A17723" w:rsidRDefault="00016AF6">
            <w:r>
              <w:rPr>
                <w:sz w:val="18"/>
              </w:rPr>
              <w:t>Work permit</w:t>
            </w:r>
          </w:p>
        </w:tc>
        <w:tc>
          <w:tcPr>
            <w:tcW w:w="3744" w:type="dxa"/>
          </w:tcPr>
          <w:p w:rsidR="00A17723" w:rsidRDefault="00016AF6">
            <w:r>
              <w:rPr>
                <w:sz w:val="18"/>
              </w:rPr>
              <w:t>File at least 15 days before start</w:t>
            </w:r>
          </w:p>
        </w:tc>
        <w:tc>
          <w:tcPr>
            <w:tcW w:w="2880" w:type="dxa"/>
          </w:tcPr>
          <w:p w:rsidR="00A17723" w:rsidRDefault="00016AF6">
            <w:r>
              <w:rPr>
                <w:sz w:val="18"/>
              </w:rPr>
              <w:t>Labour authority</w:t>
            </w:r>
          </w:p>
        </w:tc>
      </w:tr>
      <w:tr w:rsidR="00A17723">
        <w:trPr>
          <w:jc w:val="center"/>
        </w:trPr>
        <w:tc>
          <w:tcPr>
            <w:tcW w:w="2016" w:type="dxa"/>
          </w:tcPr>
          <w:p w:rsidR="00A17723" w:rsidRDefault="00016AF6">
            <w:r>
              <w:rPr>
                <w:sz w:val="18"/>
              </w:rPr>
              <w:t>Labour records</w:t>
            </w:r>
          </w:p>
        </w:tc>
        <w:tc>
          <w:tcPr>
            <w:tcW w:w="3744" w:type="dxa"/>
          </w:tcPr>
          <w:p w:rsidR="00A17723" w:rsidRDefault="00016AF6">
            <w:r>
              <w:rPr>
                <w:sz w:val="18"/>
              </w:rPr>
              <w:t>Maintain employee files and contracts</w:t>
            </w:r>
          </w:p>
        </w:tc>
        <w:tc>
          <w:tcPr>
            <w:tcW w:w="2880" w:type="dxa"/>
          </w:tcPr>
          <w:p w:rsidR="00A17723" w:rsidRDefault="00016AF6">
            <w:r>
              <w:rPr>
                <w:sz w:val="18"/>
              </w:rPr>
              <w:t>Company compliance</w:t>
            </w:r>
          </w:p>
        </w:tc>
      </w:tr>
    </w:tbl>
    <w:p w:rsidR="00A17723" w:rsidRDefault="00016AF6">
      <w:pPr>
        <w:pStyle w:val="Heading1"/>
      </w:pPr>
      <w:r>
        <w:rPr>
          <w:rFonts w:ascii="Calibri" w:hAnsi="Calibri"/>
          <w:color w:val="1F4E79"/>
        </w:rPr>
        <w:t xml:space="preserve">13. </w:t>
      </w:r>
      <w:r>
        <w:rPr>
          <w:rFonts w:ascii="Calibri" w:hAnsi="Calibri"/>
          <w:color w:val="1F4E79"/>
        </w:rPr>
        <w:t>Intellectual Property, Data, and Technology</w:t>
      </w:r>
    </w:p>
    <w:p w:rsidR="00A17723" w:rsidRDefault="00016AF6">
      <w:pPr>
        <w:pStyle w:val="Heading2"/>
      </w:pPr>
      <w:r>
        <w:rPr>
          <w:rFonts w:ascii="Calibri" w:hAnsi="Calibri"/>
          <w:color w:val="1F4E79"/>
          <w:sz w:val="24"/>
        </w:rPr>
        <w:t>13.1 IP Protection</w:t>
      </w:r>
    </w:p>
    <w:p w:rsidR="00A17723" w:rsidRDefault="00016AF6">
      <w:pPr>
        <w:spacing w:after="80" w:line="259" w:lineRule="auto"/>
      </w:pPr>
      <w:r>
        <w:t>Vietnam protects trademarks, patents, industrial designs, copyright, and trade secrets. Businesses should file early for brand names, product marks, software branding, and key technology assets</w:t>
      </w:r>
      <w:r>
        <w:t xml:space="preserve"> before market launch.</w:t>
      </w:r>
    </w:p>
    <w:p w:rsidR="00A17723" w:rsidRDefault="00016AF6">
      <w:pPr>
        <w:pStyle w:val="Heading2"/>
      </w:pPr>
      <w:r>
        <w:rPr>
          <w:rFonts w:ascii="Calibri" w:hAnsi="Calibri"/>
          <w:color w:val="1F4E79"/>
          <w:sz w:val="24"/>
        </w:rPr>
        <w:lastRenderedPageBreak/>
        <w:t>13.2 Data Protection and Privacy</w:t>
      </w:r>
    </w:p>
    <w:p w:rsidR="00A17723" w:rsidRDefault="00016AF6">
      <w:pPr>
        <w:spacing w:after="80" w:line="259" w:lineRule="auto"/>
      </w:pPr>
      <w:r>
        <w:t>Vietnam's personal-data regime requires careful handling of notices, consent or other lawful bases, cross-border transfer controls, breach-response planning, and retention management. Technology busin</w:t>
      </w:r>
      <w:r>
        <w:t>esses should build privacy compliance into product design and vendor contracts from the start.</w:t>
      </w:r>
    </w:p>
    <w:p w:rsidR="00A17723" w:rsidRDefault="00016AF6">
      <w:pPr>
        <w:pStyle w:val="Heading1"/>
      </w:pPr>
      <w:r>
        <w:rPr>
          <w:rFonts w:ascii="Calibri" w:hAnsi="Calibri"/>
          <w:color w:val="1F4E79"/>
        </w:rPr>
        <w:t>14. Commercial Contracts and Local Practices</w:t>
      </w:r>
    </w:p>
    <w:p w:rsidR="00A17723" w:rsidRDefault="00016AF6">
      <w:pPr>
        <w:spacing w:after="80" w:line="259" w:lineRule="auto"/>
      </w:pPr>
      <w:r>
        <w:t xml:space="preserve">Commercial contracts in Vietnam should be drafted with clear Vietnamese-law governing clauses, language provisions, </w:t>
      </w:r>
      <w:r>
        <w:t>payment terms, tax allocation, dispute resolution, and enforcement mechanics. Bilingual contracts are common, and the Vietnamese version should be carefully reviewed if used for filings or local enforcement.</w:t>
      </w:r>
    </w:p>
    <w:p w:rsidR="00A17723" w:rsidRDefault="00016AF6">
      <w:pPr>
        <w:spacing w:after="80" w:line="259" w:lineRule="auto"/>
      </w:pPr>
      <w:r>
        <w:t>For international deals, arbitration is often pr</w:t>
      </w:r>
      <w:r>
        <w:t>eferred over court litigation because it can be faster and more commercially predictable.</w:t>
      </w:r>
    </w:p>
    <w:p w:rsidR="00A17723" w:rsidRDefault="00016AF6">
      <w:pPr>
        <w:pStyle w:val="Heading1"/>
      </w:pPr>
      <w:r>
        <w:rPr>
          <w:rFonts w:ascii="Calibri" w:hAnsi="Calibri"/>
          <w:color w:val="1F4E79"/>
        </w:rPr>
        <w:t>15. Operations, Locations, and Economic Zones</w:t>
      </w:r>
    </w:p>
    <w:p w:rsidR="00A17723" w:rsidRDefault="00016AF6">
      <w:pPr>
        <w:pStyle w:val="Heading2"/>
      </w:pPr>
      <w:r>
        <w:rPr>
          <w:rFonts w:ascii="Calibri" w:hAnsi="Calibri"/>
          <w:color w:val="1F4E79"/>
          <w:sz w:val="24"/>
        </w:rPr>
        <w:t>15.1 Key Business Locations</w:t>
      </w:r>
    </w:p>
    <w:p w:rsidR="00A17723" w:rsidRDefault="00016AF6">
      <w:pPr>
        <w:spacing w:after="80" w:line="259" w:lineRule="auto"/>
      </w:pPr>
      <w:r>
        <w:t xml:space="preserve">Ho Chi Minh City, Hanoi, Da Nang, Hai Phong, Binh Duong, Dong Nai, and Bac Ninh are among </w:t>
      </w:r>
      <w:r>
        <w:t>the most commercially relevant locations for foreign investors. Industrial parks and export-processing zones are especially important for manufacturing and logistics.</w:t>
      </w:r>
    </w:p>
    <w:p w:rsidR="00A17723" w:rsidRDefault="00016AF6">
      <w:pPr>
        <w:pStyle w:val="Heading2"/>
      </w:pPr>
      <w:r>
        <w:rPr>
          <w:rFonts w:ascii="Calibri" w:hAnsi="Calibri"/>
          <w:color w:val="1F4E79"/>
          <w:sz w:val="24"/>
        </w:rPr>
        <w:t>15.2 Special Economic Zones and Industrial Zones</w:t>
      </w:r>
    </w:p>
    <w:p w:rsidR="00A17723" w:rsidRDefault="00016AF6">
      <w:pPr>
        <w:spacing w:after="80" w:line="259" w:lineRule="auto"/>
      </w:pPr>
      <w:r>
        <w:t>Vietnam's investment incentives are ofte</w:t>
      </w:r>
      <w:r>
        <w:t>n tied to project location, industrial-zone status, high-tech zone status, or special economic zones. The exact licence, land, customs, and tax benefits depend on the project rather than on a generic company label.</w:t>
      </w:r>
    </w:p>
    <w:p w:rsidR="00A17723" w:rsidRDefault="00016AF6">
      <w:pPr>
        <w:pStyle w:val="Heading1"/>
      </w:pPr>
      <w:r>
        <w:rPr>
          <w:rFonts w:ascii="Calibri" w:hAnsi="Calibri"/>
          <w:color w:val="1F4E79"/>
        </w:rPr>
        <w:t>16. Compliance Calendar and Ongoing Oblig</w:t>
      </w:r>
      <w:r>
        <w:rPr>
          <w:rFonts w:ascii="Calibri" w:hAnsi="Calibri"/>
          <w:color w:val="1F4E79"/>
        </w:rPr>
        <w:t>ations</w:t>
      </w:r>
    </w:p>
    <w:p w:rsidR="00A17723" w:rsidRDefault="00016AF6">
      <w:pPr>
        <w:spacing w:after="80" w:line="259" w:lineRule="auto"/>
      </w:pPr>
      <w:r>
        <w:t>Vietnam compliance obligations are spread across tax, corporate registration, labour, social insurance, immigration, and sector regulators. The calendar below assumes a calendar-year filer and should be adapted to each company’s tax period and opera</w:t>
      </w:r>
      <w:r>
        <w:t>tional footprint.</w:t>
      </w:r>
    </w:p>
    <w:p w:rsidR="00A17723" w:rsidRDefault="00016AF6">
      <w:pPr>
        <w:pStyle w:val="Heading2"/>
      </w:pPr>
      <w:r>
        <w:rPr>
          <w:rFonts w:ascii="Calibri" w:hAnsi="Calibri"/>
          <w:color w:val="1F4E79"/>
          <w:sz w:val="24"/>
        </w:rPr>
        <w:t>16.1 Periodic Compliance Obligations</w:t>
      </w:r>
    </w:p>
    <w:tbl>
      <w:tblPr>
        <w:tblStyle w:val="TableGrid"/>
        <w:tblW w:w="0" w:type="auto"/>
        <w:jc w:val="center"/>
        <w:tblLook w:val="04A0" w:firstRow="1" w:lastRow="0" w:firstColumn="1" w:lastColumn="0" w:noHBand="0" w:noVBand="1"/>
      </w:tblPr>
      <w:tblGrid>
        <w:gridCol w:w="3168"/>
        <w:gridCol w:w="1440"/>
        <w:gridCol w:w="3024"/>
        <w:gridCol w:w="2448"/>
      </w:tblGrid>
      <w:tr w:rsidR="00A17723">
        <w:trPr>
          <w:jc w:val="center"/>
        </w:trPr>
        <w:tc>
          <w:tcPr>
            <w:tcW w:w="3168" w:type="dxa"/>
            <w:shd w:val="clear" w:color="auto" w:fill="1F4E79"/>
          </w:tcPr>
          <w:p w:rsidR="00A17723" w:rsidRDefault="00016AF6">
            <w:r>
              <w:rPr>
                <w:b/>
                <w:color w:val="FFFFFF"/>
                <w:sz w:val="18"/>
              </w:rPr>
              <w:t>Filing / Obligation</w:t>
            </w:r>
          </w:p>
        </w:tc>
        <w:tc>
          <w:tcPr>
            <w:tcW w:w="1440" w:type="dxa"/>
            <w:shd w:val="clear" w:color="auto" w:fill="1F4E79"/>
          </w:tcPr>
          <w:p w:rsidR="00A17723" w:rsidRDefault="00016AF6">
            <w:r>
              <w:rPr>
                <w:b/>
                <w:color w:val="FFFFFF"/>
                <w:sz w:val="18"/>
              </w:rPr>
              <w:t>Frequency</w:t>
            </w:r>
          </w:p>
        </w:tc>
        <w:tc>
          <w:tcPr>
            <w:tcW w:w="3024" w:type="dxa"/>
            <w:shd w:val="clear" w:color="auto" w:fill="1F4E79"/>
          </w:tcPr>
          <w:p w:rsidR="00A17723" w:rsidRDefault="00016AF6">
            <w:r>
              <w:rPr>
                <w:b/>
                <w:color w:val="FFFFFF"/>
                <w:sz w:val="18"/>
              </w:rPr>
              <w:t>Due Date</w:t>
            </w:r>
          </w:p>
        </w:tc>
        <w:tc>
          <w:tcPr>
            <w:tcW w:w="2448" w:type="dxa"/>
            <w:shd w:val="clear" w:color="auto" w:fill="1F4E79"/>
          </w:tcPr>
          <w:p w:rsidR="00A17723" w:rsidRDefault="00016AF6">
            <w:r>
              <w:rPr>
                <w:b/>
                <w:color w:val="FFFFFF"/>
                <w:sz w:val="18"/>
              </w:rPr>
              <w:t>Authority</w:t>
            </w:r>
          </w:p>
        </w:tc>
      </w:tr>
      <w:tr w:rsidR="00A17723">
        <w:trPr>
          <w:jc w:val="center"/>
        </w:trPr>
        <w:tc>
          <w:tcPr>
            <w:tcW w:w="3168" w:type="dxa"/>
          </w:tcPr>
          <w:p w:rsidR="00A17723" w:rsidRDefault="00016AF6">
            <w:r>
              <w:rPr>
                <w:sz w:val="18"/>
              </w:rPr>
              <w:t>VAT declaration and payment</w:t>
            </w:r>
          </w:p>
        </w:tc>
        <w:tc>
          <w:tcPr>
            <w:tcW w:w="1440" w:type="dxa"/>
          </w:tcPr>
          <w:p w:rsidR="00A17723" w:rsidRDefault="00016AF6">
            <w:r>
              <w:rPr>
                <w:sz w:val="18"/>
              </w:rPr>
              <w:t>Monthly / quarterly</w:t>
            </w:r>
          </w:p>
        </w:tc>
        <w:tc>
          <w:tcPr>
            <w:tcW w:w="3024" w:type="dxa"/>
          </w:tcPr>
          <w:p w:rsidR="00A17723" w:rsidRDefault="00016AF6">
            <w:r>
              <w:rPr>
                <w:sz w:val="18"/>
              </w:rPr>
              <w:t>Monthly: 20th of following month; quarterly: last day of first month following quarter</w:t>
            </w:r>
          </w:p>
        </w:tc>
        <w:tc>
          <w:tcPr>
            <w:tcW w:w="2448" w:type="dxa"/>
          </w:tcPr>
          <w:p w:rsidR="00A17723" w:rsidRDefault="00016AF6">
            <w:r>
              <w:rPr>
                <w:sz w:val="18"/>
              </w:rPr>
              <w:t>Tax authority</w:t>
            </w:r>
          </w:p>
        </w:tc>
      </w:tr>
      <w:tr w:rsidR="00A17723">
        <w:trPr>
          <w:jc w:val="center"/>
        </w:trPr>
        <w:tc>
          <w:tcPr>
            <w:tcW w:w="3168" w:type="dxa"/>
          </w:tcPr>
          <w:p w:rsidR="00A17723" w:rsidRDefault="00016AF6">
            <w:r>
              <w:rPr>
                <w:sz w:val="18"/>
              </w:rPr>
              <w:t>PIT / WHT declaration and payment</w:t>
            </w:r>
          </w:p>
        </w:tc>
        <w:tc>
          <w:tcPr>
            <w:tcW w:w="1440" w:type="dxa"/>
          </w:tcPr>
          <w:p w:rsidR="00A17723" w:rsidRDefault="00016AF6">
            <w:r>
              <w:rPr>
                <w:sz w:val="18"/>
              </w:rPr>
              <w:t>Monthly / quarterly</w:t>
            </w:r>
          </w:p>
        </w:tc>
        <w:tc>
          <w:tcPr>
            <w:tcW w:w="3024" w:type="dxa"/>
          </w:tcPr>
          <w:p w:rsidR="00A17723" w:rsidRDefault="00016AF6">
            <w:r>
              <w:rPr>
                <w:sz w:val="18"/>
              </w:rPr>
              <w:t>Monthly: 20th of following month; quarterly if eligible</w:t>
            </w:r>
          </w:p>
        </w:tc>
        <w:tc>
          <w:tcPr>
            <w:tcW w:w="2448" w:type="dxa"/>
          </w:tcPr>
          <w:p w:rsidR="00A17723" w:rsidRDefault="00016AF6">
            <w:r>
              <w:rPr>
                <w:sz w:val="18"/>
              </w:rPr>
              <w:t>Tax authority</w:t>
            </w:r>
          </w:p>
        </w:tc>
      </w:tr>
      <w:tr w:rsidR="00A17723">
        <w:trPr>
          <w:jc w:val="center"/>
        </w:trPr>
        <w:tc>
          <w:tcPr>
            <w:tcW w:w="3168" w:type="dxa"/>
          </w:tcPr>
          <w:p w:rsidR="00A17723" w:rsidRDefault="00016AF6">
            <w:r>
              <w:rPr>
                <w:sz w:val="18"/>
              </w:rPr>
              <w:t>Provisional CIT payment</w:t>
            </w:r>
          </w:p>
        </w:tc>
        <w:tc>
          <w:tcPr>
            <w:tcW w:w="1440" w:type="dxa"/>
          </w:tcPr>
          <w:p w:rsidR="00A17723" w:rsidRDefault="00016AF6">
            <w:r>
              <w:rPr>
                <w:sz w:val="18"/>
              </w:rPr>
              <w:t>Quarterly</w:t>
            </w:r>
          </w:p>
        </w:tc>
        <w:tc>
          <w:tcPr>
            <w:tcW w:w="3024" w:type="dxa"/>
          </w:tcPr>
          <w:p w:rsidR="00A17723" w:rsidRDefault="00016AF6">
            <w:r>
              <w:rPr>
                <w:sz w:val="18"/>
              </w:rPr>
              <w:t>30th day of the month following quarter-end</w:t>
            </w:r>
          </w:p>
        </w:tc>
        <w:tc>
          <w:tcPr>
            <w:tcW w:w="2448" w:type="dxa"/>
          </w:tcPr>
          <w:p w:rsidR="00A17723" w:rsidRDefault="00016AF6">
            <w:r>
              <w:rPr>
                <w:sz w:val="18"/>
              </w:rPr>
              <w:t>Tax authority</w:t>
            </w:r>
          </w:p>
        </w:tc>
      </w:tr>
      <w:tr w:rsidR="00A17723">
        <w:trPr>
          <w:jc w:val="center"/>
        </w:trPr>
        <w:tc>
          <w:tcPr>
            <w:tcW w:w="3168" w:type="dxa"/>
          </w:tcPr>
          <w:p w:rsidR="00A17723" w:rsidRDefault="00016AF6">
            <w:r>
              <w:rPr>
                <w:sz w:val="18"/>
              </w:rPr>
              <w:t xml:space="preserve">Social insurance / health insurance / </w:t>
            </w:r>
            <w:r>
              <w:rPr>
                <w:sz w:val="18"/>
              </w:rPr>
              <w:t>unemployment insurance</w:t>
            </w:r>
          </w:p>
        </w:tc>
        <w:tc>
          <w:tcPr>
            <w:tcW w:w="1440" w:type="dxa"/>
          </w:tcPr>
          <w:p w:rsidR="00A17723" w:rsidRDefault="00016AF6">
            <w:r>
              <w:rPr>
                <w:sz w:val="18"/>
              </w:rPr>
              <w:t>Monthly</w:t>
            </w:r>
          </w:p>
        </w:tc>
        <w:tc>
          <w:tcPr>
            <w:tcW w:w="3024" w:type="dxa"/>
          </w:tcPr>
          <w:p w:rsidR="00A17723" w:rsidRDefault="00016AF6">
            <w:r>
              <w:rPr>
                <w:sz w:val="18"/>
              </w:rPr>
              <w:t>Monthly payroll cycle / local authority schedule</w:t>
            </w:r>
          </w:p>
        </w:tc>
        <w:tc>
          <w:tcPr>
            <w:tcW w:w="2448" w:type="dxa"/>
          </w:tcPr>
          <w:p w:rsidR="00A17723" w:rsidRDefault="00016AF6">
            <w:r>
              <w:rPr>
                <w:sz w:val="18"/>
              </w:rPr>
              <w:t>Vietnam Social Security</w:t>
            </w:r>
          </w:p>
        </w:tc>
      </w:tr>
      <w:tr w:rsidR="00A17723">
        <w:trPr>
          <w:jc w:val="center"/>
        </w:trPr>
        <w:tc>
          <w:tcPr>
            <w:tcW w:w="3168" w:type="dxa"/>
          </w:tcPr>
          <w:p w:rsidR="00A17723" w:rsidRDefault="00016AF6">
            <w:r>
              <w:rPr>
                <w:sz w:val="18"/>
              </w:rPr>
              <w:t>E-invoice reporting / invoice administration</w:t>
            </w:r>
          </w:p>
        </w:tc>
        <w:tc>
          <w:tcPr>
            <w:tcW w:w="1440" w:type="dxa"/>
          </w:tcPr>
          <w:p w:rsidR="00A17723" w:rsidRDefault="00016AF6">
            <w:r>
              <w:rPr>
                <w:sz w:val="18"/>
              </w:rPr>
              <w:t>Ongoing / periodic</w:t>
            </w:r>
          </w:p>
        </w:tc>
        <w:tc>
          <w:tcPr>
            <w:tcW w:w="3024" w:type="dxa"/>
          </w:tcPr>
          <w:p w:rsidR="00A17723" w:rsidRDefault="00016AF6">
            <w:r>
              <w:rPr>
                <w:sz w:val="18"/>
              </w:rPr>
              <w:t>Per invoicing rules</w:t>
            </w:r>
          </w:p>
        </w:tc>
        <w:tc>
          <w:tcPr>
            <w:tcW w:w="2448" w:type="dxa"/>
          </w:tcPr>
          <w:p w:rsidR="00A17723" w:rsidRDefault="00016AF6">
            <w:r>
              <w:rPr>
                <w:sz w:val="18"/>
              </w:rPr>
              <w:t>Tax authority</w:t>
            </w:r>
          </w:p>
        </w:tc>
      </w:tr>
      <w:tr w:rsidR="00A17723">
        <w:trPr>
          <w:jc w:val="center"/>
        </w:trPr>
        <w:tc>
          <w:tcPr>
            <w:tcW w:w="3168" w:type="dxa"/>
          </w:tcPr>
          <w:p w:rsidR="00A17723" w:rsidRDefault="00016AF6">
            <w:r>
              <w:rPr>
                <w:sz w:val="18"/>
              </w:rPr>
              <w:t>Work permit renewals and labour filings</w:t>
            </w:r>
          </w:p>
        </w:tc>
        <w:tc>
          <w:tcPr>
            <w:tcW w:w="1440" w:type="dxa"/>
          </w:tcPr>
          <w:p w:rsidR="00A17723" w:rsidRDefault="00016AF6">
            <w:r>
              <w:rPr>
                <w:sz w:val="18"/>
              </w:rPr>
              <w:t>Periodic</w:t>
            </w:r>
          </w:p>
        </w:tc>
        <w:tc>
          <w:tcPr>
            <w:tcW w:w="3024" w:type="dxa"/>
          </w:tcPr>
          <w:p w:rsidR="00A17723" w:rsidRDefault="00016AF6">
            <w:r>
              <w:rPr>
                <w:sz w:val="18"/>
              </w:rPr>
              <w:t>Before expiry / before employment start</w:t>
            </w:r>
          </w:p>
        </w:tc>
        <w:tc>
          <w:tcPr>
            <w:tcW w:w="2448" w:type="dxa"/>
          </w:tcPr>
          <w:p w:rsidR="00A17723" w:rsidRDefault="00016AF6">
            <w:r>
              <w:rPr>
                <w:sz w:val="18"/>
              </w:rPr>
              <w:t>Labour authority</w:t>
            </w:r>
          </w:p>
        </w:tc>
      </w:tr>
    </w:tbl>
    <w:p w:rsidR="00A17723" w:rsidRDefault="00016AF6">
      <w:pPr>
        <w:pStyle w:val="Heading2"/>
      </w:pPr>
      <w:r>
        <w:rPr>
          <w:rFonts w:ascii="Calibri" w:hAnsi="Calibri"/>
          <w:color w:val="1F4E79"/>
          <w:sz w:val="24"/>
        </w:rPr>
        <w:t>16.2 Annual Compliance Obligations</w:t>
      </w:r>
    </w:p>
    <w:tbl>
      <w:tblPr>
        <w:tblStyle w:val="TableGrid"/>
        <w:tblW w:w="0" w:type="auto"/>
        <w:jc w:val="center"/>
        <w:tblLook w:val="04A0" w:firstRow="1" w:lastRow="0" w:firstColumn="1" w:lastColumn="0" w:noHBand="0" w:noVBand="1"/>
      </w:tblPr>
      <w:tblGrid>
        <w:gridCol w:w="2962"/>
        <w:gridCol w:w="1982"/>
        <w:gridCol w:w="2540"/>
        <w:gridCol w:w="2956"/>
      </w:tblGrid>
      <w:tr w:rsidR="00A17723">
        <w:trPr>
          <w:jc w:val="center"/>
        </w:trPr>
        <w:tc>
          <w:tcPr>
            <w:tcW w:w="3024" w:type="dxa"/>
            <w:shd w:val="clear" w:color="auto" w:fill="1F4E79"/>
          </w:tcPr>
          <w:p w:rsidR="00A17723" w:rsidRDefault="00016AF6">
            <w:r>
              <w:rPr>
                <w:b/>
                <w:color w:val="FFFFFF"/>
                <w:sz w:val="18"/>
              </w:rPr>
              <w:t>Filing / Obligation</w:t>
            </w:r>
          </w:p>
        </w:tc>
        <w:tc>
          <w:tcPr>
            <w:tcW w:w="2016" w:type="dxa"/>
            <w:shd w:val="clear" w:color="auto" w:fill="1F4E79"/>
          </w:tcPr>
          <w:p w:rsidR="00A17723" w:rsidRDefault="00016AF6">
            <w:r>
              <w:rPr>
                <w:b/>
                <w:color w:val="FFFFFF"/>
                <w:sz w:val="18"/>
              </w:rPr>
              <w:t>Due Date</w:t>
            </w:r>
          </w:p>
        </w:tc>
        <w:tc>
          <w:tcPr>
            <w:tcW w:w="2592" w:type="dxa"/>
            <w:shd w:val="clear" w:color="auto" w:fill="1F4E79"/>
          </w:tcPr>
          <w:p w:rsidR="00A17723" w:rsidRDefault="00016AF6">
            <w:r>
              <w:rPr>
                <w:b/>
                <w:color w:val="FFFFFF"/>
                <w:sz w:val="18"/>
              </w:rPr>
              <w:t>Authority</w:t>
            </w:r>
          </w:p>
        </w:tc>
        <w:tc>
          <w:tcPr>
            <w:tcW w:w="3024" w:type="dxa"/>
            <w:shd w:val="clear" w:color="auto" w:fill="1F4E79"/>
          </w:tcPr>
          <w:p w:rsidR="00A17723" w:rsidRDefault="00016AF6">
            <w:r>
              <w:rPr>
                <w:b/>
                <w:color w:val="FFFFFF"/>
                <w:sz w:val="18"/>
              </w:rPr>
              <w:t>Notes</w:t>
            </w:r>
          </w:p>
        </w:tc>
      </w:tr>
      <w:tr w:rsidR="00A17723">
        <w:trPr>
          <w:jc w:val="center"/>
        </w:trPr>
        <w:tc>
          <w:tcPr>
            <w:tcW w:w="3024" w:type="dxa"/>
          </w:tcPr>
          <w:p w:rsidR="00A17723" w:rsidRDefault="00016AF6">
            <w:r>
              <w:rPr>
                <w:sz w:val="18"/>
              </w:rPr>
              <w:t>Annual corporate income tax finalization</w:t>
            </w:r>
          </w:p>
        </w:tc>
        <w:tc>
          <w:tcPr>
            <w:tcW w:w="2016" w:type="dxa"/>
          </w:tcPr>
          <w:p w:rsidR="00A17723" w:rsidRDefault="00016AF6">
            <w:r>
              <w:rPr>
                <w:sz w:val="18"/>
              </w:rPr>
              <w:t>Within 90 days from year-end</w:t>
            </w:r>
          </w:p>
        </w:tc>
        <w:tc>
          <w:tcPr>
            <w:tcW w:w="2592" w:type="dxa"/>
          </w:tcPr>
          <w:p w:rsidR="00A17723" w:rsidRDefault="00016AF6">
            <w:r>
              <w:rPr>
                <w:sz w:val="18"/>
              </w:rPr>
              <w:t>Tax authority</w:t>
            </w:r>
          </w:p>
        </w:tc>
        <w:tc>
          <w:tcPr>
            <w:tcW w:w="3024" w:type="dxa"/>
          </w:tcPr>
          <w:p w:rsidR="00A17723" w:rsidRDefault="00016AF6">
            <w:r>
              <w:rPr>
                <w:sz w:val="18"/>
              </w:rPr>
              <w:t>Applies to calendar and fiscal ye</w:t>
            </w:r>
            <w:r>
              <w:rPr>
                <w:sz w:val="18"/>
              </w:rPr>
              <w:t>ar filers.</w:t>
            </w:r>
          </w:p>
        </w:tc>
      </w:tr>
      <w:tr w:rsidR="00A17723">
        <w:trPr>
          <w:jc w:val="center"/>
        </w:trPr>
        <w:tc>
          <w:tcPr>
            <w:tcW w:w="3024" w:type="dxa"/>
          </w:tcPr>
          <w:p w:rsidR="00A17723" w:rsidRDefault="00016AF6">
            <w:r>
              <w:rPr>
                <w:sz w:val="18"/>
              </w:rPr>
              <w:t>Annual PIT finalization</w:t>
            </w:r>
          </w:p>
        </w:tc>
        <w:tc>
          <w:tcPr>
            <w:tcW w:w="2016" w:type="dxa"/>
          </w:tcPr>
          <w:p w:rsidR="00A17723" w:rsidRDefault="00016AF6">
            <w:r>
              <w:rPr>
                <w:sz w:val="18"/>
              </w:rPr>
              <w:t xml:space="preserve">Generally by 31 March following year for </w:t>
            </w:r>
            <w:r>
              <w:rPr>
                <w:sz w:val="18"/>
              </w:rPr>
              <w:lastRenderedPageBreak/>
              <w:t>annual individual finalization</w:t>
            </w:r>
          </w:p>
        </w:tc>
        <w:tc>
          <w:tcPr>
            <w:tcW w:w="2592" w:type="dxa"/>
          </w:tcPr>
          <w:p w:rsidR="00A17723" w:rsidRDefault="00016AF6">
            <w:r>
              <w:rPr>
                <w:sz w:val="18"/>
              </w:rPr>
              <w:lastRenderedPageBreak/>
              <w:t>Tax authority</w:t>
            </w:r>
          </w:p>
        </w:tc>
        <w:tc>
          <w:tcPr>
            <w:tcW w:w="3024" w:type="dxa"/>
          </w:tcPr>
          <w:p w:rsidR="00A17723" w:rsidRDefault="00016AF6">
            <w:r>
              <w:rPr>
                <w:sz w:val="18"/>
              </w:rPr>
              <w:t>Employer finalization duties depend on the case.</w:t>
            </w:r>
          </w:p>
        </w:tc>
      </w:tr>
      <w:tr w:rsidR="00A17723">
        <w:trPr>
          <w:jc w:val="center"/>
        </w:trPr>
        <w:tc>
          <w:tcPr>
            <w:tcW w:w="3024" w:type="dxa"/>
          </w:tcPr>
          <w:p w:rsidR="00A17723" w:rsidRDefault="00016AF6">
            <w:r>
              <w:rPr>
                <w:sz w:val="18"/>
              </w:rPr>
              <w:lastRenderedPageBreak/>
              <w:t>Annual financial statements / audit</w:t>
            </w:r>
          </w:p>
        </w:tc>
        <w:tc>
          <w:tcPr>
            <w:tcW w:w="2016" w:type="dxa"/>
          </w:tcPr>
          <w:p w:rsidR="00A17723" w:rsidRDefault="00016AF6">
            <w:r>
              <w:rPr>
                <w:sz w:val="18"/>
              </w:rPr>
              <w:t>Within the statutory / lender / charter timeline</w:t>
            </w:r>
          </w:p>
        </w:tc>
        <w:tc>
          <w:tcPr>
            <w:tcW w:w="2592" w:type="dxa"/>
          </w:tcPr>
          <w:p w:rsidR="00A17723" w:rsidRDefault="00016AF6">
            <w:r>
              <w:rPr>
                <w:sz w:val="18"/>
              </w:rPr>
              <w:t>Company / auditor / authority</w:t>
            </w:r>
          </w:p>
        </w:tc>
        <w:tc>
          <w:tcPr>
            <w:tcW w:w="3024" w:type="dxa"/>
          </w:tcPr>
          <w:p w:rsidR="00A17723" w:rsidRDefault="00016AF6">
            <w:r>
              <w:rPr>
                <w:sz w:val="18"/>
              </w:rPr>
              <w:t>Exact deadline depends on entity and licensing conditions.</w:t>
            </w:r>
          </w:p>
        </w:tc>
      </w:tr>
      <w:tr w:rsidR="00A17723">
        <w:trPr>
          <w:jc w:val="center"/>
        </w:trPr>
        <w:tc>
          <w:tcPr>
            <w:tcW w:w="3024" w:type="dxa"/>
          </w:tcPr>
          <w:p w:rsidR="00A17723" w:rsidRDefault="00016AF6">
            <w:r>
              <w:rPr>
                <w:sz w:val="18"/>
              </w:rPr>
              <w:t>UBO information maintenance</w:t>
            </w:r>
          </w:p>
        </w:tc>
        <w:tc>
          <w:tcPr>
            <w:tcW w:w="2016" w:type="dxa"/>
          </w:tcPr>
          <w:p w:rsidR="00A17723" w:rsidRDefault="00016AF6">
            <w:r>
              <w:rPr>
                <w:sz w:val="18"/>
              </w:rPr>
              <w:t>Within 10 days of change</w:t>
            </w:r>
          </w:p>
        </w:tc>
        <w:tc>
          <w:tcPr>
            <w:tcW w:w="2592" w:type="dxa"/>
          </w:tcPr>
          <w:p w:rsidR="00A17723" w:rsidRDefault="00016AF6">
            <w:r>
              <w:rPr>
                <w:sz w:val="18"/>
              </w:rPr>
              <w:t>Business registration authority</w:t>
            </w:r>
          </w:p>
        </w:tc>
        <w:tc>
          <w:tcPr>
            <w:tcW w:w="3024" w:type="dxa"/>
          </w:tcPr>
          <w:p w:rsidR="00A17723" w:rsidRDefault="00016AF6">
            <w:r>
              <w:rPr>
                <w:sz w:val="18"/>
              </w:rPr>
              <w:t>Update beneficial owner details promptly.</w:t>
            </w:r>
          </w:p>
        </w:tc>
      </w:tr>
      <w:tr w:rsidR="00A17723">
        <w:trPr>
          <w:jc w:val="center"/>
        </w:trPr>
        <w:tc>
          <w:tcPr>
            <w:tcW w:w="3024" w:type="dxa"/>
          </w:tcPr>
          <w:p w:rsidR="00A17723" w:rsidRDefault="00016AF6">
            <w:r>
              <w:rPr>
                <w:sz w:val="18"/>
              </w:rPr>
              <w:t>Business registration changes</w:t>
            </w:r>
          </w:p>
        </w:tc>
        <w:tc>
          <w:tcPr>
            <w:tcW w:w="2016" w:type="dxa"/>
          </w:tcPr>
          <w:p w:rsidR="00A17723" w:rsidRDefault="00016AF6">
            <w:r>
              <w:rPr>
                <w:sz w:val="18"/>
              </w:rPr>
              <w:t xml:space="preserve">Within </w:t>
            </w:r>
            <w:r>
              <w:rPr>
                <w:sz w:val="18"/>
              </w:rPr>
              <w:t>10 days of change</w:t>
            </w:r>
          </w:p>
        </w:tc>
        <w:tc>
          <w:tcPr>
            <w:tcW w:w="2592" w:type="dxa"/>
          </w:tcPr>
          <w:p w:rsidR="00A17723" w:rsidRDefault="00016AF6">
            <w:r>
              <w:rPr>
                <w:sz w:val="18"/>
              </w:rPr>
              <w:t>Business registration authority</w:t>
            </w:r>
          </w:p>
        </w:tc>
        <w:tc>
          <w:tcPr>
            <w:tcW w:w="3024" w:type="dxa"/>
          </w:tcPr>
          <w:p w:rsidR="00A17723" w:rsidRDefault="00016AF6">
            <w:r>
              <w:rPr>
                <w:sz w:val="18"/>
              </w:rPr>
              <w:t>Covers ownership / charter / address / legal-rep changes.</w:t>
            </w:r>
          </w:p>
        </w:tc>
      </w:tr>
    </w:tbl>
    <w:p w:rsidR="00A17723" w:rsidRDefault="00016AF6">
      <w:pPr>
        <w:pStyle w:val="Heading2"/>
      </w:pPr>
      <w:r>
        <w:rPr>
          <w:rFonts w:ascii="Calibri" w:hAnsi="Calibri"/>
          <w:color w:val="1F4E79"/>
          <w:sz w:val="24"/>
        </w:rPr>
        <w:t>January</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Filing / 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Jan</w:t>
            </w:r>
          </w:p>
        </w:tc>
        <w:tc>
          <w:tcPr>
            <w:tcW w:w="5184" w:type="dxa"/>
          </w:tcPr>
          <w:p w:rsidR="00A17723" w:rsidRDefault="00016AF6">
            <w:r>
              <w:rPr>
                <w:sz w:val="18"/>
              </w:rPr>
              <w:t>VAT / PIT / WHT filings for December (if monthly filer)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30 Jan</w:t>
            </w:r>
          </w:p>
        </w:tc>
        <w:tc>
          <w:tcPr>
            <w:tcW w:w="5184" w:type="dxa"/>
          </w:tcPr>
          <w:p w:rsidR="00A17723" w:rsidRDefault="00016AF6">
            <w:r>
              <w:rPr>
                <w:sz w:val="18"/>
              </w:rPr>
              <w:t>Quarterly provisional CIT payment for Q4 previous year (if applicable)</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Jan</w:t>
            </w:r>
          </w:p>
        </w:tc>
        <w:tc>
          <w:tcPr>
            <w:tcW w:w="5184" w:type="dxa"/>
          </w:tcPr>
          <w:p w:rsidR="00A17723" w:rsidRDefault="00016AF6">
            <w:r>
              <w:rPr>
                <w:sz w:val="18"/>
              </w:rPr>
              <w:t>Monthly social-insurance payroll compliance</w:t>
            </w:r>
          </w:p>
        </w:tc>
        <w:tc>
          <w:tcPr>
            <w:tcW w:w="2592" w:type="dxa"/>
          </w:tcPr>
          <w:p w:rsidR="00A17723" w:rsidRDefault="00016AF6">
            <w:r>
              <w:rPr>
                <w:sz w:val="18"/>
              </w:rPr>
              <w:t>Vietnam Social Security</w:t>
            </w:r>
          </w:p>
        </w:tc>
      </w:tr>
    </w:tbl>
    <w:p w:rsidR="00A17723" w:rsidRDefault="00016AF6">
      <w:pPr>
        <w:pStyle w:val="Heading2"/>
      </w:pPr>
      <w:r>
        <w:rPr>
          <w:rFonts w:ascii="Calibri" w:hAnsi="Calibri"/>
          <w:color w:val="1F4E79"/>
          <w:sz w:val="24"/>
        </w:rPr>
        <w:t>February</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Filing / 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Feb</w:t>
            </w:r>
          </w:p>
        </w:tc>
        <w:tc>
          <w:tcPr>
            <w:tcW w:w="5184" w:type="dxa"/>
          </w:tcPr>
          <w:p w:rsidR="00A17723" w:rsidRDefault="00016AF6">
            <w:r>
              <w:rPr>
                <w:sz w:val="18"/>
              </w:rPr>
              <w:t xml:space="preserve">VAT / PIT / WHT filings </w:t>
            </w:r>
            <w:r>
              <w:rPr>
                <w:sz w:val="18"/>
              </w:rPr>
              <w:t>for January (if monthly filer)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Feb</w:t>
            </w:r>
          </w:p>
        </w:tc>
        <w:tc>
          <w:tcPr>
            <w:tcW w:w="5184" w:type="dxa"/>
          </w:tcPr>
          <w:p w:rsidR="00A17723" w:rsidRDefault="00016AF6">
            <w:r>
              <w:rPr>
                <w:sz w:val="18"/>
              </w:rPr>
              <w:t>Work-permit expiry checks and renewals where needed</w:t>
            </w:r>
          </w:p>
        </w:tc>
        <w:tc>
          <w:tcPr>
            <w:tcW w:w="2592" w:type="dxa"/>
          </w:tcPr>
          <w:p w:rsidR="00A17723" w:rsidRDefault="00016AF6">
            <w:r>
              <w:rPr>
                <w:sz w:val="18"/>
              </w:rPr>
              <w:t>Labour authority</w:t>
            </w:r>
          </w:p>
        </w:tc>
      </w:tr>
      <w:tr w:rsidR="00A17723">
        <w:trPr>
          <w:jc w:val="center"/>
        </w:trPr>
        <w:tc>
          <w:tcPr>
            <w:tcW w:w="1584" w:type="dxa"/>
          </w:tcPr>
          <w:p w:rsidR="00A17723" w:rsidRDefault="00016AF6">
            <w:r>
              <w:rPr>
                <w:sz w:val="18"/>
              </w:rPr>
              <w:t>Throughout Feb</w:t>
            </w:r>
          </w:p>
        </w:tc>
        <w:tc>
          <w:tcPr>
            <w:tcW w:w="5184" w:type="dxa"/>
          </w:tcPr>
          <w:p w:rsidR="00A17723" w:rsidRDefault="00016AF6">
            <w:r>
              <w:rPr>
                <w:sz w:val="18"/>
              </w:rPr>
              <w:t>Invoice / e-invoice and accounting close for January</w:t>
            </w:r>
          </w:p>
        </w:tc>
        <w:tc>
          <w:tcPr>
            <w:tcW w:w="2592" w:type="dxa"/>
          </w:tcPr>
          <w:p w:rsidR="00A17723" w:rsidRDefault="00016AF6">
            <w:r>
              <w:rPr>
                <w:sz w:val="18"/>
              </w:rPr>
              <w:t>Company</w:t>
            </w:r>
          </w:p>
        </w:tc>
      </w:tr>
    </w:tbl>
    <w:p w:rsidR="00A17723" w:rsidRDefault="00016AF6">
      <w:pPr>
        <w:pStyle w:val="Heading2"/>
      </w:pPr>
      <w:r>
        <w:rPr>
          <w:rFonts w:ascii="Calibri" w:hAnsi="Calibri"/>
          <w:color w:val="1F4E79"/>
          <w:sz w:val="24"/>
        </w:rPr>
        <w:t>March</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Filing / 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Mar</w:t>
            </w:r>
          </w:p>
        </w:tc>
        <w:tc>
          <w:tcPr>
            <w:tcW w:w="5184" w:type="dxa"/>
          </w:tcPr>
          <w:p w:rsidR="00A17723" w:rsidRDefault="00016AF6">
            <w:r>
              <w:rPr>
                <w:sz w:val="18"/>
              </w:rPr>
              <w:t>VAT / PIT / WHT filings for February (if monthly filer)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31 Mar</w:t>
            </w:r>
          </w:p>
        </w:tc>
        <w:tc>
          <w:tcPr>
            <w:tcW w:w="5184" w:type="dxa"/>
          </w:tcPr>
          <w:p w:rsidR="00A17723" w:rsidRDefault="00016AF6">
            <w:r>
              <w:rPr>
                <w:sz w:val="18"/>
              </w:rPr>
              <w:t>Annual PIT finalization for individuals (where applicable)</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Mar</w:t>
            </w:r>
          </w:p>
        </w:tc>
        <w:tc>
          <w:tcPr>
            <w:tcW w:w="5184" w:type="dxa"/>
          </w:tcPr>
          <w:p w:rsidR="00A17723" w:rsidRDefault="00016AF6">
            <w:r>
              <w:rPr>
                <w:sz w:val="18"/>
              </w:rPr>
              <w:t>Quarter-end close and compliance review</w:t>
            </w:r>
          </w:p>
        </w:tc>
        <w:tc>
          <w:tcPr>
            <w:tcW w:w="2592" w:type="dxa"/>
          </w:tcPr>
          <w:p w:rsidR="00A17723" w:rsidRDefault="00016AF6">
            <w:r>
              <w:rPr>
                <w:sz w:val="18"/>
              </w:rPr>
              <w:t>Company</w:t>
            </w:r>
          </w:p>
        </w:tc>
      </w:tr>
    </w:tbl>
    <w:p w:rsidR="00A17723" w:rsidRDefault="00016AF6">
      <w:pPr>
        <w:pStyle w:val="Heading2"/>
      </w:pPr>
      <w:r>
        <w:rPr>
          <w:rFonts w:ascii="Calibri" w:hAnsi="Calibri"/>
          <w:color w:val="1F4E79"/>
          <w:sz w:val="24"/>
        </w:rPr>
        <w:t>April</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Filing / 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Apr</w:t>
            </w:r>
          </w:p>
        </w:tc>
        <w:tc>
          <w:tcPr>
            <w:tcW w:w="5184" w:type="dxa"/>
          </w:tcPr>
          <w:p w:rsidR="00A17723" w:rsidRDefault="00016AF6">
            <w:r>
              <w:rPr>
                <w:sz w:val="18"/>
              </w:rPr>
              <w:t>VAT / PIT / WHT filings for March (if monthly filer)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30 Apr</w:t>
            </w:r>
          </w:p>
        </w:tc>
        <w:tc>
          <w:tcPr>
            <w:tcW w:w="5184" w:type="dxa"/>
          </w:tcPr>
          <w:p w:rsidR="00A17723" w:rsidRDefault="00016AF6">
            <w:r>
              <w:rPr>
                <w:sz w:val="18"/>
              </w:rPr>
              <w:t>Quarterly provisional CIT payment for Q1</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Apr</w:t>
            </w:r>
          </w:p>
        </w:tc>
        <w:tc>
          <w:tcPr>
            <w:tcW w:w="5184" w:type="dxa"/>
          </w:tcPr>
          <w:p w:rsidR="00A17723" w:rsidRDefault="00016AF6">
            <w:r>
              <w:rPr>
                <w:sz w:val="18"/>
              </w:rPr>
              <w:t>Board / management review of Q1 financial and tax position</w:t>
            </w:r>
          </w:p>
        </w:tc>
        <w:tc>
          <w:tcPr>
            <w:tcW w:w="2592" w:type="dxa"/>
          </w:tcPr>
          <w:p w:rsidR="00A17723" w:rsidRDefault="00016AF6">
            <w:r>
              <w:rPr>
                <w:sz w:val="18"/>
              </w:rPr>
              <w:t>Company</w:t>
            </w:r>
          </w:p>
        </w:tc>
      </w:tr>
    </w:tbl>
    <w:p w:rsidR="00A17723" w:rsidRDefault="00016AF6">
      <w:pPr>
        <w:pStyle w:val="Heading2"/>
      </w:pPr>
      <w:r>
        <w:rPr>
          <w:rFonts w:ascii="Calibri" w:hAnsi="Calibri"/>
          <w:color w:val="1F4E79"/>
          <w:sz w:val="24"/>
        </w:rPr>
        <w:t>May</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Filing / 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May</w:t>
            </w:r>
          </w:p>
        </w:tc>
        <w:tc>
          <w:tcPr>
            <w:tcW w:w="5184" w:type="dxa"/>
          </w:tcPr>
          <w:p w:rsidR="00A17723" w:rsidRDefault="00016AF6">
            <w:r>
              <w:rPr>
                <w:sz w:val="18"/>
              </w:rPr>
              <w:t>VAT / PIT / WHT filings for April (if monthly filer)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May</w:t>
            </w:r>
          </w:p>
        </w:tc>
        <w:tc>
          <w:tcPr>
            <w:tcW w:w="5184" w:type="dxa"/>
          </w:tcPr>
          <w:p w:rsidR="00A17723" w:rsidRDefault="00016AF6">
            <w:r>
              <w:rPr>
                <w:sz w:val="18"/>
              </w:rPr>
              <w:t>Prepare first-half corporate tax provisioning</w:t>
            </w:r>
          </w:p>
        </w:tc>
        <w:tc>
          <w:tcPr>
            <w:tcW w:w="2592" w:type="dxa"/>
          </w:tcPr>
          <w:p w:rsidR="00A17723" w:rsidRDefault="00016AF6">
            <w:r>
              <w:rPr>
                <w:sz w:val="18"/>
              </w:rPr>
              <w:t>Company / tax adviser</w:t>
            </w:r>
          </w:p>
        </w:tc>
      </w:tr>
      <w:tr w:rsidR="00A17723">
        <w:trPr>
          <w:jc w:val="center"/>
        </w:trPr>
        <w:tc>
          <w:tcPr>
            <w:tcW w:w="1584" w:type="dxa"/>
          </w:tcPr>
          <w:p w:rsidR="00A17723" w:rsidRDefault="00016AF6">
            <w:r>
              <w:rPr>
                <w:sz w:val="18"/>
              </w:rPr>
              <w:t>Throughout May</w:t>
            </w:r>
          </w:p>
        </w:tc>
        <w:tc>
          <w:tcPr>
            <w:tcW w:w="5184" w:type="dxa"/>
          </w:tcPr>
          <w:p w:rsidR="00A17723" w:rsidRDefault="00016AF6">
            <w:r>
              <w:rPr>
                <w:sz w:val="18"/>
              </w:rPr>
              <w:t xml:space="preserve">Check licence anniversary and </w:t>
            </w:r>
            <w:r>
              <w:rPr>
                <w:sz w:val="18"/>
              </w:rPr>
              <w:t>document renewals</w:t>
            </w:r>
          </w:p>
        </w:tc>
        <w:tc>
          <w:tcPr>
            <w:tcW w:w="2592" w:type="dxa"/>
          </w:tcPr>
          <w:p w:rsidR="00A17723" w:rsidRDefault="00016AF6">
            <w:r>
              <w:rPr>
                <w:sz w:val="18"/>
              </w:rPr>
              <w:t>Business registration authority</w:t>
            </w:r>
          </w:p>
        </w:tc>
      </w:tr>
    </w:tbl>
    <w:p w:rsidR="00A17723" w:rsidRDefault="00016AF6">
      <w:pPr>
        <w:pStyle w:val="Heading2"/>
      </w:pPr>
      <w:r>
        <w:rPr>
          <w:rFonts w:ascii="Calibri" w:hAnsi="Calibri"/>
          <w:color w:val="1F4E79"/>
          <w:sz w:val="24"/>
        </w:rPr>
        <w:t>June</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Filing / 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Jun</w:t>
            </w:r>
          </w:p>
        </w:tc>
        <w:tc>
          <w:tcPr>
            <w:tcW w:w="5184" w:type="dxa"/>
          </w:tcPr>
          <w:p w:rsidR="00A17723" w:rsidRDefault="00016AF6">
            <w:r>
              <w:rPr>
                <w:sz w:val="18"/>
              </w:rPr>
              <w:t>VAT / PIT / WHT filings for May (if monthly filer)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Jun</w:t>
            </w:r>
          </w:p>
        </w:tc>
        <w:tc>
          <w:tcPr>
            <w:tcW w:w="5184" w:type="dxa"/>
          </w:tcPr>
          <w:p w:rsidR="00A17723" w:rsidRDefault="00016AF6">
            <w:r>
              <w:rPr>
                <w:sz w:val="18"/>
              </w:rPr>
              <w:t>Social-insurance contribution reconciliation</w:t>
            </w:r>
          </w:p>
        </w:tc>
        <w:tc>
          <w:tcPr>
            <w:tcW w:w="2592" w:type="dxa"/>
          </w:tcPr>
          <w:p w:rsidR="00A17723" w:rsidRDefault="00016AF6">
            <w:r>
              <w:rPr>
                <w:sz w:val="18"/>
              </w:rPr>
              <w:t>Vietnam Social Securi</w:t>
            </w:r>
            <w:r>
              <w:rPr>
                <w:sz w:val="18"/>
              </w:rPr>
              <w:t>ty</w:t>
            </w:r>
          </w:p>
        </w:tc>
      </w:tr>
      <w:tr w:rsidR="00A17723">
        <w:trPr>
          <w:jc w:val="center"/>
        </w:trPr>
        <w:tc>
          <w:tcPr>
            <w:tcW w:w="1584" w:type="dxa"/>
          </w:tcPr>
          <w:p w:rsidR="00A17723" w:rsidRDefault="00016AF6">
            <w:r>
              <w:rPr>
                <w:sz w:val="18"/>
              </w:rPr>
              <w:t>Throughout Jun</w:t>
            </w:r>
          </w:p>
        </w:tc>
        <w:tc>
          <w:tcPr>
            <w:tcW w:w="5184" w:type="dxa"/>
          </w:tcPr>
          <w:p w:rsidR="00A17723" w:rsidRDefault="00016AF6">
            <w:r>
              <w:rPr>
                <w:sz w:val="18"/>
              </w:rPr>
              <w:t>Foreign-worker / visa renewal tracking</w:t>
            </w:r>
          </w:p>
        </w:tc>
        <w:tc>
          <w:tcPr>
            <w:tcW w:w="2592" w:type="dxa"/>
          </w:tcPr>
          <w:p w:rsidR="00A17723" w:rsidRDefault="00016AF6">
            <w:r>
              <w:rPr>
                <w:sz w:val="18"/>
              </w:rPr>
              <w:t>Labour / immigration authorities</w:t>
            </w:r>
          </w:p>
        </w:tc>
      </w:tr>
    </w:tbl>
    <w:p w:rsidR="00A17723" w:rsidRDefault="00016AF6">
      <w:pPr>
        <w:pStyle w:val="Heading2"/>
      </w:pPr>
      <w:r>
        <w:rPr>
          <w:rFonts w:ascii="Calibri" w:hAnsi="Calibri"/>
          <w:color w:val="1F4E79"/>
          <w:sz w:val="24"/>
        </w:rPr>
        <w:t>July</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Filing / 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Jul</w:t>
            </w:r>
          </w:p>
        </w:tc>
        <w:tc>
          <w:tcPr>
            <w:tcW w:w="5184" w:type="dxa"/>
          </w:tcPr>
          <w:p w:rsidR="00A17723" w:rsidRDefault="00016AF6">
            <w:r>
              <w:rPr>
                <w:sz w:val="18"/>
              </w:rPr>
              <w:t>VAT / PIT / WHT filings for June (if monthly filer)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30 Jul</w:t>
            </w:r>
          </w:p>
        </w:tc>
        <w:tc>
          <w:tcPr>
            <w:tcW w:w="5184" w:type="dxa"/>
          </w:tcPr>
          <w:p w:rsidR="00A17723" w:rsidRDefault="00016AF6">
            <w:r>
              <w:rPr>
                <w:sz w:val="18"/>
              </w:rPr>
              <w:t xml:space="preserve">Quarterly provisional CIT </w:t>
            </w:r>
            <w:r>
              <w:rPr>
                <w:sz w:val="18"/>
              </w:rPr>
              <w:t>payment for Q2</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Jul</w:t>
            </w:r>
          </w:p>
        </w:tc>
        <w:tc>
          <w:tcPr>
            <w:tcW w:w="5184" w:type="dxa"/>
          </w:tcPr>
          <w:p w:rsidR="00A17723" w:rsidRDefault="00016AF6">
            <w:r>
              <w:rPr>
                <w:sz w:val="18"/>
              </w:rPr>
              <w:t>Mid-year legal and accounting review</w:t>
            </w:r>
          </w:p>
        </w:tc>
        <w:tc>
          <w:tcPr>
            <w:tcW w:w="2592" w:type="dxa"/>
          </w:tcPr>
          <w:p w:rsidR="00A17723" w:rsidRDefault="00016AF6">
            <w:r>
              <w:rPr>
                <w:sz w:val="18"/>
              </w:rPr>
              <w:t>Company</w:t>
            </w:r>
          </w:p>
        </w:tc>
      </w:tr>
    </w:tbl>
    <w:p w:rsidR="00A17723" w:rsidRDefault="00016AF6">
      <w:pPr>
        <w:pStyle w:val="Heading2"/>
      </w:pPr>
      <w:r>
        <w:rPr>
          <w:rFonts w:ascii="Calibri" w:hAnsi="Calibri"/>
          <w:color w:val="1F4E79"/>
          <w:sz w:val="24"/>
        </w:rPr>
        <w:t>August</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Filing / 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Aug</w:t>
            </w:r>
          </w:p>
        </w:tc>
        <w:tc>
          <w:tcPr>
            <w:tcW w:w="5184" w:type="dxa"/>
          </w:tcPr>
          <w:p w:rsidR="00A17723" w:rsidRDefault="00016AF6">
            <w:r>
              <w:rPr>
                <w:sz w:val="18"/>
              </w:rPr>
              <w:t>VAT / PIT / WHT filings for July (if monthly filer)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Aug</w:t>
            </w:r>
          </w:p>
        </w:tc>
        <w:tc>
          <w:tcPr>
            <w:tcW w:w="5184" w:type="dxa"/>
          </w:tcPr>
          <w:p w:rsidR="00A17723" w:rsidRDefault="00016AF6">
            <w:r>
              <w:rPr>
                <w:sz w:val="18"/>
              </w:rPr>
              <w:t xml:space="preserve">Confirm e-invoice use </w:t>
            </w:r>
            <w:r>
              <w:rPr>
                <w:sz w:val="18"/>
              </w:rPr>
              <w:t>and bookkeeping completeness</w:t>
            </w:r>
          </w:p>
        </w:tc>
        <w:tc>
          <w:tcPr>
            <w:tcW w:w="2592" w:type="dxa"/>
          </w:tcPr>
          <w:p w:rsidR="00A17723" w:rsidRDefault="00016AF6">
            <w:r>
              <w:rPr>
                <w:sz w:val="18"/>
              </w:rPr>
              <w:t>Company</w:t>
            </w:r>
          </w:p>
        </w:tc>
      </w:tr>
      <w:tr w:rsidR="00A17723">
        <w:trPr>
          <w:jc w:val="center"/>
        </w:trPr>
        <w:tc>
          <w:tcPr>
            <w:tcW w:w="1584" w:type="dxa"/>
          </w:tcPr>
          <w:p w:rsidR="00A17723" w:rsidRDefault="00016AF6">
            <w:r>
              <w:rPr>
                <w:sz w:val="18"/>
              </w:rPr>
              <w:lastRenderedPageBreak/>
              <w:t>Throughout Aug</w:t>
            </w:r>
          </w:p>
        </w:tc>
        <w:tc>
          <w:tcPr>
            <w:tcW w:w="5184" w:type="dxa"/>
          </w:tcPr>
          <w:p w:rsidR="00A17723" w:rsidRDefault="00016AF6">
            <w:r>
              <w:rPr>
                <w:sz w:val="18"/>
              </w:rPr>
              <w:t>Update beneficial-owner records if any changes occurred</w:t>
            </w:r>
          </w:p>
        </w:tc>
        <w:tc>
          <w:tcPr>
            <w:tcW w:w="2592" w:type="dxa"/>
          </w:tcPr>
          <w:p w:rsidR="00A17723" w:rsidRDefault="00016AF6">
            <w:r>
              <w:rPr>
                <w:sz w:val="18"/>
              </w:rPr>
              <w:t>Business registration authority</w:t>
            </w:r>
          </w:p>
        </w:tc>
      </w:tr>
    </w:tbl>
    <w:p w:rsidR="00A17723" w:rsidRDefault="00016AF6">
      <w:pPr>
        <w:pStyle w:val="Heading2"/>
      </w:pPr>
      <w:r>
        <w:rPr>
          <w:rFonts w:ascii="Calibri" w:hAnsi="Calibri"/>
          <w:color w:val="1F4E79"/>
          <w:sz w:val="24"/>
        </w:rPr>
        <w:t>September</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Filing / 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Sep</w:t>
            </w:r>
          </w:p>
        </w:tc>
        <w:tc>
          <w:tcPr>
            <w:tcW w:w="5184" w:type="dxa"/>
          </w:tcPr>
          <w:p w:rsidR="00A17723" w:rsidRDefault="00016AF6">
            <w:r>
              <w:rPr>
                <w:sz w:val="18"/>
              </w:rPr>
              <w:t>VAT / PIT / WHT filings for August (if monthly file</w:t>
            </w:r>
            <w:r>
              <w:rPr>
                <w:sz w:val="18"/>
              </w:rPr>
              <w:t>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Sep</w:t>
            </w:r>
          </w:p>
        </w:tc>
        <w:tc>
          <w:tcPr>
            <w:tcW w:w="5184" w:type="dxa"/>
          </w:tcPr>
          <w:p w:rsidR="00A17723" w:rsidRDefault="00016AF6">
            <w:r>
              <w:rPr>
                <w:sz w:val="18"/>
              </w:rPr>
              <w:t>Quarter-end compliance review</w:t>
            </w:r>
          </w:p>
        </w:tc>
        <w:tc>
          <w:tcPr>
            <w:tcW w:w="2592" w:type="dxa"/>
          </w:tcPr>
          <w:p w:rsidR="00A17723" w:rsidRDefault="00016AF6">
            <w:r>
              <w:rPr>
                <w:sz w:val="18"/>
              </w:rPr>
              <w:t>Company</w:t>
            </w:r>
          </w:p>
        </w:tc>
      </w:tr>
      <w:tr w:rsidR="00A17723">
        <w:trPr>
          <w:jc w:val="center"/>
        </w:trPr>
        <w:tc>
          <w:tcPr>
            <w:tcW w:w="1584" w:type="dxa"/>
          </w:tcPr>
          <w:p w:rsidR="00A17723" w:rsidRDefault="00016AF6">
            <w:r>
              <w:rPr>
                <w:sz w:val="18"/>
              </w:rPr>
              <w:t>Throughout Sep</w:t>
            </w:r>
          </w:p>
        </w:tc>
        <w:tc>
          <w:tcPr>
            <w:tcW w:w="5184" w:type="dxa"/>
          </w:tcPr>
          <w:p w:rsidR="00A17723" w:rsidRDefault="00016AF6">
            <w:r>
              <w:rPr>
                <w:sz w:val="18"/>
              </w:rPr>
              <w:t>Check foreign loan / remittance documentation</w:t>
            </w:r>
          </w:p>
        </w:tc>
        <w:tc>
          <w:tcPr>
            <w:tcW w:w="2592" w:type="dxa"/>
          </w:tcPr>
          <w:p w:rsidR="00A17723" w:rsidRDefault="00016AF6">
            <w:r>
              <w:rPr>
                <w:sz w:val="18"/>
              </w:rPr>
              <w:t>Bank / company</w:t>
            </w:r>
          </w:p>
        </w:tc>
      </w:tr>
    </w:tbl>
    <w:p w:rsidR="00A17723" w:rsidRDefault="00016AF6">
      <w:pPr>
        <w:pStyle w:val="Heading2"/>
      </w:pPr>
      <w:r>
        <w:rPr>
          <w:rFonts w:ascii="Calibri" w:hAnsi="Calibri"/>
          <w:color w:val="1F4E79"/>
          <w:sz w:val="24"/>
        </w:rPr>
        <w:t>October</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Filing / 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Oct</w:t>
            </w:r>
          </w:p>
        </w:tc>
        <w:tc>
          <w:tcPr>
            <w:tcW w:w="5184" w:type="dxa"/>
          </w:tcPr>
          <w:p w:rsidR="00A17723" w:rsidRDefault="00016AF6">
            <w:r>
              <w:rPr>
                <w:sz w:val="18"/>
              </w:rPr>
              <w:t xml:space="preserve">VAT / PIT / WHT filings for September (if </w:t>
            </w:r>
            <w:r>
              <w:rPr>
                <w:sz w:val="18"/>
              </w:rPr>
              <w:t>monthly filer)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30 Oct</w:t>
            </w:r>
          </w:p>
        </w:tc>
        <w:tc>
          <w:tcPr>
            <w:tcW w:w="5184" w:type="dxa"/>
          </w:tcPr>
          <w:p w:rsidR="00A17723" w:rsidRDefault="00016AF6">
            <w:r>
              <w:rPr>
                <w:sz w:val="18"/>
              </w:rPr>
              <w:t>Quarterly provisional CIT payment for Q3</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Oct</w:t>
            </w:r>
          </w:p>
        </w:tc>
        <w:tc>
          <w:tcPr>
            <w:tcW w:w="5184" w:type="dxa"/>
          </w:tcPr>
          <w:p w:rsidR="00A17723" w:rsidRDefault="00016AF6">
            <w:r>
              <w:rPr>
                <w:sz w:val="18"/>
              </w:rPr>
              <w:t>Review upcoming year-end tax finalization plan</w:t>
            </w:r>
          </w:p>
        </w:tc>
        <w:tc>
          <w:tcPr>
            <w:tcW w:w="2592" w:type="dxa"/>
          </w:tcPr>
          <w:p w:rsidR="00A17723" w:rsidRDefault="00016AF6">
            <w:r>
              <w:rPr>
                <w:sz w:val="18"/>
              </w:rPr>
              <w:t>Company / tax adviser</w:t>
            </w:r>
          </w:p>
        </w:tc>
      </w:tr>
    </w:tbl>
    <w:p w:rsidR="00A17723" w:rsidRDefault="00016AF6">
      <w:pPr>
        <w:pStyle w:val="Heading2"/>
      </w:pPr>
      <w:r>
        <w:rPr>
          <w:rFonts w:ascii="Calibri" w:hAnsi="Calibri"/>
          <w:color w:val="1F4E79"/>
          <w:sz w:val="24"/>
        </w:rPr>
        <w:t>November</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Filing / 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Nov</w:t>
            </w:r>
          </w:p>
        </w:tc>
        <w:tc>
          <w:tcPr>
            <w:tcW w:w="5184" w:type="dxa"/>
          </w:tcPr>
          <w:p w:rsidR="00A17723" w:rsidRDefault="00016AF6">
            <w:r>
              <w:rPr>
                <w:sz w:val="18"/>
              </w:rPr>
              <w:t xml:space="preserve">VAT / PIT / WHT </w:t>
            </w:r>
            <w:r>
              <w:rPr>
                <w:sz w:val="18"/>
              </w:rPr>
              <w:t>filings for October (if monthly filer)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Nov</w:t>
            </w:r>
          </w:p>
        </w:tc>
        <w:tc>
          <w:tcPr>
            <w:tcW w:w="5184" w:type="dxa"/>
          </w:tcPr>
          <w:p w:rsidR="00A17723" w:rsidRDefault="00016AF6">
            <w:r>
              <w:rPr>
                <w:sz w:val="18"/>
              </w:rPr>
              <w:t>Audit planning and year-end accounting clean-up</w:t>
            </w:r>
          </w:p>
        </w:tc>
        <w:tc>
          <w:tcPr>
            <w:tcW w:w="2592" w:type="dxa"/>
          </w:tcPr>
          <w:p w:rsidR="00A17723" w:rsidRDefault="00016AF6">
            <w:r>
              <w:rPr>
                <w:sz w:val="18"/>
              </w:rPr>
              <w:t>Company / auditor</w:t>
            </w:r>
          </w:p>
        </w:tc>
      </w:tr>
      <w:tr w:rsidR="00A17723">
        <w:trPr>
          <w:jc w:val="center"/>
        </w:trPr>
        <w:tc>
          <w:tcPr>
            <w:tcW w:w="1584" w:type="dxa"/>
          </w:tcPr>
          <w:p w:rsidR="00A17723" w:rsidRDefault="00016AF6">
            <w:r>
              <w:rPr>
                <w:sz w:val="18"/>
              </w:rPr>
              <w:t>Throughout Nov</w:t>
            </w:r>
          </w:p>
        </w:tc>
        <w:tc>
          <w:tcPr>
            <w:tcW w:w="5184" w:type="dxa"/>
          </w:tcPr>
          <w:p w:rsidR="00A17723" w:rsidRDefault="00016AF6">
            <w:r>
              <w:rPr>
                <w:sz w:val="18"/>
              </w:rPr>
              <w:t>Check all permits, leases, and registrations for renewal dates</w:t>
            </w:r>
          </w:p>
        </w:tc>
        <w:tc>
          <w:tcPr>
            <w:tcW w:w="2592" w:type="dxa"/>
          </w:tcPr>
          <w:p w:rsidR="00A17723" w:rsidRDefault="00016AF6">
            <w:r>
              <w:rPr>
                <w:sz w:val="18"/>
              </w:rPr>
              <w:t>Company</w:t>
            </w:r>
          </w:p>
        </w:tc>
      </w:tr>
    </w:tbl>
    <w:p w:rsidR="00A17723" w:rsidRDefault="00016AF6">
      <w:pPr>
        <w:pStyle w:val="Heading2"/>
      </w:pPr>
      <w:r>
        <w:rPr>
          <w:rFonts w:ascii="Calibri" w:hAnsi="Calibri"/>
          <w:color w:val="1F4E79"/>
          <w:sz w:val="24"/>
        </w:rPr>
        <w:t>December</w:t>
      </w:r>
    </w:p>
    <w:tbl>
      <w:tblPr>
        <w:tblStyle w:val="TableGrid"/>
        <w:tblW w:w="0" w:type="auto"/>
        <w:jc w:val="center"/>
        <w:tblLook w:val="04A0" w:firstRow="1" w:lastRow="0" w:firstColumn="1" w:lastColumn="0" w:noHBand="0" w:noVBand="1"/>
      </w:tblPr>
      <w:tblGrid>
        <w:gridCol w:w="1584"/>
        <w:gridCol w:w="5184"/>
        <w:gridCol w:w="2592"/>
      </w:tblGrid>
      <w:tr w:rsidR="00A17723">
        <w:trPr>
          <w:jc w:val="center"/>
        </w:trPr>
        <w:tc>
          <w:tcPr>
            <w:tcW w:w="1584" w:type="dxa"/>
            <w:shd w:val="clear" w:color="auto" w:fill="1F4E79"/>
          </w:tcPr>
          <w:p w:rsidR="00A17723" w:rsidRDefault="00016AF6">
            <w:r>
              <w:rPr>
                <w:b/>
                <w:color w:val="FFFFFF"/>
                <w:sz w:val="18"/>
              </w:rPr>
              <w:t>Date / trigger</w:t>
            </w:r>
          </w:p>
        </w:tc>
        <w:tc>
          <w:tcPr>
            <w:tcW w:w="5184" w:type="dxa"/>
            <w:shd w:val="clear" w:color="auto" w:fill="1F4E79"/>
          </w:tcPr>
          <w:p w:rsidR="00A17723" w:rsidRDefault="00016AF6">
            <w:r>
              <w:rPr>
                <w:b/>
                <w:color w:val="FFFFFF"/>
                <w:sz w:val="18"/>
              </w:rPr>
              <w:t xml:space="preserve">Filing / </w:t>
            </w:r>
            <w:r>
              <w:rPr>
                <w:b/>
                <w:color w:val="FFFFFF"/>
                <w:sz w:val="18"/>
              </w:rPr>
              <w:t>obligation</w:t>
            </w:r>
          </w:p>
        </w:tc>
        <w:tc>
          <w:tcPr>
            <w:tcW w:w="2592" w:type="dxa"/>
            <w:shd w:val="clear" w:color="auto" w:fill="1F4E79"/>
          </w:tcPr>
          <w:p w:rsidR="00A17723" w:rsidRDefault="00016AF6">
            <w:r>
              <w:rPr>
                <w:b/>
                <w:color w:val="FFFFFF"/>
                <w:sz w:val="18"/>
              </w:rPr>
              <w:t>Authority</w:t>
            </w:r>
          </w:p>
        </w:tc>
      </w:tr>
      <w:tr w:rsidR="00A17723">
        <w:trPr>
          <w:jc w:val="center"/>
        </w:trPr>
        <w:tc>
          <w:tcPr>
            <w:tcW w:w="1584" w:type="dxa"/>
          </w:tcPr>
          <w:p w:rsidR="00A17723" w:rsidRDefault="00016AF6">
            <w:r>
              <w:rPr>
                <w:sz w:val="18"/>
              </w:rPr>
              <w:t>20 Dec</w:t>
            </w:r>
          </w:p>
        </w:tc>
        <w:tc>
          <w:tcPr>
            <w:tcW w:w="5184" w:type="dxa"/>
          </w:tcPr>
          <w:p w:rsidR="00A17723" w:rsidRDefault="00016AF6">
            <w:r>
              <w:rPr>
                <w:sz w:val="18"/>
              </w:rPr>
              <w:t>VAT / PIT / WHT filings for November (if monthly filer)</w:t>
            </w:r>
          </w:p>
        </w:tc>
        <w:tc>
          <w:tcPr>
            <w:tcW w:w="2592" w:type="dxa"/>
          </w:tcPr>
          <w:p w:rsidR="00A17723" w:rsidRDefault="00016AF6">
            <w:r>
              <w:rPr>
                <w:sz w:val="18"/>
              </w:rPr>
              <w:t>Tax authority</w:t>
            </w:r>
          </w:p>
        </w:tc>
      </w:tr>
      <w:tr w:rsidR="00A17723">
        <w:trPr>
          <w:jc w:val="center"/>
        </w:trPr>
        <w:tc>
          <w:tcPr>
            <w:tcW w:w="1584" w:type="dxa"/>
          </w:tcPr>
          <w:p w:rsidR="00A17723" w:rsidRDefault="00016AF6">
            <w:r>
              <w:rPr>
                <w:sz w:val="18"/>
              </w:rPr>
              <w:t>Throughout Dec</w:t>
            </w:r>
          </w:p>
        </w:tc>
        <w:tc>
          <w:tcPr>
            <w:tcW w:w="5184" w:type="dxa"/>
          </w:tcPr>
          <w:p w:rsidR="00A17723" w:rsidRDefault="00016AF6">
            <w:r>
              <w:rPr>
                <w:sz w:val="18"/>
              </w:rPr>
              <w:t>Year-end close, inventory, and provisioning</w:t>
            </w:r>
          </w:p>
        </w:tc>
        <w:tc>
          <w:tcPr>
            <w:tcW w:w="2592" w:type="dxa"/>
          </w:tcPr>
          <w:p w:rsidR="00A17723" w:rsidRDefault="00016AF6">
            <w:r>
              <w:rPr>
                <w:sz w:val="18"/>
              </w:rPr>
              <w:t>Company</w:t>
            </w:r>
          </w:p>
        </w:tc>
      </w:tr>
      <w:tr w:rsidR="00A17723">
        <w:trPr>
          <w:jc w:val="center"/>
        </w:trPr>
        <w:tc>
          <w:tcPr>
            <w:tcW w:w="1584" w:type="dxa"/>
          </w:tcPr>
          <w:p w:rsidR="00A17723" w:rsidRDefault="00016AF6">
            <w:r>
              <w:rPr>
                <w:sz w:val="18"/>
              </w:rPr>
              <w:t>31 Dec</w:t>
            </w:r>
          </w:p>
        </w:tc>
        <w:tc>
          <w:tcPr>
            <w:tcW w:w="5184" w:type="dxa"/>
          </w:tcPr>
          <w:p w:rsidR="00A17723" w:rsidRDefault="00016AF6">
            <w:r>
              <w:rPr>
                <w:sz w:val="18"/>
              </w:rPr>
              <w:t>Financial year-end for calendar-year filers</w:t>
            </w:r>
          </w:p>
        </w:tc>
        <w:tc>
          <w:tcPr>
            <w:tcW w:w="2592" w:type="dxa"/>
          </w:tcPr>
          <w:p w:rsidR="00A17723" w:rsidRDefault="00016AF6">
            <w:r>
              <w:rPr>
                <w:sz w:val="18"/>
              </w:rPr>
              <w:t>Company</w:t>
            </w:r>
          </w:p>
        </w:tc>
      </w:tr>
    </w:tbl>
    <w:p w:rsidR="00A17723" w:rsidRDefault="00016AF6">
      <w:pPr>
        <w:spacing w:after="80" w:line="259" w:lineRule="auto"/>
      </w:pPr>
      <w:r>
        <w:t>Note: Exact filing dates can</w:t>
      </w:r>
      <w:r>
        <w:t xml:space="preserve"> shift for weekends or public holidays. Companies that file quarterly rather than monthly should map their obligations to the quarter-end rules applicable to their tax profile.</w:t>
      </w:r>
    </w:p>
    <w:p w:rsidR="00A17723" w:rsidRDefault="00016AF6">
      <w:pPr>
        <w:pStyle w:val="Heading1"/>
      </w:pPr>
      <w:r>
        <w:rPr>
          <w:rFonts w:ascii="Calibri" w:hAnsi="Calibri"/>
          <w:color w:val="1F4E79"/>
        </w:rPr>
        <w:t>17. Risk, Disputes, and Exit Options</w:t>
      </w:r>
    </w:p>
    <w:p w:rsidR="00A17723" w:rsidRDefault="00016AF6">
      <w:pPr>
        <w:pStyle w:val="Heading2"/>
      </w:pPr>
      <w:r>
        <w:rPr>
          <w:rFonts w:ascii="Calibri" w:hAnsi="Calibri"/>
          <w:color w:val="1F4E79"/>
          <w:sz w:val="24"/>
        </w:rPr>
        <w:t>17.1 Dispute Resolution</w:t>
      </w:r>
    </w:p>
    <w:p w:rsidR="00A17723" w:rsidRDefault="00016AF6">
      <w:pPr>
        <w:spacing w:after="80" w:line="259" w:lineRule="auto"/>
      </w:pPr>
      <w:r>
        <w:t>Vietnam uses a cou</w:t>
      </w:r>
      <w:r>
        <w:t>rt system supplemented by arbitration. International arbitration is widely used for commercial contracts, especially where foreign investors want a neutral forum and easier enforcement.</w:t>
      </w:r>
    </w:p>
    <w:p w:rsidR="00A17723" w:rsidRDefault="00016AF6">
      <w:pPr>
        <w:pStyle w:val="Heading2"/>
      </w:pPr>
      <w:r>
        <w:rPr>
          <w:rFonts w:ascii="Calibri" w:hAnsi="Calibri"/>
          <w:color w:val="1F4E79"/>
          <w:sz w:val="24"/>
        </w:rPr>
        <w:t>17.2 Key Risk Areas</w:t>
      </w:r>
    </w:p>
    <w:p w:rsidR="00A17723" w:rsidRDefault="00016AF6">
      <w:pPr>
        <w:pStyle w:val="ListBullet"/>
      </w:pPr>
      <w:r>
        <w:t xml:space="preserve">Misclassifying the business line and ignoring </w:t>
      </w:r>
      <w:r>
        <w:t>market-access conditions.</w:t>
      </w:r>
    </w:p>
    <w:p w:rsidR="00A17723" w:rsidRDefault="00016AF6">
      <w:pPr>
        <w:pStyle w:val="ListBullet"/>
      </w:pPr>
      <w:r>
        <w:t>Underestimating the time needed for legalisation, translation, banking, and work permits.</w:t>
      </w:r>
    </w:p>
    <w:p w:rsidR="00A17723" w:rsidRDefault="00016AF6">
      <w:pPr>
        <w:pStyle w:val="ListBullet"/>
      </w:pPr>
      <w:r>
        <w:t>Missing monthly tax filings or annual finalization deadlines.</w:t>
      </w:r>
    </w:p>
    <w:p w:rsidR="00A17723" w:rsidRDefault="00016AF6">
      <w:pPr>
        <w:pStyle w:val="ListBullet"/>
      </w:pPr>
      <w:r>
        <w:t>Poor transfer-pricing discipline on intercompany charges.</w:t>
      </w:r>
    </w:p>
    <w:p w:rsidR="00A17723" w:rsidRDefault="00016AF6">
      <w:pPr>
        <w:pStyle w:val="ListBullet"/>
      </w:pPr>
      <w:r>
        <w:t>Failing to update be</w:t>
      </w:r>
      <w:r>
        <w:t>neficial-owner or enterprise-registration information on time.</w:t>
      </w:r>
    </w:p>
    <w:p w:rsidR="00A17723" w:rsidRDefault="00016AF6">
      <w:pPr>
        <w:pStyle w:val="Heading2"/>
      </w:pPr>
      <w:r>
        <w:rPr>
          <w:rFonts w:ascii="Calibri" w:hAnsi="Calibri"/>
          <w:color w:val="1F4E79"/>
          <w:sz w:val="24"/>
        </w:rPr>
        <w:t>17.3 Exit and Restructuring Options</w:t>
      </w:r>
    </w:p>
    <w:p w:rsidR="00A17723" w:rsidRDefault="00016AF6">
      <w:pPr>
        <w:spacing w:after="80" w:line="259" w:lineRule="auto"/>
      </w:pPr>
      <w:r>
        <w:t xml:space="preserve">Exit routes include share sale, asset sale, liquidation, merger, or branch / office closure. Before exit, companies should settle taxes, labour obligations, </w:t>
      </w:r>
      <w:r>
        <w:t>bank matters, e-invoice status, and any outstanding immigration or social-insurance items.</w:t>
      </w:r>
    </w:p>
    <w:p w:rsidR="00A17723" w:rsidRDefault="00016AF6">
      <w:pPr>
        <w:pStyle w:val="Heading1"/>
      </w:pPr>
      <w:r>
        <w:rPr>
          <w:rFonts w:ascii="Calibri" w:hAnsi="Calibri"/>
          <w:color w:val="1F4E79"/>
        </w:rPr>
        <w:t>18. Practical Checklists and Tools</w:t>
      </w:r>
    </w:p>
    <w:p w:rsidR="00A17723" w:rsidRDefault="00016AF6">
      <w:pPr>
        <w:pStyle w:val="Heading2"/>
      </w:pPr>
      <w:r>
        <w:rPr>
          <w:rFonts w:ascii="Calibri" w:hAnsi="Calibri"/>
          <w:color w:val="1F4E79"/>
          <w:sz w:val="24"/>
        </w:rPr>
        <w:t>18.1 Pre-Entry Checklist for Indian Entrepreneurs</w:t>
      </w:r>
    </w:p>
    <w:p w:rsidR="00A17723" w:rsidRDefault="00016AF6">
      <w:pPr>
        <w:pStyle w:val="ListBullet"/>
      </w:pPr>
      <w:r>
        <w:t>Confirm the intended business line is permitted for foreign investors.</w:t>
      </w:r>
    </w:p>
    <w:p w:rsidR="00A17723" w:rsidRDefault="00016AF6">
      <w:pPr>
        <w:pStyle w:val="ListBullet"/>
      </w:pPr>
      <w:r>
        <w:t>Choose th</w:t>
      </w:r>
      <w:r>
        <w:t>e right entity type and ownership structure.</w:t>
      </w:r>
    </w:p>
    <w:p w:rsidR="00A17723" w:rsidRDefault="00016AF6">
      <w:pPr>
        <w:pStyle w:val="ListBullet"/>
      </w:pPr>
      <w:r>
        <w:t>Prepare legalised foreign documents and Vietnamese translations.</w:t>
      </w:r>
    </w:p>
    <w:p w:rsidR="00A17723" w:rsidRDefault="00016AF6">
      <w:pPr>
        <w:pStyle w:val="ListBullet"/>
      </w:pPr>
      <w:r>
        <w:lastRenderedPageBreak/>
        <w:t>Plan for tax registration, e-invoices, bank onboarding, and payroll setup.</w:t>
      </w:r>
    </w:p>
    <w:p w:rsidR="00A17723" w:rsidRDefault="00016AF6">
      <w:pPr>
        <w:pStyle w:val="ListBullet"/>
      </w:pPr>
      <w:r>
        <w:t>Budget for work permits and immigration compliance for any foreign staf</w:t>
      </w:r>
      <w:r>
        <w:t>f.</w:t>
      </w:r>
    </w:p>
    <w:p w:rsidR="00A17723" w:rsidRDefault="00016AF6">
      <w:pPr>
        <w:pStyle w:val="ListBullet"/>
      </w:pPr>
      <w:r>
        <w:t>Prepare India-side ODI / FEMA and treaty support documents where relevant.</w:t>
      </w:r>
    </w:p>
    <w:p w:rsidR="00A17723" w:rsidRDefault="00016AF6">
      <w:pPr>
        <w:pStyle w:val="ListBullet"/>
      </w:pPr>
      <w:r>
        <w:t>Set up transfer-pricing support for intercompany transactions.</w:t>
      </w:r>
    </w:p>
    <w:p w:rsidR="00A17723" w:rsidRDefault="00016AF6">
      <w:pPr>
        <w:pStyle w:val="ListBullet"/>
      </w:pPr>
      <w:r>
        <w:t>Review data, contract, and IP requirements before launch.</w:t>
      </w:r>
    </w:p>
    <w:p w:rsidR="00A17723" w:rsidRDefault="00016AF6">
      <w:pPr>
        <w:pStyle w:val="Heading1"/>
      </w:pPr>
      <w:r>
        <w:rPr>
          <w:rFonts w:ascii="Calibri" w:hAnsi="Calibri"/>
          <w:color w:val="1F4E79"/>
        </w:rPr>
        <w:t>19. Compliance Penalty Matrix</w:t>
      </w:r>
    </w:p>
    <w:p w:rsidR="00A17723" w:rsidRDefault="00016AF6">
      <w:pPr>
        <w:spacing w:after="80" w:line="259" w:lineRule="auto"/>
      </w:pPr>
      <w:r>
        <w:t>Penalties depend on the exa</w:t>
      </w:r>
      <w:r>
        <w:t>ct violation, filing period, and whether the breach is corrected voluntarily. The matrix below is a practical risk map rather than a substitute for the current penalty decree.</w:t>
      </w:r>
    </w:p>
    <w:tbl>
      <w:tblPr>
        <w:tblStyle w:val="TableGrid"/>
        <w:tblW w:w="0" w:type="auto"/>
        <w:jc w:val="center"/>
        <w:tblLook w:val="04A0" w:firstRow="1" w:lastRow="0" w:firstColumn="1" w:lastColumn="0" w:noHBand="0" w:noVBand="1"/>
      </w:tblPr>
      <w:tblGrid>
        <w:gridCol w:w="2016"/>
        <w:gridCol w:w="3312"/>
        <w:gridCol w:w="4032"/>
      </w:tblGrid>
      <w:tr w:rsidR="00A17723">
        <w:trPr>
          <w:jc w:val="center"/>
        </w:trPr>
        <w:tc>
          <w:tcPr>
            <w:tcW w:w="2016" w:type="dxa"/>
            <w:shd w:val="clear" w:color="auto" w:fill="1F4E79"/>
          </w:tcPr>
          <w:p w:rsidR="00A17723" w:rsidRDefault="00016AF6">
            <w:r>
              <w:rPr>
                <w:b/>
                <w:color w:val="FFFFFF"/>
                <w:sz w:val="18"/>
              </w:rPr>
              <w:t>Compliance area</w:t>
            </w:r>
          </w:p>
        </w:tc>
        <w:tc>
          <w:tcPr>
            <w:tcW w:w="3312" w:type="dxa"/>
            <w:shd w:val="clear" w:color="auto" w:fill="1F4E79"/>
          </w:tcPr>
          <w:p w:rsidR="00A17723" w:rsidRDefault="00016AF6">
            <w:r>
              <w:rPr>
                <w:b/>
                <w:color w:val="FFFFFF"/>
                <w:sz w:val="18"/>
              </w:rPr>
              <w:t>Typical violation</w:t>
            </w:r>
          </w:p>
        </w:tc>
        <w:tc>
          <w:tcPr>
            <w:tcW w:w="4032" w:type="dxa"/>
            <w:shd w:val="clear" w:color="auto" w:fill="1F4E79"/>
          </w:tcPr>
          <w:p w:rsidR="00A17723" w:rsidRDefault="00016AF6">
            <w:r>
              <w:rPr>
                <w:b/>
                <w:color w:val="FFFFFF"/>
                <w:sz w:val="18"/>
              </w:rPr>
              <w:t>Typical consequence</w:t>
            </w:r>
          </w:p>
        </w:tc>
      </w:tr>
      <w:tr w:rsidR="00A17723">
        <w:trPr>
          <w:jc w:val="center"/>
        </w:trPr>
        <w:tc>
          <w:tcPr>
            <w:tcW w:w="2016" w:type="dxa"/>
          </w:tcPr>
          <w:p w:rsidR="00A17723" w:rsidRDefault="00016AF6">
            <w:r>
              <w:rPr>
                <w:sz w:val="18"/>
              </w:rPr>
              <w:t>Tax filings</w:t>
            </w:r>
          </w:p>
        </w:tc>
        <w:tc>
          <w:tcPr>
            <w:tcW w:w="3312" w:type="dxa"/>
          </w:tcPr>
          <w:p w:rsidR="00A17723" w:rsidRDefault="00016AF6">
            <w:r>
              <w:rPr>
                <w:sz w:val="18"/>
              </w:rPr>
              <w:t>Late or missi</w:t>
            </w:r>
            <w:r>
              <w:rPr>
                <w:sz w:val="18"/>
              </w:rPr>
              <w:t>ng VAT / PIT / CIT returns</w:t>
            </w:r>
          </w:p>
        </w:tc>
        <w:tc>
          <w:tcPr>
            <w:tcW w:w="4032" w:type="dxa"/>
          </w:tcPr>
          <w:p w:rsidR="00A17723" w:rsidRDefault="00016AF6">
            <w:r>
              <w:rPr>
                <w:sz w:val="18"/>
              </w:rPr>
              <w:t>Late-payment interest, administrative fines, and possible audit exposure</w:t>
            </w:r>
          </w:p>
        </w:tc>
      </w:tr>
      <w:tr w:rsidR="00A17723">
        <w:trPr>
          <w:jc w:val="center"/>
        </w:trPr>
        <w:tc>
          <w:tcPr>
            <w:tcW w:w="2016" w:type="dxa"/>
          </w:tcPr>
          <w:p w:rsidR="00A17723" w:rsidRDefault="00016AF6">
            <w:r>
              <w:rPr>
                <w:sz w:val="18"/>
              </w:rPr>
              <w:t>Work permits</w:t>
            </w:r>
          </w:p>
        </w:tc>
        <w:tc>
          <w:tcPr>
            <w:tcW w:w="3312" w:type="dxa"/>
          </w:tcPr>
          <w:p w:rsidR="00A17723" w:rsidRDefault="00016AF6">
            <w:r>
              <w:rPr>
                <w:sz w:val="18"/>
              </w:rPr>
              <w:t>Foreign employee working without the correct permit</w:t>
            </w:r>
          </w:p>
        </w:tc>
        <w:tc>
          <w:tcPr>
            <w:tcW w:w="4032" w:type="dxa"/>
          </w:tcPr>
          <w:p w:rsidR="00A17723" w:rsidRDefault="00016AF6">
            <w:r>
              <w:rPr>
                <w:sz w:val="18"/>
              </w:rPr>
              <w:t>Fines, permit issues, and possible deportation risk</w:t>
            </w:r>
          </w:p>
        </w:tc>
      </w:tr>
      <w:tr w:rsidR="00A17723">
        <w:trPr>
          <w:jc w:val="center"/>
        </w:trPr>
        <w:tc>
          <w:tcPr>
            <w:tcW w:w="2016" w:type="dxa"/>
          </w:tcPr>
          <w:p w:rsidR="00A17723" w:rsidRDefault="00016AF6">
            <w:r>
              <w:rPr>
                <w:sz w:val="18"/>
              </w:rPr>
              <w:t>Enterprise registration</w:t>
            </w:r>
          </w:p>
        </w:tc>
        <w:tc>
          <w:tcPr>
            <w:tcW w:w="3312" w:type="dxa"/>
          </w:tcPr>
          <w:p w:rsidR="00A17723" w:rsidRDefault="00016AF6">
            <w:r>
              <w:rPr>
                <w:sz w:val="18"/>
              </w:rPr>
              <w:t xml:space="preserve">Failure to </w:t>
            </w:r>
            <w:r>
              <w:rPr>
                <w:sz w:val="18"/>
              </w:rPr>
              <w:t>update ownership / charter / address information</w:t>
            </w:r>
          </w:p>
        </w:tc>
        <w:tc>
          <w:tcPr>
            <w:tcW w:w="4032" w:type="dxa"/>
          </w:tcPr>
          <w:p w:rsidR="00A17723" w:rsidRDefault="00016AF6">
            <w:r>
              <w:rPr>
                <w:sz w:val="18"/>
              </w:rPr>
              <w:t>Administrative sanctions and correction orders</w:t>
            </w:r>
          </w:p>
        </w:tc>
      </w:tr>
      <w:tr w:rsidR="00A17723">
        <w:trPr>
          <w:jc w:val="center"/>
        </w:trPr>
        <w:tc>
          <w:tcPr>
            <w:tcW w:w="2016" w:type="dxa"/>
          </w:tcPr>
          <w:p w:rsidR="00A17723" w:rsidRDefault="00016AF6">
            <w:r>
              <w:rPr>
                <w:sz w:val="18"/>
              </w:rPr>
              <w:t>Beneficial ownership</w:t>
            </w:r>
          </w:p>
        </w:tc>
        <w:tc>
          <w:tcPr>
            <w:tcW w:w="3312" w:type="dxa"/>
          </w:tcPr>
          <w:p w:rsidR="00A17723" w:rsidRDefault="00016AF6">
            <w:r>
              <w:rPr>
                <w:sz w:val="18"/>
              </w:rPr>
              <w:t>Failure to update owner information within the required period</w:t>
            </w:r>
          </w:p>
        </w:tc>
        <w:tc>
          <w:tcPr>
            <w:tcW w:w="4032" w:type="dxa"/>
          </w:tcPr>
          <w:p w:rsidR="00A17723" w:rsidRDefault="00016AF6">
            <w:r>
              <w:rPr>
                <w:sz w:val="18"/>
              </w:rPr>
              <w:t>Filing rejection, sanctions, and registry corrections</w:t>
            </w:r>
          </w:p>
        </w:tc>
      </w:tr>
      <w:tr w:rsidR="00A17723">
        <w:trPr>
          <w:jc w:val="center"/>
        </w:trPr>
        <w:tc>
          <w:tcPr>
            <w:tcW w:w="2016" w:type="dxa"/>
          </w:tcPr>
          <w:p w:rsidR="00A17723" w:rsidRDefault="00016AF6">
            <w:r>
              <w:rPr>
                <w:sz w:val="18"/>
              </w:rPr>
              <w:t>Accounting</w:t>
            </w:r>
          </w:p>
        </w:tc>
        <w:tc>
          <w:tcPr>
            <w:tcW w:w="3312" w:type="dxa"/>
          </w:tcPr>
          <w:p w:rsidR="00A17723" w:rsidRDefault="00016AF6">
            <w:r>
              <w:rPr>
                <w:sz w:val="18"/>
              </w:rPr>
              <w:t>Incomplet</w:t>
            </w:r>
            <w:r>
              <w:rPr>
                <w:sz w:val="18"/>
              </w:rPr>
              <w:t>e books / missing invoices</w:t>
            </w:r>
          </w:p>
        </w:tc>
        <w:tc>
          <w:tcPr>
            <w:tcW w:w="4032" w:type="dxa"/>
          </w:tcPr>
          <w:p w:rsidR="00A17723" w:rsidRDefault="00016AF6">
            <w:r>
              <w:rPr>
                <w:sz w:val="18"/>
              </w:rPr>
              <w:t>Tax adjustment, disallowance of costs, fines</w:t>
            </w:r>
          </w:p>
        </w:tc>
      </w:tr>
    </w:tbl>
    <w:p w:rsidR="00A17723" w:rsidRDefault="00016AF6">
      <w:pPr>
        <w:pStyle w:val="Heading1"/>
      </w:pPr>
      <w:r>
        <w:rPr>
          <w:rFonts w:ascii="Calibri" w:hAnsi="Calibri"/>
          <w:color w:val="1F4E79"/>
        </w:rPr>
        <w:t>20. How Comply Globally Supports Entry Vietnam</w:t>
      </w:r>
    </w:p>
    <w:p w:rsidR="00A17723" w:rsidRDefault="00016AF6">
      <w:pPr>
        <w:spacing w:after="80" w:line="259" w:lineRule="auto"/>
      </w:pPr>
      <w:r>
        <w:t xml:space="preserve">Comply Globally, a Connect Ventures Initiative, provides end-to-end advisory and execution support for Indian businesses entering </w:t>
      </w:r>
      <w:r>
        <w:t>Vietnam. Our India-Vietnam service model covers cross-border structuring, company setup, tax and payroll compliance, banking support, immigration planning, and ongoing compliance management.</w:t>
      </w:r>
    </w:p>
    <w:p w:rsidR="00A17723" w:rsidRDefault="00016AF6">
      <w:pPr>
        <w:pStyle w:val="Heading2"/>
      </w:pPr>
      <w:r>
        <w:rPr>
          <w:rFonts w:ascii="Calibri" w:hAnsi="Calibri"/>
          <w:color w:val="1F4E79"/>
          <w:sz w:val="24"/>
        </w:rPr>
        <w:t>20.1 Our Services</w:t>
      </w:r>
    </w:p>
    <w:p w:rsidR="00A17723" w:rsidRDefault="00016AF6">
      <w:pPr>
        <w:pStyle w:val="ListBullet"/>
      </w:pPr>
      <w:r>
        <w:t>Pre-entry advisory: route selection, sector-scr</w:t>
      </w:r>
      <w:r>
        <w:t>eening, ownership planning, and India-Vietnam structure design.</w:t>
      </w:r>
    </w:p>
    <w:p w:rsidR="00A17723" w:rsidRDefault="00016AF6">
      <w:pPr>
        <w:pStyle w:val="ListBullet"/>
      </w:pPr>
      <w:r>
        <w:t>Company formation support: enterprise registration, foreign-investment registration, charter preparation, and document legalisation.</w:t>
      </w:r>
    </w:p>
    <w:p w:rsidR="00A17723" w:rsidRDefault="00016AF6">
      <w:pPr>
        <w:pStyle w:val="ListBullet"/>
      </w:pPr>
      <w:r>
        <w:t xml:space="preserve">Tax support: VAT, CIT, PIT withholding, tax finalization </w:t>
      </w:r>
      <w:r>
        <w:t>planning, and filing calendar management.</w:t>
      </w:r>
    </w:p>
    <w:p w:rsidR="00A17723" w:rsidRDefault="00016AF6">
      <w:pPr>
        <w:pStyle w:val="ListBullet"/>
      </w:pPr>
      <w:r>
        <w:t>Banking support: KYC pack preparation and bank-account onboarding documentation.</w:t>
      </w:r>
    </w:p>
    <w:p w:rsidR="00A17723" w:rsidRDefault="00016AF6">
      <w:pPr>
        <w:pStyle w:val="ListBullet"/>
      </w:pPr>
      <w:r>
        <w:t>Immigration and payroll support: work permits, visa planning, and monthly payroll compliance setup.</w:t>
      </w:r>
    </w:p>
    <w:p w:rsidR="00A17723" w:rsidRDefault="00016AF6">
      <w:pPr>
        <w:pStyle w:val="ListBullet"/>
      </w:pPr>
      <w:r>
        <w:t>Ongoing compliance support: retur</w:t>
      </w:r>
      <w:r>
        <w:t>n schedules, annual filings, beneficial-owner updates, and closure / exit support.</w:t>
      </w:r>
    </w:p>
    <w:p w:rsidR="00A17723" w:rsidRDefault="00016AF6">
      <w:pPr>
        <w:spacing w:after="80" w:line="259" w:lineRule="auto"/>
      </w:pPr>
      <w:r>
        <w:t>Contact: anil.gupta@TheConnectVentures.com | +91 99999 81613 | +1 302 214 1717</w:t>
      </w:r>
    </w:p>
    <w:sectPr w:rsidR="00A17723"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AF6"/>
    <w:rsid w:val="00034616"/>
    <w:rsid w:val="0006063C"/>
    <w:rsid w:val="0015074B"/>
    <w:rsid w:val="0029639D"/>
    <w:rsid w:val="00326F90"/>
    <w:rsid w:val="00A177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6AF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6A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nil.gupta@TheConnectVenture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8E3D41-4075-4692-B268-E34187DA7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3950</Words>
  <Characters>22515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2013-12-23T23:15:00Z</dcterms:created>
  <dcterms:modified xsi:type="dcterms:W3CDTF">2026-05-22T11:57:00Z</dcterms:modified>
  <cp:category/>
</cp:coreProperties>
</file>