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3156" w:rsidRDefault="000F6FD4">
      <w:pPr>
        <w:jc w:val="center"/>
      </w:pPr>
      <w:r>
        <w:rPr>
          <w:b/>
          <w:sz w:val="32"/>
        </w:rPr>
        <w:t>COMPLY GLOBALLY</w:t>
      </w:r>
    </w:p>
    <w:p w:rsidR="00423156" w:rsidRDefault="000F6FD4">
      <w:pPr>
        <w:jc w:val="center"/>
      </w:pPr>
      <w:r>
        <w:rPr>
          <w:sz w:val="22"/>
        </w:rPr>
        <w:t>A Connect Ventures Initiative</w:t>
      </w:r>
    </w:p>
    <w:p w:rsidR="00423156" w:rsidRDefault="000F6FD4">
      <w:pPr>
        <w:jc w:val="center"/>
      </w:pPr>
      <w:r>
        <w:t>___________________________________</w:t>
      </w:r>
    </w:p>
    <w:p w:rsidR="00423156" w:rsidRDefault="000F6FD4">
      <w:pPr>
        <w:jc w:val="center"/>
      </w:pPr>
      <w:r>
        <w:rPr>
          <w:b/>
          <w:sz w:val="40"/>
        </w:rPr>
        <w:t>ENTRY SINGAPORE</w:t>
      </w:r>
    </w:p>
    <w:p w:rsidR="00423156" w:rsidRDefault="000F6FD4">
      <w:pPr>
        <w:jc w:val="center"/>
      </w:pPr>
      <w:r>
        <w:rPr>
          <w:sz w:val="22"/>
        </w:rPr>
        <w:t>Comprehensive Country Guide for</w:t>
      </w:r>
    </w:p>
    <w:p w:rsidR="00423156" w:rsidRDefault="000F6FD4">
      <w:pPr>
        <w:jc w:val="center"/>
      </w:pPr>
      <w:r>
        <w:rPr>
          <w:b/>
          <w:sz w:val="24"/>
        </w:rPr>
        <w:t>Indian Entrepreneurs, Investors &amp; Expansion-Stage Companies</w:t>
      </w:r>
    </w:p>
    <w:p w:rsidR="00423156" w:rsidRDefault="000F6FD4">
      <w:pPr>
        <w:jc w:val="center"/>
      </w:pPr>
      <w:r>
        <w:rPr>
          <w:sz w:val="22"/>
        </w:rPr>
        <w:t>Compliance | Taxation | Market Entry | Operations</w:t>
      </w:r>
    </w:p>
    <w:p w:rsidR="00423156" w:rsidRDefault="000F6FD4">
      <w:pPr>
        <w:jc w:val="center"/>
      </w:pPr>
      <w:r>
        <w:rPr>
          <w:b/>
          <w:sz w:val="24"/>
        </w:rPr>
        <w:t>2026 Edition</w:t>
      </w:r>
    </w:p>
    <w:p w:rsidR="00423156" w:rsidRDefault="000F6FD4">
      <w:pPr>
        <w:jc w:val="center"/>
      </w:pPr>
      <w:r>
        <w:t>Contact: anil.gupta@TheConnectVentures.com</w:t>
      </w:r>
      <w:r>
        <w:br/>
        <w:t>Phone: +91 99999 81613 | +1 302 214 1717</w:t>
      </w:r>
    </w:p>
    <w:p w:rsidR="00423156" w:rsidRDefault="000F6FD4">
      <w:pPr>
        <w:jc w:val="center"/>
        <w:rPr>
          <w:i/>
        </w:rPr>
      </w:pPr>
      <w:r>
        <w:rPr>
          <w:i/>
        </w:rPr>
        <w:t>Disclaimer: This guide is for informational purposes only and does not constitute legal, tax, immigration, or accounting advice. Users should verify all information with Si</w:t>
      </w:r>
      <w:r>
        <w:rPr>
          <w:i/>
        </w:rPr>
        <w:t>ngapore-qualified professionals and the relevant authorities.</w:t>
      </w:r>
    </w:p>
    <w:p w:rsidR="00C848F2" w:rsidRDefault="00C848F2">
      <w:pPr>
        <w:jc w:val="center"/>
        <w:rPr>
          <w:i/>
        </w:rPr>
      </w:pPr>
    </w:p>
    <w:p w:rsidR="00C848F2" w:rsidRDefault="00C848F2">
      <w:pPr>
        <w:jc w:val="center"/>
        <w:rPr>
          <w:i/>
        </w:rPr>
      </w:pPr>
    </w:p>
    <w:p w:rsidR="00C848F2" w:rsidRDefault="00C848F2">
      <w:pPr>
        <w:jc w:val="center"/>
        <w:rPr>
          <w:i/>
        </w:rPr>
      </w:pPr>
    </w:p>
    <w:p w:rsidR="00C848F2" w:rsidRDefault="00C848F2">
      <w:pPr>
        <w:jc w:val="center"/>
        <w:rPr>
          <w:i/>
        </w:rPr>
      </w:pPr>
    </w:p>
    <w:p w:rsidR="00C848F2" w:rsidRDefault="00C848F2">
      <w:pPr>
        <w:jc w:val="center"/>
        <w:rPr>
          <w:i/>
        </w:rPr>
      </w:pPr>
    </w:p>
    <w:p w:rsidR="00C848F2" w:rsidRDefault="00C848F2">
      <w:pPr>
        <w:jc w:val="center"/>
        <w:rPr>
          <w:i/>
        </w:rPr>
      </w:pPr>
    </w:p>
    <w:p w:rsidR="00C848F2" w:rsidRDefault="00C848F2">
      <w:pPr>
        <w:jc w:val="center"/>
        <w:rPr>
          <w:i/>
        </w:rPr>
      </w:pPr>
    </w:p>
    <w:p w:rsidR="00C848F2" w:rsidRDefault="00C848F2">
      <w:pPr>
        <w:jc w:val="center"/>
        <w:rPr>
          <w:i/>
        </w:rPr>
      </w:pPr>
    </w:p>
    <w:p w:rsidR="00C848F2" w:rsidRDefault="00C848F2">
      <w:pPr>
        <w:jc w:val="center"/>
        <w:rPr>
          <w:i/>
        </w:rPr>
      </w:pPr>
    </w:p>
    <w:p w:rsidR="00C848F2" w:rsidRDefault="00C848F2">
      <w:pPr>
        <w:jc w:val="center"/>
        <w:rPr>
          <w:i/>
        </w:rPr>
      </w:pPr>
    </w:p>
    <w:p w:rsidR="00C848F2" w:rsidRDefault="00C848F2">
      <w:pPr>
        <w:jc w:val="center"/>
        <w:rPr>
          <w:i/>
        </w:rPr>
      </w:pPr>
    </w:p>
    <w:p w:rsidR="00C848F2" w:rsidRDefault="00C848F2">
      <w:pPr>
        <w:jc w:val="center"/>
        <w:rPr>
          <w:i/>
        </w:rPr>
      </w:pPr>
    </w:p>
    <w:p w:rsidR="00C848F2" w:rsidRDefault="00C848F2">
      <w:pPr>
        <w:jc w:val="center"/>
        <w:rPr>
          <w:i/>
        </w:rPr>
      </w:pPr>
    </w:p>
    <w:p w:rsidR="00C848F2" w:rsidRDefault="00C848F2">
      <w:pPr>
        <w:jc w:val="center"/>
        <w:rPr>
          <w:i/>
        </w:rPr>
      </w:pPr>
    </w:p>
    <w:p w:rsidR="00C848F2" w:rsidRDefault="00C848F2">
      <w:pPr>
        <w:jc w:val="center"/>
        <w:rPr>
          <w:i/>
        </w:rPr>
      </w:pPr>
    </w:p>
    <w:p w:rsidR="00C848F2" w:rsidRDefault="00C848F2">
      <w:pPr>
        <w:jc w:val="center"/>
        <w:rPr>
          <w:i/>
        </w:rPr>
      </w:pPr>
    </w:p>
    <w:p w:rsidR="00C848F2" w:rsidRDefault="00C848F2">
      <w:pPr>
        <w:jc w:val="center"/>
      </w:pPr>
    </w:p>
    <w:p w:rsidR="00423156" w:rsidRDefault="000F6FD4">
      <w:pPr>
        <w:pStyle w:val="Heading1"/>
        <w:spacing w:before="160" w:after="40"/>
      </w:pPr>
      <w:r>
        <w:rPr>
          <w:rFonts w:ascii="Arial" w:hAnsi="Arial"/>
        </w:rPr>
        <w:lastRenderedPageBreak/>
        <w:t>TABLE OF CONTENTS</w:t>
      </w:r>
    </w:p>
    <w:p w:rsidR="00423156" w:rsidRDefault="000F6FD4">
      <w:pPr>
        <w:spacing w:after="0"/>
      </w:pPr>
      <w:r>
        <w:t>1. Executive Overview</w:t>
      </w:r>
    </w:p>
    <w:p w:rsidR="00423156" w:rsidRDefault="000F6FD4">
      <w:pPr>
        <w:spacing w:after="0"/>
      </w:pPr>
      <w:r>
        <w:t>2. Country Snapshot</w:t>
      </w:r>
    </w:p>
    <w:p w:rsidR="00423156" w:rsidRDefault="000F6FD4">
      <w:pPr>
        <w:spacing w:after="0"/>
      </w:pPr>
      <w:r>
        <w:t>3. Investment Climate &amp; Business Environment</w:t>
      </w:r>
    </w:p>
    <w:p w:rsidR="00423156" w:rsidRDefault="000F6FD4">
      <w:pPr>
        <w:spacing w:after="0"/>
      </w:pPr>
      <w:r>
        <w:t>4. Market Entry Strategy</w:t>
      </w:r>
    </w:p>
    <w:p w:rsidR="00423156" w:rsidRDefault="000F6FD4">
      <w:pPr>
        <w:spacing w:after="0"/>
      </w:pPr>
      <w:r>
        <w:t>5. Legal and Regulatory Framework</w:t>
      </w:r>
    </w:p>
    <w:p w:rsidR="00423156" w:rsidRDefault="000F6FD4">
      <w:pPr>
        <w:spacing w:after="0"/>
      </w:pPr>
      <w:r>
        <w:t>6. Business Structures for For</w:t>
      </w:r>
      <w:r>
        <w:t>eign Investors</w:t>
      </w:r>
    </w:p>
    <w:p w:rsidR="00423156" w:rsidRDefault="000F6FD4">
      <w:pPr>
        <w:spacing w:after="0"/>
      </w:pPr>
      <w:r>
        <w:t>7. Foreign Investment Rules and Exchange Control</w:t>
      </w:r>
    </w:p>
    <w:p w:rsidR="00423156" w:rsidRDefault="000F6FD4">
      <w:pPr>
        <w:spacing w:after="0"/>
      </w:pPr>
      <w:r>
        <w:t>8. Step-by-Step Incorporation &amp; Registration Process</w:t>
      </w:r>
    </w:p>
    <w:p w:rsidR="00423156" w:rsidRDefault="000F6FD4">
      <w:pPr>
        <w:spacing w:after="0"/>
      </w:pPr>
      <w:r>
        <w:t>9. Licenses, Approvals, and Sector-Specific Requirements</w:t>
      </w:r>
    </w:p>
    <w:p w:rsidR="00423156" w:rsidRDefault="000F6FD4">
      <w:pPr>
        <w:spacing w:after="0"/>
      </w:pPr>
      <w:r>
        <w:t>10. Taxation and Incentives</w:t>
      </w:r>
    </w:p>
    <w:p w:rsidR="00423156" w:rsidRDefault="000F6FD4">
      <w:pPr>
        <w:spacing w:after="0"/>
      </w:pPr>
      <w:r>
        <w:t>11. Banking, Finance, and Repatriation</w:t>
      </w:r>
    </w:p>
    <w:p w:rsidR="00423156" w:rsidRDefault="000F6FD4">
      <w:pPr>
        <w:spacing w:after="0"/>
      </w:pPr>
      <w:r>
        <w:t>12. Employment,</w:t>
      </w:r>
      <w:r>
        <w:t xml:space="preserve"> Immigration, and Payroll</w:t>
      </w:r>
    </w:p>
    <w:p w:rsidR="00423156" w:rsidRDefault="000F6FD4">
      <w:pPr>
        <w:spacing w:after="0"/>
      </w:pPr>
      <w:r>
        <w:t>13. Intellectual Property, Data, and Technology</w:t>
      </w:r>
    </w:p>
    <w:p w:rsidR="00423156" w:rsidRDefault="000F6FD4">
      <w:pPr>
        <w:spacing w:after="0"/>
      </w:pPr>
      <w:r>
        <w:t>14. Commercial Contracts and Local Practices</w:t>
      </w:r>
    </w:p>
    <w:p w:rsidR="00423156" w:rsidRDefault="000F6FD4">
      <w:pPr>
        <w:spacing w:after="0"/>
      </w:pPr>
      <w:r>
        <w:t>15. Operations, Location, and Economic Zones</w:t>
      </w:r>
    </w:p>
    <w:p w:rsidR="00423156" w:rsidRDefault="000F6FD4">
      <w:pPr>
        <w:spacing w:after="0"/>
      </w:pPr>
      <w:r>
        <w:t>16. Compliance Calendar and Ongoing Obligations</w:t>
      </w:r>
    </w:p>
    <w:p w:rsidR="00423156" w:rsidRDefault="000F6FD4">
      <w:pPr>
        <w:spacing w:after="0"/>
      </w:pPr>
      <w:r>
        <w:t>17. Risk, Disputes, and Exit Options</w:t>
      </w:r>
    </w:p>
    <w:p w:rsidR="00423156" w:rsidRDefault="000F6FD4">
      <w:pPr>
        <w:spacing w:after="0"/>
      </w:pPr>
      <w:r>
        <w:t xml:space="preserve">18. </w:t>
      </w:r>
      <w:r>
        <w:t>Practical Checklists and Tools</w:t>
      </w:r>
    </w:p>
    <w:p w:rsidR="00423156" w:rsidRDefault="000F6FD4">
      <w:pPr>
        <w:spacing w:after="0"/>
      </w:pPr>
      <w:r>
        <w:t>19. Compliance Penalty Matrix</w:t>
      </w:r>
    </w:p>
    <w:p w:rsidR="00423156" w:rsidRDefault="000F6FD4">
      <w:pPr>
        <w:spacing w:after="0"/>
      </w:pPr>
      <w:r>
        <w:t>20. How Comply Globally Supports Entry Singapore</w:t>
      </w:r>
    </w:p>
    <w:p w:rsidR="00C848F2" w:rsidRDefault="00C848F2">
      <w:pPr>
        <w:spacing w:after="0"/>
      </w:pPr>
    </w:p>
    <w:p w:rsidR="00C848F2" w:rsidRDefault="00C848F2">
      <w:pPr>
        <w:spacing w:after="0"/>
      </w:pPr>
    </w:p>
    <w:p w:rsidR="00C848F2" w:rsidRDefault="00C848F2">
      <w:pPr>
        <w:spacing w:after="0"/>
      </w:pPr>
    </w:p>
    <w:p w:rsidR="00C848F2" w:rsidRDefault="00C848F2">
      <w:pPr>
        <w:spacing w:after="0"/>
      </w:pPr>
    </w:p>
    <w:p w:rsidR="00C848F2" w:rsidRDefault="00C848F2">
      <w:pPr>
        <w:spacing w:after="0"/>
      </w:pPr>
    </w:p>
    <w:p w:rsidR="00C848F2" w:rsidRDefault="00C848F2">
      <w:pPr>
        <w:spacing w:after="0"/>
      </w:pPr>
    </w:p>
    <w:p w:rsidR="00C848F2" w:rsidRDefault="00C848F2">
      <w:pPr>
        <w:spacing w:after="0"/>
      </w:pPr>
    </w:p>
    <w:p w:rsidR="00C848F2" w:rsidRDefault="00C848F2">
      <w:pPr>
        <w:spacing w:after="0"/>
      </w:pPr>
    </w:p>
    <w:p w:rsidR="00C848F2" w:rsidRDefault="00C848F2">
      <w:pPr>
        <w:spacing w:after="0"/>
      </w:pPr>
    </w:p>
    <w:p w:rsidR="00C848F2" w:rsidRDefault="00C848F2">
      <w:pPr>
        <w:spacing w:after="0"/>
      </w:pPr>
    </w:p>
    <w:p w:rsidR="00C848F2" w:rsidRDefault="00C848F2">
      <w:pPr>
        <w:spacing w:after="0"/>
      </w:pPr>
    </w:p>
    <w:p w:rsidR="00C848F2" w:rsidRDefault="00C848F2">
      <w:pPr>
        <w:spacing w:after="0"/>
      </w:pPr>
    </w:p>
    <w:p w:rsidR="00C848F2" w:rsidRDefault="00C848F2">
      <w:pPr>
        <w:spacing w:after="0"/>
      </w:pPr>
    </w:p>
    <w:p w:rsidR="00C848F2" w:rsidRDefault="00C848F2">
      <w:pPr>
        <w:spacing w:after="0"/>
      </w:pPr>
    </w:p>
    <w:p w:rsidR="00C848F2" w:rsidRDefault="00C848F2">
      <w:pPr>
        <w:spacing w:after="0"/>
      </w:pPr>
    </w:p>
    <w:p w:rsidR="00C848F2" w:rsidRDefault="00C848F2">
      <w:pPr>
        <w:spacing w:after="0"/>
      </w:pPr>
    </w:p>
    <w:p w:rsidR="00C848F2" w:rsidRDefault="00C848F2">
      <w:pPr>
        <w:spacing w:after="0"/>
      </w:pPr>
    </w:p>
    <w:p w:rsidR="00C848F2" w:rsidRDefault="00C848F2">
      <w:pPr>
        <w:spacing w:after="0"/>
      </w:pPr>
    </w:p>
    <w:p w:rsidR="00C848F2" w:rsidRDefault="00C848F2">
      <w:pPr>
        <w:spacing w:after="0"/>
      </w:pPr>
    </w:p>
    <w:p w:rsidR="00C848F2" w:rsidRDefault="00C848F2">
      <w:pPr>
        <w:spacing w:after="0"/>
      </w:pPr>
    </w:p>
    <w:p w:rsidR="00C848F2" w:rsidRDefault="00C848F2">
      <w:pPr>
        <w:spacing w:after="0"/>
      </w:pPr>
    </w:p>
    <w:p w:rsidR="00C848F2" w:rsidRDefault="00C848F2">
      <w:pPr>
        <w:spacing w:after="0"/>
      </w:pPr>
    </w:p>
    <w:p w:rsidR="00C848F2" w:rsidRDefault="00C848F2">
      <w:pPr>
        <w:spacing w:after="0"/>
      </w:pPr>
    </w:p>
    <w:p w:rsidR="00C848F2" w:rsidRDefault="00C848F2">
      <w:pPr>
        <w:spacing w:after="0"/>
      </w:pPr>
    </w:p>
    <w:p w:rsidR="00C848F2" w:rsidRDefault="00C848F2">
      <w:pPr>
        <w:spacing w:after="0"/>
      </w:pPr>
    </w:p>
    <w:p w:rsidR="00C848F2" w:rsidRDefault="00C848F2">
      <w:pPr>
        <w:spacing w:after="0"/>
      </w:pPr>
      <w:proofErr w:type="gramStart"/>
      <w:r>
        <w:t>s</w:t>
      </w:r>
      <w:proofErr w:type="gramEnd"/>
    </w:p>
    <w:p w:rsidR="00423156" w:rsidRDefault="000F6FD4">
      <w:pPr>
        <w:pStyle w:val="Heading1"/>
        <w:spacing w:before="160" w:after="40"/>
      </w:pPr>
      <w:r>
        <w:rPr>
          <w:rFonts w:ascii="Arial" w:hAnsi="Arial"/>
        </w:rPr>
        <w:lastRenderedPageBreak/>
        <w:t>1. Executive Overview</w:t>
      </w:r>
    </w:p>
    <w:p w:rsidR="00423156" w:rsidRDefault="000F6FD4">
      <w:pPr>
        <w:spacing w:after="80"/>
      </w:pPr>
      <w:r>
        <w:t>This guide is designed for Indian entrepreneurs, investors, and expansion-stage companies seeking to establish or expand bus</w:t>
      </w:r>
      <w:r>
        <w:t>iness operations in Singapore. It provides a practical overview of Singapore's legal, regulatory, tax, immigration, and operating environment.</w:t>
      </w:r>
    </w:p>
    <w:p w:rsidR="00423156" w:rsidRDefault="000F6FD4">
      <w:pPr>
        <w:spacing w:after="80"/>
      </w:pPr>
      <w:r>
        <w:t>Singapore is one of Asia's most business-friendly jurisdictions, with a stable rule of law, a deep financial syst</w:t>
      </w:r>
      <w:r>
        <w:t>em, efficient public administration, and strong connectivity to ASEAN, China, India, and global markets. It is especially attractive as a regional headquarters, treasury, trading, technology, and holding-company location.</w:t>
      </w:r>
    </w:p>
    <w:p w:rsidR="00423156" w:rsidRDefault="000F6FD4">
      <w:pPr>
        <w:pStyle w:val="Heading2"/>
        <w:spacing w:before="160" w:after="40"/>
      </w:pPr>
      <w:r>
        <w:rPr>
          <w:rFonts w:ascii="Arial" w:hAnsi="Arial"/>
        </w:rPr>
        <w:t>1.1 Why Singapore?</w:t>
      </w:r>
    </w:p>
    <w:p w:rsidR="00423156" w:rsidRDefault="000F6FD4">
      <w:pPr>
        <w:spacing w:after="80"/>
      </w:pPr>
      <w:r>
        <w:t>Singapore offer</w:t>
      </w:r>
      <w:r>
        <w:t xml:space="preserve">s a highly open economy, strong protection of contracts and intellectual property, a competitive 17% corporate income tax rate, a one-tier dividend system, and no capital gains tax in most ordinary commercial cases. Companies also benefit from access to a </w:t>
      </w:r>
      <w:r>
        <w:t>network of tax treaties, a sophisticated talent pool, and world-class infrastructure.</w:t>
      </w:r>
    </w:p>
    <w:p w:rsidR="00423156" w:rsidRDefault="000F6FD4">
      <w:pPr>
        <w:pStyle w:val="Heading2"/>
        <w:spacing w:before="160" w:after="40"/>
      </w:pPr>
      <w:r>
        <w:rPr>
          <w:rFonts w:ascii="Arial" w:hAnsi="Arial"/>
        </w:rPr>
        <w:t>1.2 Typical Entry Timelines and Cost Ranges</w:t>
      </w:r>
    </w:p>
    <w:p w:rsidR="00423156" w:rsidRDefault="000F6FD4">
      <w:pPr>
        <w:spacing w:after="80"/>
      </w:pPr>
      <w:r>
        <w:t>A Singapore private limited company (Pte. Ltd.) can often be incorporated within 1 to 3 business days once the required inform</w:t>
      </w:r>
      <w:r>
        <w:t>ation is ready, although regulated or name-sensitive applications may take longer. Basic incorporation fees are modest; the real cost drivers are professional support, office setup, compliance, licensing, staffing, and banking onboarding. Bank account open</w:t>
      </w:r>
      <w:r>
        <w:t>ing can take 2 to 8 weeks depending on the bank and the risk profile of the business.</w:t>
      </w:r>
    </w:p>
    <w:tbl>
      <w:tblPr>
        <w:tblStyle w:val="TableGrid"/>
        <w:tblW w:w="0" w:type="auto"/>
        <w:jc w:val="center"/>
        <w:tblLook w:val="04A0" w:firstRow="1" w:lastRow="0" w:firstColumn="1" w:lastColumn="0" w:noHBand="0" w:noVBand="1"/>
      </w:tblPr>
      <w:tblGrid>
        <w:gridCol w:w="5014"/>
        <w:gridCol w:w="5014"/>
      </w:tblGrid>
      <w:tr w:rsidR="00423156" w:rsidTr="00C848F2">
        <w:trPr>
          <w:trHeight w:val="617"/>
          <w:jc w:val="center"/>
        </w:trPr>
        <w:tc>
          <w:tcPr>
            <w:tcW w:w="5014" w:type="dxa"/>
          </w:tcPr>
          <w:p w:rsidR="00423156" w:rsidRDefault="000F6FD4">
            <w:r>
              <w:rPr>
                <w:b/>
                <w:sz w:val="18"/>
              </w:rPr>
              <w:t>Entry Item</w:t>
            </w:r>
          </w:p>
        </w:tc>
        <w:tc>
          <w:tcPr>
            <w:tcW w:w="5014" w:type="dxa"/>
          </w:tcPr>
          <w:p w:rsidR="00423156" w:rsidRDefault="000F6FD4">
            <w:r>
              <w:rPr>
                <w:b/>
                <w:sz w:val="18"/>
              </w:rPr>
              <w:t>Typical Range / Comment</w:t>
            </w:r>
          </w:p>
        </w:tc>
      </w:tr>
      <w:tr w:rsidR="00423156" w:rsidTr="00C848F2">
        <w:trPr>
          <w:trHeight w:val="665"/>
          <w:jc w:val="center"/>
        </w:trPr>
        <w:tc>
          <w:tcPr>
            <w:tcW w:w="5014" w:type="dxa"/>
          </w:tcPr>
          <w:p w:rsidR="00423156" w:rsidRDefault="000F6FD4">
            <w:r>
              <w:rPr>
                <w:sz w:val="18"/>
              </w:rPr>
              <w:t>Incorporation</w:t>
            </w:r>
          </w:p>
        </w:tc>
        <w:tc>
          <w:tcPr>
            <w:tcW w:w="5014" w:type="dxa"/>
          </w:tcPr>
          <w:p w:rsidR="00423156" w:rsidRDefault="000F6FD4">
            <w:r>
              <w:rPr>
                <w:sz w:val="18"/>
              </w:rPr>
              <w:t>1-3 business days for straightforward cases</w:t>
            </w:r>
          </w:p>
        </w:tc>
      </w:tr>
      <w:tr w:rsidR="00423156" w:rsidTr="00C848F2">
        <w:trPr>
          <w:trHeight w:val="617"/>
          <w:jc w:val="center"/>
        </w:trPr>
        <w:tc>
          <w:tcPr>
            <w:tcW w:w="5014" w:type="dxa"/>
          </w:tcPr>
          <w:p w:rsidR="00423156" w:rsidRDefault="000F6FD4">
            <w:r>
              <w:rPr>
                <w:sz w:val="18"/>
              </w:rPr>
              <w:t>Bank account opening</w:t>
            </w:r>
          </w:p>
        </w:tc>
        <w:tc>
          <w:tcPr>
            <w:tcW w:w="5014" w:type="dxa"/>
          </w:tcPr>
          <w:p w:rsidR="00423156" w:rsidRDefault="000F6FD4">
            <w:r>
              <w:rPr>
                <w:sz w:val="18"/>
              </w:rPr>
              <w:t>2-8 weeks depending on KYC review</w:t>
            </w:r>
          </w:p>
        </w:tc>
      </w:tr>
      <w:tr w:rsidR="00423156" w:rsidTr="00C848F2">
        <w:trPr>
          <w:trHeight w:val="665"/>
          <w:jc w:val="center"/>
        </w:trPr>
        <w:tc>
          <w:tcPr>
            <w:tcW w:w="5014" w:type="dxa"/>
          </w:tcPr>
          <w:p w:rsidR="00423156" w:rsidRDefault="000F6FD4">
            <w:r>
              <w:rPr>
                <w:sz w:val="18"/>
              </w:rPr>
              <w:t xml:space="preserve">Work pass </w:t>
            </w:r>
            <w:r>
              <w:rPr>
                <w:sz w:val="18"/>
              </w:rPr>
              <w:t>processing</w:t>
            </w:r>
          </w:p>
        </w:tc>
        <w:tc>
          <w:tcPr>
            <w:tcW w:w="5014" w:type="dxa"/>
          </w:tcPr>
          <w:p w:rsidR="00423156" w:rsidRDefault="000F6FD4">
            <w:r>
              <w:rPr>
                <w:sz w:val="18"/>
              </w:rPr>
              <w:t>A few weeks to a few months depending on pass type</w:t>
            </w:r>
          </w:p>
        </w:tc>
      </w:tr>
      <w:tr w:rsidR="00423156" w:rsidTr="00C848F2">
        <w:trPr>
          <w:trHeight w:val="617"/>
          <w:jc w:val="center"/>
        </w:trPr>
        <w:tc>
          <w:tcPr>
            <w:tcW w:w="5014" w:type="dxa"/>
          </w:tcPr>
          <w:p w:rsidR="00423156" w:rsidRDefault="000F6FD4">
            <w:r>
              <w:rPr>
                <w:sz w:val="18"/>
              </w:rPr>
              <w:t>GST registration</w:t>
            </w:r>
          </w:p>
        </w:tc>
        <w:tc>
          <w:tcPr>
            <w:tcW w:w="5014" w:type="dxa"/>
          </w:tcPr>
          <w:p w:rsidR="00423156" w:rsidRDefault="000F6FD4">
            <w:r>
              <w:rPr>
                <w:sz w:val="18"/>
              </w:rPr>
              <w:t>Required once taxable turnover exceeds S$1 million</w:t>
            </w:r>
          </w:p>
        </w:tc>
      </w:tr>
      <w:tr w:rsidR="00423156" w:rsidTr="00C848F2">
        <w:trPr>
          <w:trHeight w:val="665"/>
          <w:jc w:val="center"/>
        </w:trPr>
        <w:tc>
          <w:tcPr>
            <w:tcW w:w="5014" w:type="dxa"/>
          </w:tcPr>
          <w:p w:rsidR="00423156" w:rsidRDefault="000F6FD4">
            <w:r>
              <w:rPr>
                <w:sz w:val="18"/>
              </w:rPr>
              <w:t>Corporate setup costs</w:t>
            </w:r>
          </w:p>
        </w:tc>
        <w:tc>
          <w:tcPr>
            <w:tcW w:w="5014" w:type="dxa"/>
          </w:tcPr>
          <w:p w:rsidR="00423156" w:rsidRDefault="000F6FD4">
            <w:r>
              <w:rPr>
                <w:sz w:val="18"/>
              </w:rPr>
              <w:t>Varies widely by structure, sector, and service scope</w:t>
            </w:r>
          </w:p>
        </w:tc>
      </w:tr>
    </w:tbl>
    <w:p w:rsidR="00C848F2" w:rsidRPr="00C848F2" w:rsidRDefault="00C848F2" w:rsidP="00C848F2"/>
    <w:p w:rsidR="00C848F2" w:rsidRDefault="00C848F2">
      <w:pPr>
        <w:pStyle w:val="Heading1"/>
        <w:spacing w:before="160" w:after="40"/>
        <w:rPr>
          <w:rFonts w:ascii="Arial" w:hAnsi="Arial"/>
        </w:rPr>
      </w:pPr>
    </w:p>
    <w:p w:rsidR="00C848F2" w:rsidRDefault="00C848F2">
      <w:pPr>
        <w:pStyle w:val="Heading1"/>
        <w:spacing w:before="160" w:after="40"/>
        <w:rPr>
          <w:rFonts w:ascii="Arial" w:hAnsi="Arial"/>
        </w:rPr>
      </w:pPr>
    </w:p>
    <w:p w:rsidR="00C848F2" w:rsidRDefault="00C848F2">
      <w:pPr>
        <w:pStyle w:val="Heading1"/>
        <w:spacing w:before="160" w:after="40"/>
        <w:rPr>
          <w:rFonts w:ascii="Arial" w:hAnsi="Arial"/>
        </w:rPr>
      </w:pPr>
    </w:p>
    <w:p w:rsidR="00C848F2" w:rsidRDefault="00C848F2">
      <w:pPr>
        <w:pStyle w:val="Heading1"/>
        <w:spacing w:before="160" w:after="40"/>
        <w:rPr>
          <w:rFonts w:ascii="Arial" w:hAnsi="Arial"/>
        </w:rPr>
      </w:pPr>
    </w:p>
    <w:p w:rsidR="00423156" w:rsidRDefault="000F6FD4">
      <w:pPr>
        <w:pStyle w:val="Heading1"/>
        <w:spacing w:before="160" w:after="40"/>
      </w:pPr>
      <w:r>
        <w:rPr>
          <w:rFonts w:ascii="Arial" w:hAnsi="Arial"/>
        </w:rPr>
        <w:t>2. Country Snapshot</w:t>
      </w:r>
    </w:p>
    <w:p w:rsidR="00423156" w:rsidRDefault="000F6FD4">
      <w:pPr>
        <w:pStyle w:val="Heading2"/>
        <w:spacing w:before="160" w:after="40"/>
      </w:pPr>
      <w:r>
        <w:rPr>
          <w:rFonts w:ascii="Arial" w:hAnsi="Arial"/>
        </w:rPr>
        <w:t xml:space="preserve">2.1 Political and Economic </w:t>
      </w:r>
      <w:r>
        <w:rPr>
          <w:rFonts w:ascii="Arial" w:hAnsi="Arial"/>
        </w:rPr>
        <w:t>Overview</w:t>
      </w:r>
    </w:p>
    <w:p w:rsidR="00423156" w:rsidRDefault="000F6FD4">
      <w:pPr>
        <w:spacing w:after="80"/>
      </w:pPr>
      <w:r>
        <w:t xml:space="preserve">Singapore is a sovereign city-state and parliamentary republic. It uses the Singapore dollar (SGD) and is one of the world's major financial, logistics, shipping, and aviation hubs. The economy is highly diversified, with </w:t>
      </w:r>
      <w:r>
        <w:lastRenderedPageBreak/>
        <w:t>strengths in financial se</w:t>
      </w:r>
      <w:r>
        <w:t>rvices, wholesale trade, precision engineering, electronics, chemicals, biomedical sciences, digital services, maritime, and aviation.</w:t>
      </w:r>
    </w:p>
    <w:p w:rsidR="00423156" w:rsidRDefault="000F6FD4">
      <w:pPr>
        <w:pStyle w:val="Heading2"/>
        <w:spacing w:before="160" w:after="40"/>
      </w:pPr>
      <w:r>
        <w:rPr>
          <w:rFonts w:ascii="Arial" w:hAnsi="Arial"/>
        </w:rPr>
        <w:t>2.2 Demographics and Key Economic Hubs</w:t>
      </w:r>
    </w:p>
    <w:p w:rsidR="00423156" w:rsidRDefault="000F6FD4">
      <w:pPr>
        <w:spacing w:after="80"/>
      </w:pPr>
      <w:r>
        <w:t>Singapore's population is approximately 5.9 million, with a multinational workforc</w:t>
      </w:r>
      <w:r>
        <w:t>e and a very high urban density. Key commercial clusters include the Central Business District, Marina Bay, one-north, Changi Business Park, Jurong Innovation District, Tuas, and the industrial and logistics corridors around the port and airport.</w:t>
      </w:r>
    </w:p>
    <w:p w:rsidR="00423156" w:rsidRDefault="000F6FD4">
      <w:pPr>
        <w:pStyle w:val="Heading2"/>
        <w:spacing w:before="160" w:after="40"/>
      </w:pPr>
      <w:r>
        <w:rPr>
          <w:rFonts w:ascii="Arial" w:hAnsi="Arial"/>
        </w:rPr>
        <w:t>2.3 Trade</w:t>
      </w:r>
      <w:r>
        <w:rPr>
          <w:rFonts w:ascii="Arial" w:hAnsi="Arial"/>
        </w:rPr>
        <w:t xml:space="preserve"> Agreements and Tax Treaties</w:t>
      </w:r>
    </w:p>
    <w:p w:rsidR="00423156" w:rsidRDefault="000F6FD4">
      <w:pPr>
        <w:spacing w:after="80"/>
      </w:pPr>
      <w:r>
        <w:t xml:space="preserve">Singapore has a dense treaty network and is part of ASEAN, the Regional Comprehensive Economic Partnership (RCEP), and the Comprehensive and Progressive Agreement for Trans-Pacific Partnership (CPTPP). Singapore and India also </w:t>
      </w:r>
      <w:r>
        <w:t>have a Comprehensive Economic Cooperation Agreement (CECA) and a tax treaty that are frequently relevant for cross-border structuring, transfer pricing, and treaty relief planning.</w:t>
      </w: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A6574" w:rsidRDefault="004A6574">
      <w:pPr>
        <w:spacing w:after="80"/>
      </w:pPr>
    </w:p>
    <w:p w:rsidR="00423156" w:rsidRDefault="000F6FD4">
      <w:pPr>
        <w:pStyle w:val="Heading1"/>
        <w:spacing w:before="160" w:after="40"/>
      </w:pPr>
      <w:r>
        <w:rPr>
          <w:rFonts w:ascii="Arial" w:hAnsi="Arial"/>
        </w:rPr>
        <w:lastRenderedPageBreak/>
        <w:t>3. Investment Climate &amp; Business Environment</w:t>
      </w:r>
    </w:p>
    <w:p w:rsidR="00423156" w:rsidRDefault="000F6FD4">
      <w:pPr>
        <w:pStyle w:val="Heading2"/>
        <w:spacing w:before="160" w:after="40"/>
      </w:pPr>
      <w:r>
        <w:rPr>
          <w:rFonts w:ascii="Arial" w:hAnsi="Arial"/>
        </w:rPr>
        <w:t>3.1 Openness to Foreign Invest</w:t>
      </w:r>
      <w:r>
        <w:rPr>
          <w:rFonts w:ascii="Arial" w:hAnsi="Arial"/>
        </w:rPr>
        <w:t>ment</w:t>
      </w:r>
    </w:p>
    <w:p w:rsidR="00423156" w:rsidRDefault="000F6FD4">
      <w:pPr>
        <w:spacing w:after="80"/>
      </w:pPr>
      <w:r>
        <w:t>Foreign ownership is generally allowed up to 100% in Singapore, subject to sector-specific licensing or approval requirements. There is no general foreign investment screening regime for ordinary commercial businesses comparable to many other jurisdic</w:t>
      </w:r>
      <w:r>
        <w:t>tions, although sensitive sectors such as financial services, telecoms, media, aviation, and regulated professions may require approvals.</w:t>
      </w:r>
    </w:p>
    <w:p w:rsidR="00423156" w:rsidRDefault="000F6FD4">
      <w:pPr>
        <w:pStyle w:val="Heading2"/>
        <w:spacing w:before="160" w:after="40"/>
      </w:pPr>
      <w:r>
        <w:rPr>
          <w:rFonts w:ascii="Arial" w:hAnsi="Arial"/>
        </w:rPr>
        <w:t>3.2 Ease of Doing Business</w:t>
      </w:r>
    </w:p>
    <w:p w:rsidR="00423156" w:rsidRDefault="000F6FD4">
      <w:pPr>
        <w:spacing w:after="80"/>
      </w:pPr>
      <w:r>
        <w:t>Company registration is handled through ACRA's BizFile+ system. Most filings can be complet</w:t>
      </w:r>
      <w:r>
        <w:t>ed digitally, and Singapore is known for speed, predictability, and clean administrative processes. Businesses must still plan carefully for tax, banking, licensing, employment, and data compliance.</w:t>
      </w:r>
    </w:p>
    <w:p w:rsidR="00423156" w:rsidRDefault="000F6FD4">
      <w:pPr>
        <w:pStyle w:val="Heading2"/>
        <w:spacing w:before="160" w:after="40"/>
      </w:pPr>
      <w:r>
        <w:rPr>
          <w:rFonts w:ascii="Arial" w:hAnsi="Arial"/>
        </w:rPr>
        <w:t>3.3 Priority Sectors and Incentives</w:t>
      </w:r>
    </w:p>
    <w:p w:rsidR="00423156" w:rsidRDefault="000F6FD4">
      <w:pPr>
        <w:spacing w:after="80"/>
      </w:pPr>
      <w:r>
        <w:t>Singapore supports hi</w:t>
      </w:r>
      <w:r>
        <w:t>gh-value activities such as headquarters functions, trading, advanced manufacturing, logistics, digital services, fintech, biomedical sciences, green technologies, and R&amp;D. Incentives are typically targeted and negotiated through the Economic Development B</w:t>
      </w:r>
      <w:r>
        <w:t>oard (EDB) or other agencies, rather than offered as broad-based tax holidays to all entrants.</w:t>
      </w:r>
    </w:p>
    <w:p w:rsidR="00423156" w:rsidRDefault="000F6FD4">
      <w:pPr>
        <w:spacing w:after="80"/>
      </w:pPr>
      <w:r>
        <w:t>Common support schemes may include the Pioneer Incentive, Development and Expansion Incentive, Investment Allowance, R&amp;D tax deductions, grant support, and indus</w:t>
      </w:r>
      <w:r>
        <w:t>try programs. Eligibility depends on substance, investment size, local value creation, and strategic alignment.</w:t>
      </w:r>
    </w:p>
    <w:p w:rsidR="00423156" w:rsidRDefault="000F6FD4">
      <w:pPr>
        <w:pStyle w:val="Heading1"/>
        <w:spacing w:before="160" w:after="40"/>
      </w:pPr>
      <w:r>
        <w:rPr>
          <w:rFonts w:ascii="Arial" w:hAnsi="Arial"/>
        </w:rPr>
        <w:t>4. Market Entry Strategy</w:t>
      </w:r>
    </w:p>
    <w:p w:rsidR="00423156" w:rsidRDefault="000F6FD4">
      <w:pPr>
        <w:pStyle w:val="Heading2"/>
        <w:spacing w:before="160" w:after="40"/>
      </w:pPr>
      <w:r>
        <w:rPr>
          <w:rFonts w:ascii="Arial" w:hAnsi="Arial"/>
        </w:rPr>
        <w:t>4.1 Go-to-Market Models</w:t>
      </w:r>
    </w:p>
    <w:p w:rsidR="00423156" w:rsidRDefault="000F6FD4">
      <w:pPr>
        <w:spacing w:after="80"/>
      </w:pPr>
      <w:r>
        <w:t xml:space="preserve">Typical entry models include direct export into Singapore, appointing a local distributor or </w:t>
      </w:r>
      <w:r>
        <w:t>agent, establishing a Singapore Pte. Ltd., opening a branch office, creating a representative office, forming a joint venture, or acquiring an existing Singapore business.</w:t>
      </w:r>
    </w:p>
    <w:p w:rsidR="00423156" w:rsidRDefault="000F6FD4">
      <w:pPr>
        <w:pStyle w:val="Heading2"/>
        <w:spacing w:before="160" w:after="40"/>
      </w:pPr>
      <w:r>
        <w:rPr>
          <w:rFonts w:ascii="Arial" w:hAnsi="Arial"/>
        </w:rPr>
        <w:t>4.2 Strategic Considerations</w:t>
      </w:r>
    </w:p>
    <w:p w:rsidR="00423156" w:rsidRDefault="000F6FD4">
      <w:pPr>
        <w:spacing w:after="80"/>
      </w:pPr>
      <w:r>
        <w:t>The right structure depends on tax residency, liability</w:t>
      </w:r>
      <w:r>
        <w:t>, substance, licensing, staffing, transfer pricing, banking, and exit flexibility. For most revenue-generating foreign businesses, a Singapore Pte. Ltd. is the standard choice because it offers a separate legal personality and the most operational flexibil</w:t>
      </w:r>
      <w:r>
        <w:t>ity.</w:t>
      </w:r>
    </w:p>
    <w:tbl>
      <w:tblPr>
        <w:tblStyle w:val="TableGrid"/>
        <w:tblW w:w="0" w:type="auto"/>
        <w:jc w:val="center"/>
        <w:tblLook w:val="04A0" w:firstRow="1" w:lastRow="0" w:firstColumn="1" w:lastColumn="0" w:noHBand="0" w:noVBand="1"/>
      </w:tblPr>
      <w:tblGrid>
        <w:gridCol w:w="2484"/>
        <w:gridCol w:w="2484"/>
        <w:gridCol w:w="2484"/>
        <w:gridCol w:w="2484"/>
      </w:tblGrid>
      <w:tr w:rsidR="00423156">
        <w:trPr>
          <w:jc w:val="center"/>
        </w:trPr>
        <w:tc>
          <w:tcPr>
            <w:tcW w:w="2484" w:type="dxa"/>
          </w:tcPr>
          <w:p w:rsidR="00423156" w:rsidRDefault="000F6FD4">
            <w:r>
              <w:rPr>
                <w:b/>
                <w:sz w:val="18"/>
              </w:rPr>
              <w:t>Entry Model</w:t>
            </w:r>
          </w:p>
        </w:tc>
        <w:tc>
          <w:tcPr>
            <w:tcW w:w="2484" w:type="dxa"/>
          </w:tcPr>
          <w:p w:rsidR="00423156" w:rsidRDefault="000F6FD4">
            <w:r>
              <w:rPr>
                <w:b/>
                <w:sz w:val="18"/>
              </w:rPr>
              <w:t>Control</w:t>
            </w:r>
          </w:p>
        </w:tc>
        <w:tc>
          <w:tcPr>
            <w:tcW w:w="2484" w:type="dxa"/>
          </w:tcPr>
          <w:p w:rsidR="00423156" w:rsidRDefault="000F6FD4">
            <w:r>
              <w:rPr>
                <w:b/>
                <w:sz w:val="18"/>
              </w:rPr>
              <w:t>Speed</w:t>
            </w:r>
          </w:p>
        </w:tc>
        <w:tc>
          <w:tcPr>
            <w:tcW w:w="2484" w:type="dxa"/>
          </w:tcPr>
          <w:p w:rsidR="00423156" w:rsidRDefault="000F6FD4">
            <w:r>
              <w:rPr>
                <w:b/>
                <w:sz w:val="18"/>
              </w:rPr>
              <w:t>Tax / Compliance Notes</w:t>
            </w:r>
          </w:p>
        </w:tc>
      </w:tr>
      <w:tr w:rsidR="00423156">
        <w:trPr>
          <w:jc w:val="center"/>
        </w:trPr>
        <w:tc>
          <w:tcPr>
            <w:tcW w:w="2484" w:type="dxa"/>
          </w:tcPr>
          <w:p w:rsidR="00423156" w:rsidRDefault="000F6FD4">
            <w:r>
              <w:rPr>
                <w:sz w:val="18"/>
              </w:rPr>
              <w:t>Pte. Ltd. subsidiary</w:t>
            </w:r>
          </w:p>
        </w:tc>
        <w:tc>
          <w:tcPr>
            <w:tcW w:w="2484" w:type="dxa"/>
          </w:tcPr>
          <w:p w:rsidR="00423156" w:rsidRDefault="000F6FD4">
            <w:r>
              <w:rPr>
                <w:sz w:val="18"/>
              </w:rPr>
              <w:t>High</w:t>
            </w:r>
          </w:p>
        </w:tc>
        <w:tc>
          <w:tcPr>
            <w:tcW w:w="2484" w:type="dxa"/>
          </w:tcPr>
          <w:p w:rsidR="00423156" w:rsidRDefault="000F6FD4">
            <w:r>
              <w:rPr>
                <w:sz w:val="18"/>
              </w:rPr>
              <w:t>Fast</w:t>
            </w:r>
          </w:p>
        </w:tc>
        <w:tc>
          <w:tcPr>
            <w:tcW w:w="2484" w:type="dxa"/>
          </w:tcPr>
          <w:p w:rsidR="00423156" w:rsidRDefault="000F6FD4">
            <w:r>
              <w:rPr>
                <w:sz w:val="18"/>
              </w:rPr>
              <w:t>Separate legal entity; preferred for operating businesses</w:t>
            </w:r>
          </w:p>
        </w:tc>
      </w:tr>
      <w:tr w:rsidR="00423156">
        <w:trPr>
          <w:jc w:val="center"/>
        </w:trPr>
        <w:tc>
          <w:tcPr>
            <w:tcW w:w="2484" w:type="dxa"/>
          </w:tcPr>
          <w:p w:rsidR="00423156" w:rsidRDefault="000F6FD4">
            <w:r>
              <w:rPr>
                <w:sz w:val="18"/>
              </w:rPr>
              <w:t>Branch office</w:t>
            </w:r>
          </w:p>
        </w:tc>
        <w:tc>
          <w:tcPr>
            <w:tcW w:w="2484" w:type="dxa"/>
          </w:tcPr>
          <w:p w:rsidR="00423156" w:rsidRDefault="000F6FD4">
            <w:r>
              <w:rPr>
                <w:sz w:val="18"/>
              </w:rPr>
              <w:t>High</w:t>
            </w:r>
          </w:p>
        </w:tc>
        <w:tc>
          <w:tcPr>
            <w:tcW w:w="2484" w:type="dxa"/>
          </w:tcPr>
          <w:p w:rsidR="00423156" w:rsidRDefault="000F6FD4">
            <w:r>
              <w:rPr>
                <w:sz w:val="18"/>
              </w:rPr>
              <w:t>Moderate</w:t>
            </w:r>
          </w:p>
        </w:tc>
        <w:tc>
          <w:tcPr>
            <w:tcW w:w="2484" w:type="dxa"/>
          </w:tcPr>
          <w:p w:rsidR="00423156" w:rsidRDefault="000F6FD4">
            <w:r>
              <w:rPr>
                <w:sz w:val="18"/>
              </w:rPr>
              <w:t>Not a separate entity; parent is liable</w:t>
            </w:r>
          </w:p>
        </w:tc>
      </w:tr>
      <w:tr w:rsidR="00423156">
        <w:trPr>
          <w:jc w:val="center"/>
        </w:trPr>
        <w:tc>
          <w:tcPr>
            <w:tcW w:w="2484" w:type="dxa"/>
          </w:tcPr>
          <w:p w:rsidR="00423156" w:rsidRDefault="000F6FD4">
            <w:r>
              <w:rPr>
                <w:sz w:val="18"/>
              </w:rPr>
              <w:t>Representative office</w:t>
            </w:r>
          </w:p>
        </w:tc>
        <w:tc>
          <w:tcPr>
            <w:tcW w:w="2484" w:type="dxa"/>
          </w:tcPr>
          <w:p w:rsidR="00423156" w:rsidRDefault="000F6FD4">
            <w:r>
              <w:rPr>
                <w:sz w:val="18"/>
              </w:rPr>
              <w:t>Low</w:t>
            </w:r>
          </w:p>
        </w:tc>
        <w:tc>
          <w:tcPr>
            <w:tcW w:w="2484" w:type="dxa"/>
          </w:tcPr>
          <w:p w:rsidR="00423156" w:rsidRDefault="000F6FD4">
            <w:r>
              <w:rPr>
                <w:sz w:val="18"/>
              </w:rPr>
              <w:t>Fast</w:t>
            </w:r>
          </w:p>
        </w:tc>
        <w:tc>
          <w:tcPr>
            <w:tcW w:w="2484" w:type="dxa"/>
          </w:tcPr>
          <w:p w:rsidR="00423156" w:rsidRDefault="000F6FD4">
            <w:r>
              <w:rPr>
                <w:sz w:val="18"/>
              </w:rPr>
              <w:t xml:space="preserve">No </w:t>
            </w:r>
            <w:r>
              <w:rPr>
                <w:sz w:val="18"/>
              </w:rPr>
              <w:t>revenue-generating activity</w:t>
            </w:r>
          </w:p>
        </w:tc>
      </w:tr>
      <w:tr w:rsidR="00423156">
        <w:trPr>
          <w:jc w:val="center"/>
        </w:trPr>
        <w:tc>
          <w:tcPr>
            <w:tcW w:w="2484" w:type="dxa"/>
          </w:tcPr>
          <w:p w:rsidR="00423156" w:rsidRDefault="000F6FD4">
            <w:r>
              <w:rPr>
                <w:sz w:val="18"/>
              </w:rPr>
              <w:t>JV</w:t>
            </w:r>
          </w:p>
        </w:tc>
        <w:tc>
          <w:tcPr>
            <w:tcW w:w="2484" w:type="dxa"/>
          </w:tcPr>
          <w:p w:rsidR="00423156" w:rsidRDefault="000F6FD4">
            <w:r>
              <w:rPr>
                <w:sz w:val="18"/>
              </w:rPr>
              <w:t>Shared</w:t>
            </w:r>
          </w:p>
        </w:tc>
        <w:tc>
          <w:tcPr>
            <w:tcW w:w="2484" w:type="dxa"/>
          </w:tcPr>
          <w:p w:rsidR="00423156" w:rsidRDefault="000F6FD4">
            <w:r>
              <w:rPr>
                <w:sz w:val="18"/>
              </w:rPr>
              <w:t>Moderate</w:t>
            </w:r>
          </w:p>
        </w:tc>
        <w:tc>
          <w:tcPr>
            <w:tcW w:w="2484" w:type="dxa"/>
          </w:tcPr>
          <w:p w:rsidR="00423156" w:rsidRDefault="000F6FD4">
            <w:r>
              <w:rPr>
                <w:sz w:val="18"/>
              </w:rPr>
              <w:t>Useful where local know-how or regulated participation is needed</w:t>
            </w:r>
          </w:p>
        </w:tc>
      </w:tr>
      <w:tr w:rsidR="00423156">
        <w:trPr>
          <w:jc w:val="center"/>
        </w:trPr>
        <w:tc>
          <w:tcPr>
            <w:tcW w:w="2484" w:type="dxa"/>
          </w:tcPr>
          <w:p w:rsidR="00423156" w:rsidRDefault="000F6FD4">
            <w:r>
              <w:rPr>
                <w:sz w:val="18"/>
              </w:rPr>
              <w:t>Acquisition</w:t>
            </w:r>
          </w:p>
        </w:tc>
        <w:tc>
          <w:tcPr>
            <w:tcW w:w="2484" w:type="dxa"/>
          </w:tcPr>
          <w:p w:rsidR="00423156" w:rsidRDefault="000F6FD4">
            <w:r>
              <w:rPr>
                <w:sz w:val="18"/>
              </w:rPr>
              <w:t>High</w:t>
            </w:r>
          </w:p>
        </w:tc>
        <w:tc>
          <w:tcPr>
            <w:tcW w:w="2484" w:type="dxa"/>
          </w:tcPr>
          <w:p w:rsidR="00423156" w:rsidRDefault="000F6FD4">
            <w:r>
              <w:rPr>
                <w:sz w:val="18"/>
              </w:rPr>
              <w:t>Variable</w:t>
            </w:r>
          </w:p>
        </w:tc>
        <w:tc>
          <w:tcPr>
            <w:tcW w:w="2484" w:type="dxa"/>
          </w:tcPr>
          <w:p w:rsidR="00423156" w:rsidRDefault="000F6FD4">
            <w:r>
              <w:rPr>
                <w:sz w:val="18"/>
              </w:rPr>
              <w:t>Requires legal, tax, and due diligence work</w:t>
            </w:r>
          </w:p>
        </w:tc>
      </w:tr>
    </w:tbl>
    <w:p w:rsidR="00423156" w:rsidRDefault="000F6FD4">
      <w:pPr>
        <w:pStyle w:val="Heading1"/>
        <w:spacing w:before="160" w:after="40"/>
      </w:pPr>
      <w:r>
        <w:rPr>
          <w:rFonts w:ascii="Arial" w:hAnsi="Arial"/>
        </w:rPr>
        <w:t>5. Legal and Regulatory Framework</w:t>
      </w:r>
    </w:p>
    <w:p w:rsidR="00423156" w:rsidRDefault="000F6FD4">
      <w:pPr>
        <w:pStyle w:val="Heading2"/>
        <w:spacing w:before="160" w:after="40"/>
      </w:pPr>
      <w:r>
        <w:rPr>
          <w:rFonts w:ascii="Arial" w:hAnsi="Arial"/>
        </w:rPr>
        <w:t>5.1 Overview of the Legal System</w:t>
      </w:r>
    </w:p>
    <w:p w:rsidR="00423156" w:rsidRDefault="000F6FD4">
      <w:pPr>
        <w:spacing w:after="80"/>
      </w:pPr>
      <w:r>
        <w:t>Singapore follows common law, with statutes and case law playing central roles. Commercial certainty, strong contract enforcement, and independent courts are major advantages for investors.</w:t>
      </w:r>
    </w:p>
    <w:p w:rsidR="00423156" w:rsidRDefault="000F6FD4">
      <w:pPr>
        <w:pStyle w:val="Heading2"/>
        <w:spacing w:before="160" w:after="40"/>
      </w:pPr>
      <w:r>
        <w:rPr>
          <w:rFonts w:ascii="Arial" w:hAnsi="Arial"/>
        </w:rPr>
        <w:lastRenderedPageBreak/>
        <w:t>5.2 Key Regulatory Bodies</w:t>
      </w:r>
    </w:p>
    <w:p w:rsidR="00423156" w:rsidRDefault="000F6FD4">
      <w:pPr>
        <w:spacing w:after="80"/>
      </w:pPr>
      <w:r>
        <w:t>Key agencies include ACRA (company regis</w:t>
      </w:r>
      <w:r>
        <w:t>tration and corporate filings), IRAS (tax), MAS (financial regulation), MOM (employment and work passes), EDB (investment promotion), PDPC (data protection), IPOS (intellectual property), and CCCS (competition and consumer issues).</w:t>
      </w:r>
    </w:p>
    <w:p w:rsidR="00423156" w:rsidRDefault="000F6FD4">
      <w:pPr>
        <w:pStyle w:val="Heading2"/>
        <w:spacing w:before="160" w:after="40"/>
      </w:pPr>
      <w:r>
        <w:rPr>
          <w:rFonts w:ascii="Arial" w:hAnsi="Arial"/>
        </w:rPr>
        <w:t>5.3 Competition, Consume</w:t>
      </w:r>
      <w:r>
        <w:rPr>
          <w:rFonts w:ascii="Arial" w:hAnsi="Arial"/>
        </w:rPr>
        <w:t>r Protection, and Data Privacy</w:t>
      </w:r>
    </w:p>
    <w:p w:rsidR="00423156" w:rsidRDefault="000F6FD4">
      <w:pPr>
        <w:spacing w:after="80"/>
      </w:pPr>
      <w:r>
        <w:t>Competition matters are governed by the Competition Act and enforced by CCCS. Consumer protection rules apply under Singapore law and sectoral frameworks. Data privacy is governed by the Personal Data Protection Act 2012 (PDP</w:t>
      </w:r>
      <w:r>
        <w:t>A), administered by the Personal Data Protection Commission. Businesses handling personal data should maintain a data protection policy, lawful collection notices, retention controls, breach response procedures, and vendor agreements.</w:t>
      </w:r>
    </w:p>
    <w:p w:rsidR="00423156" w:rsidRDefault="000F6FD4">
      <w:pPr>
        <w:pStyle w:val="Heading1"/>
        <w:spacing w:before="160" w:after="40"/>
      </w:pPr>
      <w:r>
        <w:rPr>
          <w:rFonts w:ascii="Arial" w:hAnsi="Arial"/>
        </w:rPr>
        <w:t>6. Business Structure</w:t>
      </w:r>
      <w:r>
        <w:rPr>
          <w:rFonts w:ascii="Arial" w:hAnsi="Arial"/>
        </w:rPr>
        <w:t>s for Foreign Investors</w:t>
      </w:r>
    </w:p>
    <w:p w:rsidR="00423156" w:rsidRDefault="000F6FD4">
      <w:pPr>
        <w:pStyle w:val="Heading2"/>
        <w:spacing w:before="160" w:after="40"/>
      </w:pPr>
      <w:r>
        <w:rPr>
          <w:rFonts w:ascii="Arial" w:hAnsi="Arial"/>
        </w:rPr>
        <w:t>6.1 Available Business Vehicles</w:t>
      </w:r>
    </w:p>
    <w:p w:rsidR="00423156" w:rsidRDefault="000F6FD4">
      <w:pPr>
        <w:spacing w:after="80"/>
      </w:pPr>
      <w:r>
        <w:t>The most common vehicles are the Singapore Pte. Ltd., branch office, representative office, sole proprietorship, partnership, limited liability partnership (LLP), and, in some cases, a project-specifi</w:t>
      </w:r>
      <w:r>
        <w:t>c joint venture. For most foreign groups, the Pte. Ltd. is the most practical and bankable structure.</w:t>
      </w:r>
    </w:p>
    <w:p w:rsidR="00423156" w:rsidRDefault="000F6FD4">
      <w:pPr>
        <w:spacing w:after="80"/>
      </w:pPr>
      <w:r>
        <w:t>A Singapore company must have at least one shareholder, one locally resident director, a company secretary appointed within six months of incorporation, a</w:t>
      </w:r>
      <w:r>
        <w:t>nd a registered office in Singapore. There is no general minimum paid-up capital beyond S$1, although regulated businesses may need more.</w:t>
      </w:r>
    </w:p>
    <w:p w:rsidR="00423156" w:rsidRDefault="000F6FD4">
      <w:pPr>
        <w:pStyle w:val="Heading2"/>
        <w:spacing w:before="160" w:after="40"/>
      </w:pPr>
      <w:r>
        <w:rPr>
          <w:rFonts w:ascii="Arial" w:hAnsi="Arial"/>
        </w:rPr>
        <w:t>6.2 Comparative Table of Structures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423156">
        <w:trPr>
          <w:jc w:val="center"/>
        </w:trPr>
        <w:tc>
          <w:tcPr>
            <w:tcW w:w="1987" w:type="dxa"/>
          </w:tcPr>
          <w:p w:rsidR="00423156" w:rsidRDefault="000F6FD4">
            <w:r>
              <w:rPr>
                <w:b/>
                <w:sz w:val="18"/>
              </w:rPr>
              <w:t>Feature</w:t>
            </w:r>
          </w:p>
        </w:tc>
        <w:tc>
          <w:tcPr>
            <w:tcW w:w="1987" w:type="dxa"/>
          </w:tcPr>
          <w:p w:rsidR="00423156" w:rsidRDefault="000F6FD4">
            <w:r>
              <w:rPr>
                <w:b/>
                <w:sz w:val="18"/>
              </w:rPr>
              <w:t>Pte. Ltd.</w:t>
            </w:r>
          </w:p>
        </w:tc>
        <w:tc>
          <w:tcPr>
            <w:tcW w:w="1987" w:type="dxa"/>
          </w:tcPr>
          <w:p w:rsidR="00423156" w:rsidRDefault="000F6FD4">
            <w:r>
              <w:rPr>
                <w:b/>
                <w:sz w:val="18"/>
              </w:rPr>
              <w:t>Branch Office</w:t>
            </w:r>
          </w:p>
        </w:tc>
        <w:tc>
          <w:tcPr>
            <w:tcW w:w="1987" w:type="dxa"/>
          </w:tcPr>
          <w:p w:rsidR="00423156" w:rsidRDefault="000F6FD4">
            <w:r>
              <w:rPr>
                <w:b/>
                <w:sz w:val="18"/>
              </w:rPr>
              <w:t>Representative Office</w:t>
            </w:r>
          </w:p>
        </w:tc>
        <w:tc>
          <w:tcPr>
            <w:tcW w:w="1987" w:type="dxa"/>
          </w:tcPr>
          <w:p w:rsidR="00423156" w:rsidRDefault="000F6FD4">
            <w:r>
              <w:rPr>
                <w:b/>
                <w:sz w:val="18"/>
              </w:rPr>
              <w:t>LLP / Partnership</w:t>
            </w:r>
          </w:p>
        </w:tc>
      </w:tr>
      <w:tr w:rsidR="00423156">
        <w:trPr>
          <w:jc w:val="center"/>
        </w:trPr>
        <w:tc>
          <w:tcPr>
            <w:tcW w:w="1987" w:type="dxa"/>
          </w:tcPr>
          <w:p w:rsidR="00423156" w:rsidRDefault="000F6FD4">
            <w:r>
              <w:rPr>
                <w:sz w:val="18"/>
              </w:rPr>
              <w:t xml:space="preserve">Separate </w:t>
            </w:r>
            <w:r>
              <w:rPr>
                <w:sz w:val="18"/>
              </w:rPr>
              <w:t>legal entity</w:t>
            </w:r>
          </w:p>
        </w:tc>
        <w:tc>
          <w:tcPr>
            <w:tcW w:w="1987" w:type="dxa"/>
          </w:tcPr>
          <w:p w:rsidR="00423156" w:rsidRDefault="000F6FD4">
            <w:r>
              <w:rPr>
                <w:sz w:val="18"/>
              </w:rPr>
              <w:t>Yes</w:t>
            </w:r>
          </w:p>
        </w:tc>
        <w:tc>
          <w:tcPr>
            <w:tcW w:w="1987" w:type="dxa"/>
          </w:tcPr>
          <w:p w:rsidR="00423156" w:rsidRDefault="000F6FD4">
            <w:r>
              <w:rPr>
                <w:sz w:val="18"/>
              </w:rPr>
              <w:t>No</w:t>
            </w:r>
          </w:p>
        </w:tc>
        <w:tc>
          <w:tcPr>
            <w:tcW w:w="1987" w:type="dxa"/>
          </w:tcPr>
          <w:p w:rsidR="00423156" w:rsidRDefault="000F6FD4">
            <w:r>
              <w:rPr>
                <w:sz w:val="18"/>
              </w:rPr>
              <w:t>No</w:t>
            </w:r>
          </w:p>
        </w:tc>
        <w:tc>
          <w:tcPr>
            <w:tcW w:w="1987" w:type="dxa"/>
          </w:tcPr>
          <w:p w:rsidR="00423156" w:rsidRDefault="000F6FD4">
            <w:r>
              <w:rPr>
                <w:sz w:val="18"/>
              </w:rPr>
              <w:t>Depends</w:t>
            </w:r>
          </w:p>
        </w:tc>
      </w:tr>
      <w:tr w:rsidR="00423156">
        <w:trPr>
          <w:jc w:val="center"/>
        </w:trPr>
        <w:tc>
          <w:tcPr>
            <w:tcW w:w="1987" w:type="dxa"/>
          </w:tcPr>
          <w:p w:rsidR="00423156" w:rsidRDefault="000F6FD4">
            <w:r>
              <w:rPr>
                <w:sz w:val="18"/>
              </w:rPr>
              <w:t>Revenue-generating</w:t>
            </w:r>
          </w:p>
        </w:tc>
        <w:tc>
          <w:tcPr>
            <w:tcW w:w="1987" w:type="dxa"/>
          </w:tcPr>
          <w:p w:rsidR="00423156" w:rsidRDefault="000F6FD4">
            <w:r>
              <w:rPr>
                <w:sz w:val="18"/>
              </w:rPr>
              <w:t>Yes</w:t>
            </w:r>
          </w:p>
        </w:tc>
        <w:tc>
          <w:tcPr>
            <w:tcW w:w="1987" w:type="dxa"/>
          </w:tcPr>
          <w:p w:rsidR="00423156" w:rsidRDefault="000F6FD4">
            <w:r>
              <w:rPr>
                <w:sz w:val="18"/>
              </w:rPr>
              <w:t>Yes</w:t>
            </w:r>
          </w:p>
        </w:tc>
        <w:tc>
          <w:tcPr>
            <w:tcW w:w="1987" w:type="dxa"/>
          </w:tcPr>
          <w:p w:rsidR="00423156" w:rsidRDefault="000F6FD4">
            <w:r>
              <w:rPr>
                <w:sz w:val="18"/>
              </w:rPr>
              <w:t>No</w:t>
            </w:r>
          </w:p>
        </w:tc>
        <w:tc>
          <w:tcPr>
            <w:tcW w:w="1987" w:type="dxa"/>
          </w:tcPr>
          <w:p w:rsidR="00423156" w:rsidRDefault="000F6FD4">
            <w:r>
              <w:rPr>
                <w:sz w:val="18"/>
              </w:rPr>
              <w:t>Yes</w:t>
            </w:r>
          </w:p>
        </w:tc>
      </w:tr>
      <w:tr w:rsidR="00423156">
        <w:trPr>
          <w:jc w:val="center"/>
        </w:trPr>
        <w:tc>
          <w:tcPr>
            <w:tcW w:w="1987" w:type="dxa"/>
          </w:tcPr>
          <w:p w:rsidR="00423156" w:rsidRDefault="000F6FD4">
            <w:r>
              <w:rPr>
                <w:sz w:val="18"/>
              </w:rPr>
              <w:t>Foreign ownership</w:t>
            </w:r>
          </w:p>
        </w:tc>
        <w:tc>
          <w:tcPr>
            <w:tcW w:w="1987" w:type="dxa"/>
          </w:tcPr>
          <w:p w:rsidR="00423156" w:rsidRDefault="000F6FD4">
            <w:r>
              <w:rPr>
                <w:sz w:val="18"/>
              </w:rPr>
              <w:t>Up to 100%</w:t>
            </w:r>
          </w:p>
        </w:tc>
        <w:tc>
          <w:tcPr>
            <w:tcW w:w="1987" w:type="dxa"/>
          </w:tcPr>
          <w:p w:rsidR="00423156" w:rsidRDefault="000F6FD4">
            <w:r>
              <w:rPr>
                <w:sz w:val="18"/>
              </w:rPr>
              <w:t>100% parent-owned</w:t>
            </w:r>
          </w:p>
        </w:tc>
        <w:tc>
          <w:tcPr>
            <w:tcW w:w="1987" w:type="dxa"/>
          </w:tcPr>
          <w:p w:rsidR="00423156" w:rsidRDefault="000F6FD4">
            <w:r>
              <w:rPr>
                <w:sz w:val="18"/>
              </w:rPr>
              <w:t>100% parent-owned</w:t>
            </w:r>
          </w:p>
        </w:tc>
        <w:tc>
          <w:tcPr>
            <w:tcW w:w="1987" w:type="dxa"/>
          </w:tcPr>
          <w:p w:rsidR="00423156" w:rsidRDefault="000F6FD4">
            <w:r>
              <w:rPr>
                <w:sz w:val="18"/>
              </w:rPr>
              <w:t>Varies</w:t>
            </w:r>
          </w:p>
        </w:tc>
      </w:tr>
      <w:tr w:rsidR="00423156">
        <w:trPr>
          <w:jc w:val="center"/>
        </w:trPr>
        <w:tc>
          <w:tcPr>
            <w:tcW w:w="1987" w:type="dxa"/>
          </w:tcPr>
          <w:p w:rsidR="00423156" w:rsidRDefault="000F6FD4">
            <w:r>
              <w:rPr>
                <w:sz w:val="18"/>
              </w:rPr>
              <w:t>Tax treatment</w:t>
            </w:r>
          </w:p>
        </w:tc>
        <w:tc>
          <w:tcPr>
            <w:tcW w:w="1987" w:type="dxa"/>
          </w:tcPr>
          <w:p w:rsidR="00423156" w:rsidRDefault="000F6FD4">
            <w:r>
              <w:rPr>
                <w:sz w:val="18"/>
              </w:rPr>
              <w:t>Taxed on Singapore-source income</w:t>
            </w:r>
          </w:p>
        </w:tc>
        <w:tc>
          <w:tcPr>
            <w:tcW w:w="1987" w:type="dxa"/>
          </w:tcPr>
          <w:p w:rsidR="00423156" w:rsidRDefault="000F6FD4">
            <w:r>
              <w:rPr>
                <w:sz w:val="18"/>
              </w:rPr>
              <w:t>Taxed as branch profits</w:t>
            </w:r>
          </w:p>
        </w:tc>
        <w:tc>
          <w:tcPr>
            <w:tcW w:w="1987" w:type="dxa"/>
          </w:tcPr>
          <w:p w:rsidR="00423156" w:rsidRDefault="000F6FD4">
            <w:r>
              <w:rPr>
                <w:sz w:val="18"/>
              </w:rPr>
              <w:t>No tax on non-trading liaison activity</w:t>
            </w:r>
          </w:p>
        </w:tc>
        <w:tc>
          <w:tcPr>
            <w:tcW w:w="1987" w:type="dxa"/>
          </w:tcPr>
          <w:p w:rsidR="00423156" w:rsidRDefault="000F6FD4">
            <w:r>
              <w:rPr>
                <w:sz w:val="18"/>
              </w:rPr>
              <w:t>Depends on form</w:t>
            </w:r>
          </w:p>
        </w:tc>
      </w:tr>
      <w:tr w:rsidR="00423156">
        <w:trPr>
          <w:jc w:val="center"/>
        </w:trPr>
        <w:tc>
          <w:tcPr>
            <w:tcW w:w="1987" w:type="dxa"/>
          </w:tcPr>
          <w:p w:rsidR="00423156" w:rsidRDefault="000F6FD4">
            <w:r>
              <w:rPr>
                <w:sz w:val="18"/>
              </w:rPr>
              <w:t>Best for</w:t>
            </w:r>
          </w:p>
        </w:tc>
        <w:tc>
          <w:tcPr>
            <w:tcW w:w="1987" w:type="dxa"/>
          </w:tcPr>
          <w:p w:rsidR="00423156" w:rsidRDefault="000F6FD4">
            <w:r>
              <w:rPr>
                <w:sz w:val="18"/>
              </w:rPr>
              <w:t>Operating businesses</w:t>
            </w:r>
          </w:p>
        </w:tc>
        <w:tc>
          <w:tcPr>
            <w:tcW w:w="1987" w:type="dxa"/>
          </w:tcPr>
          <w:p w:rsidR="00423156" w:rsidRDefault="000F6FD4">
            <w:r>
              <w:rPr>
                <w:sz w:val="18"/>
              </w:rPr>
              <w:t>Foreign company presence</w:t>
            </w:r>
          </w:p>
        </w:tc>
        <w:tc>
          <w:tcPr>
            <w:tcW w:w="1987" w:type="dxa"/>
          </w:tcPr>
          <w:p w:rsidR="00423156" w:rsidRDefault="000F6FD4">
            <w:r>
              <w:rPr>
                <w:sz w:val="18"/>
              </w:rPr>
              <w:t>Market research / liaison</w:t>
            </w:r>
          </w:p>
        </w:tc>
        <w:tc>
          <w:tcPr>
            <w:tcW w:w="1987" w:type="dxa"/>
          </w:tcPr>
          <w:p w:rsidR="00423156" w:rsidRDefault="000F6FD4">
            <w:r>
              <w:rPr>
                <w:sz w:val="18"/>
              </w:rPr>
              <w:t>Professional or collaborative arrangements</w:t>
            </w:r>
          </w:p>
        </w:tc>
      </w:tr>
    </w:tbl>
    <w:p w:rsidR="00423156" w:rsidRDefault="000F6FD4">
      <w:pPr>
        <w:pStyle w:val="Heading1"/>
        <w:spacing w:before="160" w:after="40"/>
      </w:pPr>
      <w:r>
        <w:rPr>
          <w:rFonts w:ascii="Arial" w:hAnsi="Arial"/>
        </w:rPr>
        <w:t>7. Foreign Investment Rules and Exchange Control</w:t>
      </w:r>
    </w:p>
    <w:p w:rsidR="00423156" w:rsidRDefault="000F6FD4">
      <w:pPr>
        <w:pStyle w:val="Heading2"/>
        <w:spacing w:before="160" w:after="40"/>
      </w:pPr>
      <w:r>
        <w:rPr>
          <w:rFonts w:ascii="Arial" w:hAnsi="Arial"/>
        </w:rPr>
        <w:t>7.1 FDI Regime Overview</w:t>
      </w:r>
    </w:p>
    <w:p w:rsidR="00423156" w:rsidRDefault="000F6FD4">
      <w:pPr>
        <w:spacing w:after="80"/>
      </w:pPr>
      <w:r>
        <w:t>Singapore does not have a general foreign</w:t>
      </w:r>
      <w:r>
        <w:t xml:space="preserve"> exchange control regime. Foreign investment is largely open, but certain sectors are regulated for policy, prudential, or public-interest reasons. Company ownership is generally flexible, and there is no foreign ownership cap for most ordinary businesses.</w:t>
      </w:r>
    </w:p>
    <w:p w:rsidR="00423156" w:rsidRDefault="000F6FD4">
      <w:pPr>
        <w:pStyle w:val="Heading2"/>
        <w:spacing w:before="160" w:after="40"/>
      </w:pPr>
      <w:r>
        <w:rPr>
          <w:rFonts w:ascii="Arial" w:hAnsi="Arial"/>
        </w:rPr>
        <w:t>7.2 Key Conditions for Foreign Shareholders</w:t>
      </w:r>
    </w:p>
    <w:p w:rsidR="00423156" w:rsidRDefault="000F6FD4">
      <w:pPr>
        <w:spacing w:after="80"/>
      </w:pPr>
      <w:r>
        <w:t>Foreign shareholders can own 100% of a Singapore company in most sectors. Practical compliance requirements usually include a local resident director, a registered office, a corporate secretary, and proper benef</w:t>
      </w:r>
      <w:r>
        <w:t>icial ownership records. Additional licences or approvals may apply in finance, telecom, healthcare, education, import/export, employment agencies, and other regulated businesses.</w:t>
      </w:r>
    </w:p>
    <w:p w:rsidR="00423156" w:rsidRDefault="000F6FD4">
      <w:pPr>
        <w:pStyle w:val="Heading2"/>
        <w:spacing w:before="160" w:after="40"/>
      </w:pPr>
      <w:r>
        <w:rPr>
          <w:rFonts w:ascii="Arial" w:hAnsi="Arial"/>
        </w:rPr>
        <w:t>7.3 Foreign Exchange Regulations</w:t>
      </w:r>
    </w:p>
    <w:p w:rsidR="00423156" w:rsidRDefault="000F6FD4">
      <w:pPr>
        <w:spacing w:after="80"/>
      </w:pPr>
      <w:r>
        <w:t>Singapore does not impose general restricti</w:t>
      </w:r>
      <w:r>
        <w:t>ons on the repatriation of profits, capital, or dividends. Banks will still require robust anti-money laundering and know-your-customer documentation. Cross-border payments should be reviewed for tax withholding, transfer pricing, and treaty considerations</w:t>
      </w:r>
      <w:r>
        <w:t>.</w:t>
      </w:r>
    </w:p>
    <w:p w:rsidR="00423156" w:rsidRDefault="000F6FD4">
      <w:pPr>
        <w:pStyle w:val="Heading1"/>
        <w:spacing w:before="160" w:after="40"/>
      </w:pPr>
      <w:r>
        <w:rPr>
          <w:rFonts w:ascii="Arial" w:hAnsi="Arial"/>
        </w:rPr>
        <w:lastRenderedPageBreak/>
        <w:t>8. Step-by-Step Incorporation &amp; Registration Process</w:t>
      </w:r>
    </w:p>
    <w:p w:rsidR="00423156" w:rsidRDefault="000F6FD4">
      <w:pPr>
        <w:pStyle w:val="Heading2"/>
        <w:spacing w:before="160" w:after="40"/>
      </w:pPr>
      <w:r>
        <w:rPr>
          <w:rFonts w:ascii="Arial" w:hAnsi="Arial"/>
        </w:rPr>
        <w:t>8.1 Pre-Incorporation Planning</w:t>
      </w:r>
    </w:p>
    <w:p w:rsidR="00423156" w:rsidRDefault="000F6FD4">
      <w:pPr>
        <w:spacing w:after="80"/>
      </w:pPr>
      <w:r>
        <w:t xml:space="preserve">Before incorporation, confirm your business activity, shareholding structure, resident director, office address, tax profile, licensing needs, and banking requirements. </w:t>
      </w:r>
      <w:r>
        <w:t>It is also important to assess whether your activity is regulated and whether any work passes will be required for founders or staff.</w:t>
      </w:r>
    </w:p>
    <w:p w:rsidR="00423156" w:rsidRDefault="000F6FD4">
      <w:pPr>
        <w:pStyle w:val="Heading2"/>
        <w:spacing w:before="160" w:after="40"/>
      </w:pPr>
      <w:r>
        <w:rPr>
          <w:rFonts w:ascii="Arial" w:hAnsi="Arial"/>
        </w:rPr>
        <w:t>8.2 Step-by-Step Incorporation Workflow</w:t>
      </w:r>
    </w:p>
    <w:tbl>
      <w:tblPr>
        <w:tblStyle w:val="TableGrid"/>
        <w:tblW w:w="0" w:type="auto"/>
        <w:jc w:val="center"/>
        <w:tblLook w:val="04A0" w:firstRow="1" w:lastRow="0" w:firstColumn="1" w:lastColumn="0" w:noHBand="0" w:noVBand="1"/>
      </w:tblPr>
      <w:tblGrid>
        <w:gridCol w:w="2484"/>
        <w:gridCol w:w="2484"/>
        <w:gridCol w:w="2484"/>
        <w:gridCol w:w="2484"/>
      </w:tblGrid>
      <w:tr w:rsidR="00423156">
        <w:trPr>
          <w:jc w:val="center"/>
        </w:trPr>
        <w:tc>
          <w:tcPr>
            <w:tcW w:w="2484" w:type="dxa"/>
          </w:tcPr>
          <w:p w:rsidR="00423156" w:rsidRDefault="000F6FD4">
            <w:r>
              <w:rPr>
                <w:b/>
                <w:sz w:val="18"/>
              </w:rPr>
              <w:t>Step</w:t>
            </w:r>
          </w:p>
        </w:tc>
        <w:tc>
          <w:tcPr>
            <w:tcW w:w="2484" w:type="dxa"/>
          </w:tcPr>
          <w:p w:rsidR="00423156" w:rsidRDefault="000F6FD4">
            <w:r>
              <w:rPr>
                <w:b/>
                <w:sz w:val="18"/>
              </w:rPr>
              <w:t>Activity</w:t>
            </w:r>
          </w:p>
        </w:tc>
        <w:tc>
          <w:tcPr>
            <w:tcW w:w="2484" w:type="dxa"/>
          </w:tcPr>
          <w:p w:rsidR="00423156" w:rsidRDefault="000F6FD4">
            <w:r>
              <w:rPr>
                <w:b/>
                <w:sz w:val="18"/>
              </w:rPr>
              <w:t>Typical Timeline</w:t>
            </w:r>
          </w:p>
        </w:tc>
        <w:tc>
          <w:tcPr>
            <w:tcW w:w="2484" w:type="dxa"/>
          </w:tcPr>
          <w:p w:rsidR="00423156" w:rsidRDefault="000F6FD4">
            <w:r>
              <w:rPr>
                <w:b/>
                <w:sz w:val="18"/>
              </w:rPr>
              <w:t>Authority</w:t>
            </w:r>
          </w:p>
        </w:tc>
      </w:tr>
      <w:tr w:rsidR="00423156">
        <w:trPr>
          <w:jc w:val="center"/>
        </w:trPr>
        <w:tc>
          <w:tcPr>
            <w:tcW w:w="2484" w:type="dxa"/>
          </w:tcPr>
          <w:p w:rsidR="00423156" w:rsidRDefault="000F6FD4">
            <w:r>
              <w:rPr>
                <w:sz w:val="18"/>
              </w:rPr>
              <w:t>1</w:t>
            </w:r>
          </w:p>
        </w:tc>
        <w:tc>
          <w:tcPr>
            <w:tcW w:w="2484" w:type="dxa"/>
          </w:tcPr>
          <w:p w:rsidR="00423156" w:rsidRDefault="000F6FD4">
            <w:r>
              <w:rPr>
                <w:sz w:val="18"/>
              </w:rPr>
              <w:t>Reserve company name</w:t>
            </w:r>
          </w:p>
        </w:tc>
        <w:tc>
          <w:tcPr>
            <w:tcW w:w="2484" w:type="dxa"/>
          </w:tcPr>
          <w:p w:rsidR="00423156" w:rsidRDefault="000F6FD4">
            <w:r>
              <w:rPr>
                <w:sz w:val="18"/>
              </w:rPr>
              <w:t>Same day to a few</w:t>
            </w:r>
            <w:r>
              <w:rPr>
                <w:sz w:val="18"/>
              </w:rPr>
              <w:t xml:space="preserve"> days</w:t>
            </w:r>
          </w:p>
        </w:tc>
        <w:tc>
          <w:tcPr>
            <w:tcW w:w="2484" w:type="dxa"/>
          </w:tcPr>
          <w:p w:rsidR="00423156" w:rsidRDefault="000F6FD4">
            <w:r>
              <w:rPr>
                <w:sz w:val="18"/>
              </w:rPr>
              <w:t>ACRA / BizFile+</w:t>
            </w:r>
          </w:p>
        </w:tc>
      </w:tr>
      <w:tr w:rsidR="00423156">
        <w:trPr>
          <w:jc w:val="center"/>
        </w:trPr>
        <w:tc>
          <w:tcPr>
            <w:tcW w:w="2484" w:type="dxa"/>
          </w:tcPr>
          <w:p w:rsidR="00423156" w:rsidRDefault="000F6FD4">
            <w:r>
              <w:rPr>
                <w:sz w:val="18"/>
              </w:rPr>
              <w:t>2</w:t>
            </w:r>
          </w:p>
        </w:tc>
        <w:tc>
          <w:tcPr>
            <w:tcW w:w="2484" w:type="dxa"/>
          </w:tcPr>
          <w:p w:rsidR="00423156" w:rsidRDefault="000F6FD4">
            <w:r>
              <w:rPr>
                <w:sz w:val="18"/>
              </w:rPr>
              <w:t>Prepare constitution and incorporation details</w:t>
            </w:r>
          </w:p>
        </w:tc>
        <w:tc>
          <w:tcPr>
            <w:tcW w:w="2484" w:type="dxa"/>
          </w:tcPr>
          <w:p w:rsidR="00423156" w:rsidRDefault="000F6FD4">
            <w:r>
              <w:rPr>
                <w:sz w:val="18"/>
              </w:rPr>
              <w:t>1-2 days</w:t>
            </w:r>
          </w:p>
        </w:tc>
        <w:tc>
          <w:tcPr>
            <w:tcW w:w="2484" w:type="dxa"/>
          </w:tcPr>
          <w:p w:rsidR="00423156" w:rsidRDefault="000F6FD4">
            <w:r>
              <w:rPr>
                <w:sz w:val="18"/>
              </w:rPr>
              <w:t>Company / advisor</w:t>
            </w:r>
          </w:p>
        </w:tc>
      </w:tr>
      <w:tr w:rsidR="00423156">
        <w:trPr>
          <w:jc w:val="center"/>
        </w:trPr>
        <w:tc>
          <w:tcPr>
            <w:tcW w:w="2484" w:type="dxa"/>
          </w:tcPr>
          <w:p w:rsidR="00423156" w:rsidRDefault="000F6FD4">
            <w:r>
              <w:rPr>
                <w:sz w:val="18"/>
              </w:rPr>
              <w:t>3</w:t>
            </w:r>
          </w:p>
        </w:tc>
        <w:tc>
          <w:tcPr>
            <w:tcW w:w="2484" w:type="dxa"/>
          </w:tcPr>
          <w:p w:rsidR="00423156" w:rsidRDefault="000F6FD4">
            <w:r>
              <w:rPr>
                <w:sz w:val="18"/>
              </w:rPr>
              <w:t>File incorporation application</w:t>
            </w:r>
          </w:p>
        </w:tc>
        <w:tc>
          <w:tcPr>
            <w:tcW w:w="2484" w:type="dxa"/>
          </w:tcPr>
          <w:p w:rsidR="00423156" w:rsidRDefault="000F6FD4">
            <w:r>
              <w:rPr>
                <w:sz w:val="18"/>
              </w:rPr>
              <w:t>Same day to 1 day</w:t>
            </w:r>
          </w:p>
        </w:tc>
        <w:tc>
          <w:tcPr>
            <w:tcW w:w="2484" w:type="dxa"/>
          </w:tcPr>
          <w:p w:rsidR="00423156" w:rsidRDefault="000F6FD4">
            <w:r>
              <w:rPr>
                <w:sz w:val="18"/>
              </w:rPr>
              <w:t>ACRA</w:t>
            </w:r>
          </w:p>
        </w:tc>
      </w:tr>
      <w:tr w:rsidR="00423156">
        <w:trPr>
          <w:jc w:val="center"/>
        </w:trPr>
        <w:tc>
          <w:tcPr>
            <w:tcW w:w="2484" w:type="dxa"/>
          </w:tcPr>
          <w:p w:rsidR="00423156" w:rsidRDefault="000F6FD4">
            <w:r>
              <w:rPr>
                <w:sz w:val="18"/>
              </w:rPr>
              <w:t>4</w:t>
            </w:r>
          </w:p>
        </w:tc>
        <w:tc>
          <w:tcPr>
            <w:tcW w:w="2484" w:type="dxa"/>
          </w:tcPr>
          <w:p w:rsidR="00423156" w:rsidRDefault="000F6FD4">
            <w:r>
              <w:rPr>
                <w:sz w:val="18"/>
              </w:rPr>
              <w:t>Appoint resident director, secretary, and registered address</w:t>
            </w:r>
          </w:p>
        </w:tc>
        <w:tc>
          <w:tcPr>
            <w:tcW w:w="2484" w:type="dxa"/>
          </w:tcPr>
          <w:p w:rsidR="00423156" w:rsidRDefault="000F6FD4">
            <w:r>
              <w:rPr>
                <w:sz w:val="18"/>
              </w:rPr>
              <w:t>At incorporation</w:t>
            </w:r>
          </w:p>
        </w:tc>
        <w:tc>
          <w:tcPr>
            <w:tcW w:w="2484" w:type="dxa"/>
          </w:tcPr>
          <w:p w:rsidR="00423156" w:rsidRDefault="000F6FD4">
            <w:r>
              <w:rPr>
                <w:sz w:val="18"/>
              </w:rPr>
              <w:t>Company</w:t>
            </w:r>
          </w:p>
        </w:tc>
      </w:tr>
      <w:tr w:rsidR="00423156">
        <w:trPr>
          <w:jc w:val="center"/>
        </w:trPr>
        <w:tc>
          <w:tcPr>
            <w:tcW w:w="2484" w:type="dxa"/>
          </w:tcPr>
          <w:p w:rsidR="00423156" w:rsidRDefault="000F6FD4">
            <w:r>
              <w:rPr>
                <w:sz w:val="18"/>
              </w:rPr>
              <w:t>5</w:t>
            </w:r>
          </w:p>
        </w:tc>
        <w:tc>
          <w:tcPr>
            <w:tcW w:w="2484" w:type="dxa"/>
          </w:tcPr>
          <w:p w:rsidR="00423156" w:rsidRDefault="000F6FD4">
            <w:r>
              <w:rPr>
                <w:sz w:val="18"/>
              </w:rPr>
              <w:t xml:space="preserve">Obtain </w:t>
            </w:r>
            <w:r>
              <w:rPr>
                <w:sz w:val="18"/>
              </w:rPr>
              <w:t>UEN</w:t>
            </w:r>
          </w:p>
        </w:tc>
        <w:tc>
          <w:tcPr>
            <w:tcW w:w="2484" w:type="dxa"/>
          </w:tcPr>
          <w:p w:rsidR="00423156" w:rsidRDefault="000F6FD4">
            <w:r>
              <w:rPr>
                <w:sz w:val="18"/>
              </w:rPr>
              <w:t>Issued on incorporation</w:t>
            </w:r>
          </w:p>
        </w:tc>
        <w:tc>
          <w:tcPr>
            <w:tcW w:w="2484" w:type="dxa"/>
          </w:tcPr>
          <w:p w:rsidR="00423156" w:rsidRDefault="000F6FD4">
            <w:r>
              <w:rPr>
                <w:sz w:val="18"/>
              </w:rPr>
              <w:t>ACRA</w:t>
            </w:r>
          </w:p>
        </w:tc>
      </w:tr>
      <w:tr w:rsidR="00423156">
        <w:trPr>
          <w:jc w:val="center"/>
        </w:trPr>
        <w:tc>
          <w:tcPr>
            <w:tcW w:w="2484" w:type="dxa"/>
          </w:tcPr>
          <w:p w:rsidR="00423156" w:rsidRDefault="000F6FD4">
            <w:r>
              <w:rPr>
                <w:sz w:val="18"/>
              </w:rPr>
              <w:t>6</w:t>
            </w:r>
          </w:p>
        </w:tc>
        <w:tc>
          <w:tcPr>
            <w:tcW w:w="2484" w:type="dxa"/>
          </w:tcPr>
          <w:p w:rsidR="00423156" w:rsidRDefault="000F6FD4">
            <w:r>
              <w:rPr>
                <w:sz w:val="18"/>
              </w:rPr>
              <w:t>Register GST if required</w:t>
            </w:r>
          </w:p>
        </w:tc>
        <w:tc>
          <w:tcPr>
            <w:tcW w:w="2484" w:type="dxa"/>
          </w:tcPr>
          <w:p w:rsidR="00423156" w:rsidRDefault="000F6FD4">
            <w:r>
              <w:rPr>
                <w:sz w:val="18"/>
              </w:rPr>
              <w:t>Within statutory timeline</w:t>
            </w:r>
          </w:p>
        </w:tc>
        <w:tc>
          <w:tcPr>
            <w:tcW w:w="2484" w:type="dxa"/>
          </w:tcPr>
          <w:p w:rsidR="00423156" w:rsidRDefault="000F6FD4">
            <w:r>
              <w:rPr>
                <w:sz w:val="18"/>
              </w:rPr>
              <w:t>IRAS</w:t>
            </w:r>
          </w:p>
        </w:tc>
      </w:tr>
      <w:tr w:rsidR="00423156">
        <w:trPr>
          <w:jc w:val="center"/>
        </w:trPr>
        <w:tc>
          <w:tcPr>
            <w:tcW w:w="2484" w:type="dxa"/>
          </w:tcPr>
          <w:p w:rsidR="00423156" w:rsidRDefault="000F6FD4">
            <w:r>
              <w:rPr>
                <w:sz w:val="18"/>
              </w:rPr>
              <w:t>7</w:t>
            </w:r>
          </w:p>
        </w:tc>
        <w:tc>
          <w:tcPr>
            <w:tcW w:w="2484" w:type="dxa"/>
          </w:tcPr>
          <w:p w:rsidR="00423156" w:rsidRDefault="000F6FD4">
            <w:r>
              <w:rPr>
                <w:sz w:val="18"/>
              </w:rPr>
              <w:t>Apply for sector licences</w:t>
            </w:r>
          </w:p>
        </w:tc>
        <w:tc>
          <w:tcPr>
            <w:tcW w:w="2484" w:type="dxa"/>
          </w:tcPr>
          <w:p w:rsidR="00423156" w:rsidRDefault="000F6FD4">
            <w:r>
              <w:rPr>
                <w:sz w:val="18"/>
              </w:rPr>
              <w:t>Varies</w:t>
            </w:r>
          </w:p>
        </w:tc>
        <w:tc>
          <w:tcPr>
            <w:tcW w:w="2484" w:type="dxa"/>
          </w:tcPr>
          <w:p w:rsidR="00423156" w:rsidRDefault="000F6FD4">
            <w:r>
              <w:rPr>
                <w:sz w:val="18"/>
              </w:rPr>
              <w:t>Relevant regulator</w:t>
            </w:r>
          </w:p>
        </w:tc>
      </w:tr>
      <w:tr w:rsidR="00423156">
        <w:trPr>
          <w:jc w:val="center"/>
        </w:trPr>
        <w:tc>
          <w:tcPr>
            <w:tcW w:w="2484" w:type="dxa"/>
          </w:tcPr>
          <w:p w:rsidR="00423156" w:rsidRDefault="000F6FD4">
            <w:r>
              <w:rPr>
                <w:sz w:val="18"/>
              </w:rPr>
              <w:t>8</w:t>
            </w:r>
          </w:p>
        </w:tc>
        <w:tc>
          <w:tcPr>
            <w:tcW w:w="2484" w:type="dxa"/>
          </w:tcPr>
          <w:p w:rsidR="00423156" w:rsidRDefault="000F6FD4">
            <w:r>
              <w:rPr>
                <w:sz w:val="18"/>
              </w:rPr>
              <w:t>Open corporate bank account</w:t>
            </w:r>
          </w:p>
        </w:tc>
        <w:tc>
          <w:tcPr>
            <w:tcW w:w="2484" w:type="dxa"/>
          </w:tcPr>
          <w:p w:rsidR="00423156" w:rsidRDefault="000F6FD4">
            <w:r>
              <w:rPr>
                <w:sz w:val="18"/>
              </w:rPr>
              <w:t>2-8 weeks</w:t>
            </w:r>
          </w:p>
        </w:tc>
        <w:tc>
          <w:tcPr>
            <w:tcW w:w="2484" w:type="dxa"/>
          </w:tcPr>
          <w:p w:rsidR="00423156" w:rsidRDefault="000F6FD4">
            <w:r>
              <w:rPr>
                <w:sz w:val="18"/>
              </w:rPr>
              <w:t>Bank</w:t>
            </w:r>
          </w:p>
        </w:tc>
      </w:tr>
      <w:tr w:rsidR="00423156">
        <w:trPr>
          <w:jc w:val="center"/>
        </w:trPr>
        <w:tc>
          <w:tcPr>
            <w:tcW w:w="2484" w:type="dxa"/>
          </w:tcPr>
          <w:p w:rsidR="00423156" w:rsidRDefault="000F6FD4">
            <w:r>
              <w:rPr>
                <w:sz w:val="18"/>
              </w:rPr>
              <w:t>9</w:t>
            </w:r>
          </w:p>
        </w:tc>
        <w:tc>
          <w:tcPr>
            <w:tcW w:w="2484" w:type="dxa"/>
          </w:tcPr>
          <w:p w:rsidR="00423156" w:rsidRDefault="000F6FD4">
            <w:r>
              <w:rPr>
                <w:sz w:val="18"/>
              </w:rPr>
              <w:t>Apply for work passes where needed</w:t>
            </w:r>
          </w:p>
        </w:tc>
        <w:tc>
          <w:tcPr>
            <w:tcW w:w="2484" w:type="dxa"/>
          </w:tcPr>
          <w:p w:rsidR="00423156" w:rsidRDefault="000F6FD4">
            <w:r>
              <w:rPr>
                <w:sz w:val="18"/>
              </w:rPr>
              <w:t>Varies</w:t>
            </w:r>
          </w:p>
        </w:tc>
        <w:tc>
          <w:tcPr>
            <w:tcW w:w="2484" w:type="dxa"/>
          </w:tcPr>
          <w:p w:rsidR="00423156" w:rsidRDefault="000F6FD4">
            <w:r>
              <w:rPr>
                <w:sz w:val="18"/>
              </w:rPr>
              <w:t>MOM</w:t>
            </w:r>
          </w:p>
        </w:tc>
      </w:tr>
    </w:tbl>
    <w:p w:rsidR="00423156" w:rsidRDefault="000F6FD4">
      <w:pPr>
        <w:spacing w:after="80"/>
      </w:pPr>
      <w:r>
        <w:t xml:space="preserve">There is no </w:t>
      </w:r>
      <w:r>
        <w:t>requirement for a notary, local shareholder, or local majority ownership in a standard Singapore Pte. Ltd. for most business activities.</w:t>
      </w:r>
    </w:p>
    <w:p w:rsidR="00423156" w:rsidRDefault="000F6FD4">
      <w:pPr>
        <w:pStyle w:val="Heading1"/>
        <w:spacing w:before="160" w:after="40"/>
      </w:pPr>
      <w:r>
        <w:rPr>
          <w:rFonts w:ascii="Arial" w:hAnsi="Arial"/>
        </w:rPr>
        <w:t>9. Licenses, Approvals, and Sector-Specific Requirements</w:t>
      </w:r>
    </w:p>
    <w:p w:rsidR="00423156" w:rsidRDefault="000F6FD4">
      <w:pPr>
        <w:pStyle w:val="Heading2"/>
        <w:spacing w:before="160" w:after="40"/>
      </w:pPr>
      <w:r>
        <w:rPr>
          <w:rFonts w:ascii="Arial" w:hAnsi="Arial"/>
        </w:rPr>
        <w:t>9.1 Common Cross-Sector Requirements</w:t>
      </w:r>
    </w:p>
    <w:p w:rsidR="00423156" w:rsidRDefault="000F6FD4">
      <w:pPr>
        <w:spacing w:after="80"/>
      </w:pPr>
      <w:r>
        <w:t xml:space="preserve">Singapore does not use a </w:t>
      </w:r>
      <w:r>
        <w:t>universal business licence regime like some other jurisdictions. Instead, a company may need sector-specific approvals depending on what it does. Examples include food licences from the Singapore Food Agency, healthcare licences from the Ministry of Health</w:t>
      </w:r>
      <w:r>
        <w:t xml:space="preserve"> or HSA, moneylender or capital markets approvals from MAS, employment agency licensing from MOM, and telecom licences from IMDA.</w:t>
      </w:r>
    </w:p>
    <w:p w:rsidR="00423156" w:rsidRDefault="000F6FD4">
      <w:pPr>
        <w:pStyle w:val="Heading2"/>
        <w:spacing w:before="160" w:after="40"/>
      </w:pPr>
      <w:r>
        <w:rPr>
          <w:rFonts w:ascii="Arial" w:hAnsi="Arial"/>
        </w:rPr>
        <w:t>9.2 Sector-Specific Approvals</w:t>
      </w:r>
    </w:p>
    <w:p w:rsidR="00423156" w:rsidRDefault="000F6FD4">
      <w:pPr>
        <w:spacing w:after="80"/>
      </w:pPr>
      <w:r>
        <w:t>Common regulated sectors include financial services, fintech, insurance, payment services, educa</w:t>
      </w:r>
      <w:r>
        <w:t>tion, childcare, healthcare, food and beverage, import/export, logistics, telecoms, employment services, and certain industrial activities. Review the exact business model early because licensing can affect timelines, staffing, premises, and minimum compli</w:t>
      </w:r>
      <w:r>
        <w:t>ance standards.</w:t>
      </w:r>
    </w:p>
    <w:p w:rsidR="00423156" w:rsidRDefault="000F6FD4">
      <w:pPr>
        <w:pStyle w:val="Heading1"/>
        <w:spacing w:before="160" w:after="40"/>
      </w:pPr>
      <w:r>
        <w:rPr>
          <w:rFonts w:ascii="Arial" w:hAnsi="Arial"/>
        </w:rPr>
        <w:t>10. Taxation and Incentives</w:t>
      </w:r>
    </w:p>
    <w:p w:rsidR="00423156" w:rsidRDefault="000F6FD4">
      <w:pPr>
        <w:pStyle w:val="Heading2"/>
        <w:spacing w:before="160" w:after="40"/>
      </w:pPr>
      <w:r>
        <w:rPr>
          <w:rFonts w:ascii="Arial" w:hAnsi="Arial"/>
        </w:rPr>
        <w:t>10.1 Overview of the Tax System</w:t>
      </w:r>
    </w:p>
    <w:p w:rsidR="00423156" w:rsidRDefault="000F6FD4">
      <w:pPr>
        <w:spacing w:after="80"/>
      </w:pPr>
      <w:r>
        <w:t xml:space="preserve">Singapore's tax system is administered by IRAS. The main business taxes are corporate income tax, GST, withholding tax, property tax, and stamp duty. There is generally no capital </w:t>
      </w:r>
      <w:r>
        <w:t>gains tax, and dividends are usually exempt from further tax in the shareholder's hands under the one-tier system.</w:t>
      </w:r>
    </w:p>
    <w:p w:rsidR="00423156" w:rsidRDefault="000F6FD4">
      <w:pPr>
        <w:pStyle w:val="Heading2"/>
        <w:spacing w:before="160" w:after="40"/>
      </w:pPr>
      <w:r>
        <w:rPr>
          <w:rFonts w:ascii="Arial" w:hAnsi="Arial"/>
        </w:rPr>
        <w:t>10.2 Corporate Income Tax</w:t>
      </w:r>
    </w:p>
    <w:tbl>
      <w:tblPr>
        <w:tblStyle w:val="TableGrid"/>
        <w:tblW w:w="0" w:type="auto"/>
        <w:jc w:val="center"/>
        <w:tblLook w:val="04A0" w:firstRow="1" w:lastRow="0" w:firstColumn="1" w:lastColumn="0" w:noHBand="0" w:noVBand="1"/>
      </w:tblPr>
      <w:tblGrid>
        <w:gridCol w:w="3312"/>
        <w:gridCol w:w="3312"/>
        <w:gridCol w:w="3312"/>
      </w:tblGrid>
      <w:tr w:rsidR="00423156">
        <w:trPr>
          <w:jc w:val="center"/>
        </w:trPr>
        <w:tc>
          <w:tcPr>
            <w:tcW w:w="3312" w:type="dxa"/>
          </w:tcPr>
          <w:p w:rsidR="00423156" w:rsidRDefault="000F6FD4">
            <w:r>
              <w:rPr>
                <w:b/>
                <w:sz w:val="18"/>
              </w:rPr>
              <w:t>Item</w:t>
            </w:r>
          </w:p>
        </w:tc>
        <w:tc>
          <w:tcPr>
            <w:tcW w:w="3312" w:type="dxa"/>
          </w:tcPr>
          <w:p w:rsidR="00423156" w:rsidRDefault="000F6FD4">
            <w:r>
              <w:rPr>
                <w:b/>
                <w:sz w:val="18"/>
              </w:rPr>
              <w:t>Rate / Treatment</w:t>
            </w:r>
          </w:p>
        </w:tc>
        <w:tc>
          <w:tcPr>
            <w:tcW w:w="3312" w:type="dxa"/>
          </w:tcPr>
          <w:p w:rsidR="00423156" w:rsidRDefault="000F6FD4">
            <w:r>
              <w:rPr>
                <w:b/>
                <w:sz w:val="18"/>
              </w:rPr>
              <w:t>Notes</w:t>
            </w:r>
          </w:p>
        </w:tc>
      </w:tr>
      <w:tr w:rsidR="00423156">
        <w:trPr>
          <w:jc w:val="center"/>
        </w:trPr>
        <w:tc>
          <w:tcPr>
            <w:tcW w:w="3312" w:type="dxa"/>
          </w:tcPr>
          <w:p w:rsidR="00423156" w:rsidRDefault="000F6FD4">
            <w:r>
              <w:rPr>
                <w:sz w:val="18"/>
              </w:rPr>
              <w:t>Standard corporate tax</w:t>
            </w:r>
          </w:p>
        </w:tc>
        <w:tc>
          <w:tcPr>
            <w:tcW w:w="3312" w:type="dxa"/>
          </w:tcPr>
          <w:p w:rsidR="00423156" w:rsidRDefault="000F6FD4">
            <w:r>
              <w:rPr>
                <w:sz w:val="18"/>
              </w:rPr>
              <w:t>17%</w:t>
            </w:r>
          </w:p>
        </w:tc>
        <w:tc>
          <w:tcPr>
            <w:tcW w:w="3312" w:type="dxa"/>
          </w:tcPr>
          <w:p w:rsidR="00423156" w:rsidRDefault="000F6FD4">
            <w:r>
              <w:rPr>
                <w:sz w:val="18"/>
              </w:rPr>
              <w:t>Applied to chargeable income</w:t>
            </w:r>
          </w:p>
        </w:tc>
      </w:tr>
      <w:tr w:rsidR="00423156">
        <w:trPr>
          <w:jc w:val="center"/>
        </w:trPr>
        <w:tc>
          <w:tcPr>
            <w:tcW w:w="3312" w:type="dxa"/>
          </w:tcPr>
          <w:p w:rsidR="00423156" w:rsidRDefault="000F6FD4">
            <w:r>
              <w:rPr>
                <w:sz w:val="18"/>
              </w:rPr>
              <w:t>Startup tax exemption</w:t>
            </w:r>
          </w:p>
        </w:tc>
        <w:tc>
          <w:tcPr>
            <w:tcW w:w="3312" w:type="dxa"/>
          </w:tcPr>
          <w:p w:rsidR="00423156" w:rsidRDefault="000F6FD4">
            <w:r>
              <w:rPr>
                <w:sz w:val="18"/>
              </w:rPr>
              <w:t>Available for qualifying new companies</w:t>
            </w:r>
          </w:p>
        </w:tc>
        <w:tc>
          <w:tcPr>
            <w:tcW w:w="3312" w:type="dxa"/>
          </w:tcPr>
          <w:p w:rsidR="00423156" w:rsidRDefault="000F6FD4">
            <w:r>
              <w:rPr>
                <w:sz w:val="18"/>
              </w:rPr>
              <w:t>Subject to statutory conditions</w:t>
            </w:r>
          </w:p>
        </w:tc>
      </w:tr>
      <w:tr w:rsidR="00423156">
        <w:trPr>
          <w:jc w:val="center"/>
        </w:trPr>
        <w:tc>
          <w:tcPr>
            <w:tcW w:w="3312" w:type="dxa"/>
          </w:tcPr>
          <w:p w:rsidR="00423156" w:rsidRDefault="000F6FD4">
            <w:r>
              <w:rPr>
                <w:sz w:val="18"/>
              </w:rPr>
              <w:t>Partial tax exemption</w:t>
            </w:r>
          </w:p>
        </w:tc>
        <w:tc>
          <w:tcPr>
            <w:tcW w:w="3312" w:type="dxa"/>
          </w:tcPr>
          <w:p w:rsidR="00423156" w:rsidRDefault="000F6FD4">
            <w:r>
              <w:rPr>
                <w:sz w:val="18"/>
              </w:rPr>
              <w:t>Available</w:t>
            </w:r>
          </w:p>
        </w:tc>
        <w:tc>
          <w:tcPr>
            <w:tcW w:w="3312" w:type="dxa"/>
          </w:tcPr>
          <w:p w:rsidR="00423156" w:rsidRDefault="000F6FD4">
            <w:r>
              <w:rPr>
                <w:sz w:val="18"/>
              </w:rPr>
              <w:t>Applies to qualifying companies</w:t>
            </w:r>
          </w:p>
        </w:tc>
      </w:tr>
      <w:tr w:rsidR="00423156">
        <w:trPr>
          <w:jc w:val="center"/>
        </w:trPr>
        <w:tc>
          <w:tcPr>
            <w:tcW w:w="3312" w:type="dxa"/>
          </w:tcPr>
          <w:p w:rsidR="00423156" w:rsidRDefault="000F6FD4">
            <w:r>
              <w:rPr>
                <w:sz w:val="18"/>
              </w:rPr>
              <w:t>Capital gains</w:t>
            </w:r>
          </w:p>
        </w:tc>
        <w:tc>
          <w:tcPr>
            <w:tcW w:w="3312" w:type="dxa"/>
          </w:tcPr>
          <w:p w:rsidR="00423156" w:rsidRDefault="000F6FD4">
            <w:r>
              <w:rPr>
                <w:sz w:val="18"/>
              </w:rPr>
              <w:t>Generally not taxed</w:t>
            </w:r>
          </w:p>
        </w:tc>
        <w:tc>
          <w:tcPr>
            <w:tcW w:w="3312" w:type="dxa"/>
          </w:tcPr>
          <w:p w:rsidR="00423156" w:rsidRDefault="000F6FD4">
            <w:r>
              <w:rPr>
                <w:sz w:val="18"/>
              </w:rPr>
              <w:t>Characterisation depends on facts</w:t>
            </w:r>
          </w:p>
        </w:tc>
      </w:tr>
      <w:tr w:rsidR="00423156">
        <w:trPr>
          <w:jc w:val="center"/>
        </w:trPr>
        <w:tc>
          <w:tcPr>
            <w:tcW w:w="3312" w:type="dxa"/>
          </w:tcPr>
          <w:p w:rsidR="00423156" w:rsidRDefault="000F6FD4">
            <w:r>
              <w:rPr>
                <w:sz w:val="18"/>
              </w:rPr>
              <w:lastRenderedPageBreak/>
              <w:t>Foreign-source income</w:t>
            </w:r>
          </w:p>
        </w:tc>
        <w:tc>
          <w:tcPr>
            <w:tcW w:w="3312" w:type="dxa"/>
          </w:tcPr>
          <w:p w:rsidR="00423156" w:rsidRDefault="000F6FD4">
            <w:r>
              <w:rPr>
                <w:sz w:val="18"/>
              </w:rPr>
              <w:t>Taxable when received in Sin</w:t>
            </w:r>
            <w:r>
              <w:rPr>
                <w:sz w:val="18"/>
              </w:rPr>
              <w:t>gapore in some cases</w:t>
            </w:r>
          </w:p>
        </w:tc>
        <w:tc>
          <w:tcPr>
            <w:tcW w:w="3312" w:type="dxa"/>
          </w:tcPr>
          <w:p w:rsidR="00423156" w:rsidRDefault="000F6FD4">
            <w:r>
              <w:rPr>
                <w:sz w:val="18"/>
              </w:rPr>
              <w:t>Subject to exemption conditions</w:t>
            </w:r>
          </w:p>
        </w:tc>
      </w:tr>
    </w:tbl>
    <w:p w:rsidR="00423156" w:rsidRDefault="000F6FD4">
      <w:pPr>
        <w:pStyle w:val="Heading2"/>
        <w:spacing w:before="160" w:after="40"/>
      </w:pPr>
      <w:r>
        <w:rPr>
          <w:rFonts w:ascii="Arial" w:hAnsi="Arial"/>
        </w:rPr>
        <w:t>10.3 Goods and Services Tax (GST)</w:t>
      </w:r>
    </w:p>
    <w:p w:rsidR="00423156" w:rsidRDefault="000F6FD4">
      <w:pPr>
        <w:spacing w:after="80"/>
      </w:pPr>
      <w:r>
        <w:t xml:space="preserve">GST is Singapore's consumption tax and is currently 9% (as at the latest known rate). GST registration is generally required when taxable turnover exceeds S$1 million, </w:t>
      </w:r>
      <w:r>
        <w:t>or when a business expects to exceed that threshold. GST returns are typically filed quarterly, although some businesses may have different filing periods.</w:t>
      </w:r>
    </w:p>
    <w:p w:rsidR="00423156" w:rsidRDefault="000F6FD4">
      <w:pPr>
        <w:pStyle w:val="Heading2"/>
        <w:spacing w:before="160" w:after="40"/>
      </w:pPr>
      <w:r>
        <w:rPr>
          <w:rFonts w:ascii="Arial" w:hAnsi="Arial"/>
        </w:rPr>
        <w:t>10.4 Withholding Tax Rates</w:t>
      </w:r>
    </w:p>
    <w:p w:rsidR="00423156" w:rsidRDefault="000F6FD4">
      <w:pPr>
        <w:spacing w:after="80"/>
      </w:pPr>
      <w:r>
        <w:t>Singapore withholding tax may apply to certain payments to non-residents,</w:t>
      </w:r>
      <w:r>
        <w:t xml:space="preserve"> including interest, royalties, technical service fees, rent, and some other items depending on the facts and treaty relief. Dividends are generally not subject to withholding tax under Singapore's one-tier corporate tax system.</w:t>
      </w:r>
    </w:p>
    <w:p w:rsidR="00423156" w:rsidRDefault="000F6FD4">
      <w:pPr>
        <w:pStyle w:val="Heading2"/>
        <w:spacing w:before="160" w:after="40"/>
      </w:pPr>
      <w:r>
        <w:rPr>
          <w:rFonts w:ascii="Arial" w:hAnsi="Arial"/>
        </w:rPr>
        <w:t>10.5 Tax Incentives and Rel</w:t>
      </w:r>
      <w:r>
        <w:rPr>
          <w:rFonts w:ascii="Arial" w:hAnsi="Arial"/>
        </w:rPr>
        <w:t>iefs</w:t>
      </w:r>
    </w:p>
    <w:p w:rsidR="00423156" w:rsidRDefault="000F6FD4">
      <w:pPr>
        <w:spacing w:after="80"/>
      </w:pPr>
      <w:r>
        <w:t>Key incentives may include the Startup Tax Exemption, Partial Tax Exemption, R&amp;D deductions, Double Tax Deduction for Internationalisation, the Investment Allowance, and targeted EDB incentive packages for substantive regional or strategic activities.</w:t>
      </w:r>
      <w:r>
        <w:t xml:space="preserve"> Eligibility is highly fact-specific.</w:t>
      </w:r>
    </w:p>
    <w:p w:rsidR="00423156" w:rsidRDefault="000F6FD4">
      <w:pPr>
        <w:pStyle w:val="Heading1"/>
        <w:spacing w:before="160" w:after="40"/>
      </w:pPr>
      <w:r>
        <w:rPr>
          <w:rFonts w:ascii="Arial" w:hAnsi="Arial"/>
        </w:rPr>
        <w:t>11. Banking, Finance, and Repatriation</w:t>
      </w:r>
    </w:p>
    <w:p w:rsidR="00423156" w:rsidRDefault="000F6FD4">
      <w:pPr>
        <w:pStyle w:val="Heading2"/>
        <w:spacing w:before="160" w:after="40"/>
      </w:pPr>
      <w:r>
        <w:rPr>
          <w:rFonts w:ascii="Arial" w:hAnsi="Arial"/>
        </w:rPr>
        <w:t>11.1 Opening Corporate Bank Accounts</w:t>
      </w:r>
    </w:p>
    <w:p w:rsidR="00423156" w:rsidRDefault="000F6FD4">
      <w:pPr>
        <w:spacing w:after="80"/>
      </w:pPr>
      <w:r>
        <w:t>Singapore corporate bank account opening is compliance-heavy, especially for foreign-owned structures. Banks such as DBS, OCBC, UOB, and selec</w:t>
      </w:r>
      <w:r>
        <w:t>ted international banks will usually request incorporation documents, ownership details, business plans, source-of-funds information, and KYC documents for directors and UBOs.</w:t>
      </w:r>
    </w:p>
    <w:p w:rsidR="00423156" w:rsidRDefault="000F6FD4">
      <w:pPr>
        <w:pStyle w:val="Heading2"/>
        <w:spacing w:before="160" w:after="40"/>
      </w:pPr>
      <w:r>
        <w:rPr>
          <w:rFonts w:ascii="Arial" w:hAnsi="Arial"/>
        </w:rPr>
        <w:t>11.2 Funding Options</w:t>
      </w:r>
    </w:p>
    <w:p w:rsidR="00423156" w:rsidRDefault="000F6FD4">
      <w:pPr>
        <w:spacing w:after="80"/>
      </w:pPr>
      <w:r>
        <w:t>Common funding methods include shareholder equity, intercom</w:t>
      </w:r>
      <w:r>
        <w:t>pany loans, external bank financing, trade finance, venture capital, and project finance. Transfer pricing and thin-capitalisation considerations should be reviewed for cross-border funding flows.</w:t>
      </w:r>
    </w:p>
    <w:p w:rsidR="00423156" w:rsidRDefault="000F6FD4">
      <w:pPr>
        <w:pStyle w:val="Heading2"/>
        <w:spacing w:before="160" w:after="40"/>
      </w:pPr>
      <w:r>
        <w:rPr>
          <w:rFonts w:ascii="Arial" w:hAnsi="Arial"/>
        </w:rPr>
        <w:t>11.3 Repatriation Rules</w:t>
      </w:r>
    </w:p>
    <w:p w:rsidR="00423156" w:rsidRDefault="000F6FD4">
      <w:pPr>
        <w:spacing w:after="80"/>
      </w:pPr>
      <w:r>
        <w:t>Dividends, loan repayments, and cap</w:t>
      </w:r>
      <w:r>
        <w:t>ital can generally be repatriated from Singapore subject to corporate law, tax, and banking compliance. Since Singapore does not generally impose exchange controls, the main practical constraints are AML/KYC review and tax documentation.</w:t>
      </w:r>
    </w:p>
    <w:p w:rsidR="00423156" w:rsidRDefault="000F6FD4">
      <w:pPr>
        <w:pStyle w:val="Heading1"/>
        <w:spacing w:before="160" w:after="40"/>
      </w:pPr>
      <w:r>
        <w:rPr>
          <w:rFonts w:ascii="Arial" w:hAnsi="Arial"/>
        </w:rPr>
        <w:t>12. Employment, Im</w:t>
      </w:r>
      <w:r>
        <w:rPr>
          <w:rFonts w:ascii="Arial" w:hAnsi="Arial"/>
        </w:rPr>
        <w:t>migration, and Payroll</w:t>
      </w:r>
    </w:p>
    <w:p w:rsidR="00423156" w:rsidRDefault="000F6FD4">
      <w:pPr>
        <w:pStyle w:val="Heading2"/>
        <w:spacing w:before="160" w:after="40"/>
      </w:pPr>
      <w:r>
        <w:rPr>
          <w:rFonts w:ascii="Arial" w:hAnsi="Arial"/>
        </w:rPr>
        <w:t>12.1 Key Employment Laws</w:t>
      </w:r>
    </w:p>
    <w:p w:rsidR="00423156" w:rsidRDefault="000F6FD4">
      <w:pPr>
        <w:spacing w:after="80"/>
      </w:pPr>
      <w:r>
        <w:t>Core employment rules are found in the Employment Act and related MOM regulations. Singapore does not have a statutory minimum wage across the economy, but there are sector-specific wage requirements and prog</w:t>
      </w:r>
      <w:r>
        <w:t>ressive wage models in selected occupations. Working hours, rest days, overtime, leave, and termination issues depend on employee category and contract terms.</w:t>
      </w:r>
    </w:p>
    <w:p w:rsidR="00423156" w:rsidRDefault="000F6FD4">
      <w:pPr>
        <w:pStyle w:val="Heading2"/>
        <w:spacing w:before="160" w:after="40"/>
      </w:pPr>
      <w:r>
        <w:rPr>
          <w:rFonts w:ascii="Arial" w:hAnsi="Arial"/>
        </w:rPr>
        <w:t>12.2 Immigration and Work Authorization</w:t>
      </w:r>
    </w:p>
    <w:p w:rsidR="00423156" w:rsidRDefault="000F6FD4">
      <w:pPr>
        <w:spacing w:after="80"/>
      </w:pPr>
      <w:r>
        <w:t>Common work passes include the Employment Pass (for manag</w:t>
      </w:r>
      <w:r>
        <w:t>erial, executive, and specialised roles), S Pass, Work Permit, EntrePass, and ONE Pass. Most Employment Pass applications are assessed against MOM criteria, including salary, qualifications, and the COMPASS framework where applicable. Employers must ensure</w:t>
      </w:r>
      <w:r>
        <w:t xml:space="preserve"> the right pass is held before work starts.</w:t>
      </w:r>
    </w:p>
    <w:p w:rsidR="00423156" w:rsidRDefault="000F6FD4">
      <w:pPr>
        <w:pStyle w:val="Heading2"/>
        <w:spacing w:before="160" w:after="40"/>
      </w:pPr>
      <w:r>
        <w:rPr>
          <w:rFonts w:ascii="Arial" w:hAnsi="Arial"/>
        </w:rPr>
        <w:t>12.3 Payroll and HR Compliance</w:t>
      </w:r>
    </w:p>
    <w:p w:rsidR="00423156" w:rsidRDefault="000F6FD4">
      <w:pPr>
        <w:spacing w:after="80"/>
      </w:pPr>
      <w:r>
        <w:t>Employers should run monthly payroll, issue itemised payslips, maintain leave and overtime records where relevant, and comply with CPF contributions for Singapore citizens and perma</w:t>
      </w:r>
      <w:r>
        <w:t xml:space="preserve">nent residents. Year-end </w:t>
      </w:r>
      <w:r>
        <w:lastRenderedPageBreak/>
        <w:t>employer reporting and IRAS forms should be prepared on time, and cross-border employees should be reviewed for tax residency and shadow payroll implications.</w:t>
      </w:r>
    </w:p>
    <w:tbl>
      <w:tblPr>
        <w:tblStyle w:val="TableGrid"/>
        <w:tblW w:w="0" w:type="auto"/>
        <w:jc w:val="center"/>
        <w:tblLook w:val="04A0" w:firstRow="1" w:lastRow="0" w:firstColumn="1" w:lastColumn="0" w:noHBand="0" w:noVBand="1"/>
      </w:tblPr>
      <w:tblGrid>
        <w:gridCol w:w="4968"/>
        <w:gridCol w:w="4968"/>
      </w:tblGrid>
      <w:tr w:rsidR="00423156">
        <w:trPr>
          <w:jc w:val="center"/>
        </w:trPr>
        <w:tc>
          <w:tcPr>
            <w:tcW w:w="4968" w:type="dxa"/>
          </w:tcPr>
          <w:p w:rsidR="00423156" w:rsidRDefault="000F6FD4">
            <w:r>
              <w:rPr>
                <w:b/>
                <w:sz w:val="18"/>
              </w:rPr>
              <w:t>Payroll Item</w:t>
            </w:r>
          </w:p>
        </w:tc>
        <w:tc>
          <w:tcPr>
            <w:tcW w:w="4968" w:type="dxa"/>
          </w:tcPr>
          <w:p w:rsidR="00423156" w:rsidRDefault="000F6FD4">
            <w:r>
              <w:rPr>
                <w:b/>
                <w:sz w:val="18"/>
              </w:rPr>
              <w:t>Common Singapore Treatment</w:t>
            </w:r>
          </w:p>
        </w:tc>
      </w:tr>
      <w:tr w:rsidR="00423156">
        <w:trPr>
          <w:jc w:val="center"/>
        </w:trPr>
        <w:tc>
          <w:tcPr>
            <w:tcW w:w="4968" w:type="dxa"/>
          </w:tcPr>
          <w:p w:rsidR="00423156" w:rsidRDefault="000F6FD4">
            <w:r>
              <w:rPr>
                <w:sz w:val="18"/>
              </w:rPr>
              <w:t>CPF</w:t>
            </w:r>
          </w:p>
        </w:tc>
        <w:tc>
          <w:tcPr>
            <w:tcW w:w="4968" w:type="dxa"/>
          </w:tcPr>
          <w:p w:rsidR="00423156" w:rsidRDefault="000F6FD4">
            <w:r>
              <w:rPr>
                <w:sz w:val="18"/>
              </w:rPr>
              <w:t xml:space="preserve">Mandatory for Singapore </w:t>
            </w:r>
            <w:r>
              <w:rPr>
                <w:sz w:val="18"/>
              </w:rPr>
              <w:t>citizens and PRs, not foreign employees</w:t>
            </w:r>
          </w:p>
        </w:tc>
      </w:tr>
      <w:tr w:rsidR="00423156">
        <w:trPr>
          <w:jc w:val="center"/>
        </w:trPr>
        <w:tc>
          <w:tcPr>
            <w:tcW w:w="4968" w:type="dxa"/>
          </w:tcPr>
          <w:p w:rsidR="00423156" w:rsidRDefault="000F6FD4">
            <w:r>
              <w:rPr>
                <w:sz w:val="18"/>
              </w:rPr>
              <w:t>Work passes</w:t>
            </w:r>
          </w:p>
        </w:tc>
        <w:tc>
          <w:tcPr>
            <w:tcW w:w="4968" w:type="dxa"/>
          </w:tcPr>
          <w:p w:rsidR="00423156" w:rsidRDefault="000F6FD4">
            <w:r>
              <w:rPr>
                <w:sz w:val="18"/>
              </w:rPr>
              <w:t>Employment Pass, S Pass, Work Permit, EntrePass, ONE Pass</w:t>
            </w:r>
          </w:p>
        </w:tc>
      </w:tr>
      <w:tr w:rsidR="00423156">
        <w:trPr>
          <w:jc w:val="center"/>
        </w:trPr>
        <w:tc>
          <w:tcPr>
            <w:tcW w:w="4968" w:type="dxa"/>
          </w:tcPr>
          <w:p w:rsidR="00423156" w:rsidRDefault="000F6FD4">
            <w:r>
              <w:rPr>
                <w:sz w:val="18"/>
              </w:rPr>
              <w:t>Employer reporting</w:t>
            </w:r>
          </w:p>
        </w:tc>
        <w:tc>
          <w:tcPr>
            <w:tcW w:w="4968" w:type="dxa"/>
          </w:tcPr>
          <w:p w:rsidR="00423156" w:rsidRDefault="000F6FD4">
            <w:r>
              <w:rPr>
                <w:sz w:val="18"/>
              </w:rPr>
              <w:t>Annual IR8A and related forms, where applicable</w:t>
            </w:r>
          </w:p>
        </w:tc>
      </w:tr>
      <w:tr w:rsidR="00423156">
        <w:trPr>
          <w:jc w:val="center"/>
        </w:trPr>
        <w:tc>
          <w:tcPr>
            <w:tcW w:w="4968" w:type="dxa"/>
          </w:tcPr>
          <w:p w:rsidR="00423156" w:rsidRDefault="000F6FD4">
            <w:r>
              <w:rPr>
                <w:sz w:val="18"/>
              </w:rPr>
              <w:t>Payroll frequency</w:t>
            </w:r>
          </w:p>
        </w:tc>
        <w:tc>
          <w:tcPr>
            <w:tcW w:w="4968" w:type="dxa"/>
          </w:tcPr>
          <w:p w:rsidR="00423156" w:rsidRDefault="000F6FD4">
            <w:r>
              <w:rPr>
                <w:sz w:val="18"/>
              </w:rPr>
              <w:t>Usually monthly</w:t>
            </w:r>
          </w:p>
        </w:tc>
      </w:tr>
    </w:tbl>
    <w:p w:rsidR="00423156" w:rsidRDefault="000F6FD4">
      <w:pPr>
        <w:pStyle w:val="Heading1"/>
        <w:spacing w:before="160" w:after="40"/>
      </w:pPr>
      <w:r>
        <w:rPr>
          <w:rFonts w:ascii="Arial" w:hAnsi="Arial"/>
        </w:rPr>
        <w:t>13. Intellectual Property, Data, and Tech</w:t>
      </w:r>
      <w:r>
        <w:rPr>
          <w:rFonts w:ascii="Arial" w:hAnsi="Arial"/>
        </w:rPr>
        <w:t>nology</w:t>
      </w:r>
    </w:p>
    <w:p w:rsidR="00423156" w:rsidRDefault="000F6FD4">
      <w:pPr>
        <w:pStyle w:val="Heading2"/>
        <w:spacing w:before="160" w:after="40"/>
      </w:pPr>
      <w:r>
        <w:rPr>
          <w:rFonts w:ascii="Arial" w:hAnsi="Arial"/>
        </w:rPr>
        <w:t>13.1 IP Protection</w:t>
      </w:r>
    </w:p>
    <w:p w:rsidR="00423156" w:rsidRDefault="000F6FD4">
      <w:pPr>
        <w:spacing w:after="80"/>
      </w:pPr>
      <w:r>
        <w:t>IP in Singapore is administered by IPOS. Trademarks, patents, industrial designs, and copyright are all well-established areas of protection. Businesses entering Singapore should clear brand names early, register key marks, and pr</w:t>
      </w:r>
      <w:r>
        <w:t>otect confidential information contractually.</w:t>
      </w:r>
    </w:p>
    <w:p w:rsidR="00423156" w:rsidRDefault="000F6FD4">
      <w:pPr>
        <w:pStyle w:val="Heading2"/>
        <w:spacing w:before="160" w:after="40"/>
      </w:pPr>
      <w:r>
        <w:rPr>
          <w:rFonts w:ascii="Arial" w:hAnsi="Arial"/>
        </w:rPr>
        <w:t>13.2 Data Protection and Privacy</w:t>
      </w:r>
    </w:p>
    <w:p w:rsidR="00423156" w:rsidRDefault="000F6FD4">
      <w:pPr>
        <w:spacing w:after="80"/>
      </w:pPr>
      <w:r>
        <w:t xml:space="preserve">The PDPA governs collection, use, disclosure, retention, protection, and transfer of personal data. Businesses should maintain consent or other lawful bases, notices, retention </w:t>
      </w:r>
      <w:r>
        <w:t>rules, access and correction processes, breach response procedures, vendor controls, and cross-border transfer safeguards.</w:t>
      </w:r>
    </w:p>
    <w:p w:rsidR="00423156" w:rsidRDefault="000F6FD4">
      <w:pPr>
        <w:spacing w:after="80"/>
      </w:pPr>
      <w:r>
        <w:t xml:space="preserve">Depending on the industry, additional cybersecurity or sector-specific technology rules may apply, especially in financial services, </w:t>
      </w:r>
      <w:r>
        <w:t>telecoms, healthcare, and critical infrastructure.</w:t>
      </w:r>
    </w:p>
    <w:p w:rsidR="00423156" w:rsidRDefault="000F6FD4">
      <w:pPr>
        <w:pStyle w:val="Heading1"/>
        <w:spacing w:before="160" w:after="40"/>
      </w:pPr>
      <w:r>
        <w:rPr>
          <w:rFonts w:ascii="Arial" w:hAnsi="Arial"/>
        </w:rPr>
        <w:t>14. Commercial Contracts and Local Practices</w:t>
      </w:r>
    </w:p>
    <w:p w:rsidR="00423156" w:rsidRDefault="000F6FD4">
      <w:pPr>
        <w:spacing w:after="80"/>
      </w:pPr>
      <w:r>
        <w:t>Singapore contract law is generally based on common law principles. English-language contracts are standard, and bilingual agreements are often used where parti</w:t>
      </w:r>
      <w:r>
        <w:t>es require it. Choice of law and arbitration clauses are common and enforceable if properly drafted.</w:t>
      </w:r>
    </w:p>
    <w:p w:rsidR="00423156" w:rsidRDefault="000F6FD4">
      <w:pPr>
        <w:spacing w:after="80"/>
      </w:pPr>
      <w:r>
        <w:t>For dispute resolution, parties commonly use the Singapore courts or arbitration at SIAC. Singapore is a well-regarded arbitration seat, with strong enforc</w:t>
      </w:r>
      <w:r>
        <w:t>ement support for arbitral awards under the New York Convention.</w:t>
      </w:r>
    </w:p>
    <w:p w:rsidR="00423156" w:rsidRDefault="000F6FD4">
      <w:pPr>
        <w:pStyle w:val="Heading1"/>
        <w:spacing w:before="160" w:after="40"/>
      </w:pPr>
      <w:r>
        <w:rPr>
          <w:rFonts w:ascii="Arial" w:hAnsi="Arial"/>
        </w:rPr>
        <w:t>15. Operations, Location, and Economic Zones</w:t>
      </w:r>
    </w:p>
    <w:p w:rsidR="00423156" w:rsidRDefault="000F6FD4">
      <w:pPr>
        <w:pStyle w:val="Heading2"/>
        <w:spacing w:before="160" w:after="40"/>
      </w:pPr>
      <w:r>
        <w:rPr>
          <w:rFonts w:ascii="Arial" w:hAnsi="Arial"/>
        </w:rPr>
        <w:t>15.1 Key Business Locations</w:t>
      </w:r>
    </w:p>
    <w:p w:rsidR="00423156" w:rsidRDefault="000F6FD4">
      <w:pPr>
        <w:spacing w:after="80"/>
      </w:pPr>
      <w:r>
        <w:t xml:space="preserve">Useful business locations include the Central Business District and Marina Bay for headquarters, one-north for tech </w:t>
      </w:r>
      <w:r>
        <w:t>and innovation, Changi for aviation and logistics, Jurong for industry and advanced manufacturing, and Tuas for port, logistics, and industrial operations.</w:t>
      </w:r>
    </w:p>
    <w:p w:rsidR="00423156" w:rsidRDefault="000F6FD4">
      <w:pPr>
        <w:pStyle w:val="Heading2"/>
        <w:spacing w:before="160" w:after="40"/>
      </w:pPr>
      <w:r>
        <w:rPr>
          <w:rFonts w:ascii="Arial" w:hAnsi="Arial"/>
        </w:rPr>
        <w:t>15.2 Special Economic Zones and Incentive Areas</w:t>
      </w:r>
    </w:p>
    <w:p w:rsidR="00423156" w:rsidRDefault="000F6FD4">
      <w:pPr>
        <w:spacing w:after="80"/>
      </w:pPr>
      <w:r>
        <w:t xml:space="preserve">Singapore does not operate broad special economic </w:t>
      </w:r>
      <w:r>
        <w:t>zones in the same way some other countries do. Instead, it uses a combination of free trade zones, industrial land planning, infrastructure clusters, and targeted incentive packages. Free trade zones are available at the port and airport, which can be usef</w:t>
      </w:r>
      <w:r>
        <w:t>ul for transshipment, warehousing, and re-export operations.</w:t>
      </w:r>
    </w:p>
    <w:p w:rsidR="00423156" w:rsidRDefault="000F6FD4">
      <w:pPr>
        <w:pStyle w:val="Heading1"/>
        <w:spacing w:before="160" w:after="40"/>
      </w:pPr>
      <w:r>
        <w:rPr>
          <w:rFonts w:ascii="Arial" w:hAnsi="Arial"/>
        </w:rPr>
        <w:t>16. Compliance Calendar and Ongoing Obligations</w:t>
      </w:r>
    </w:p>
    <w:p w:rsidR="00423156" w:rsidRDefault="000F6FD4">
      <w:pPr>
        <w:spacing w:after="80"/>
      </w:pPr>
      <w:r>
        <w:t>Singapore compliance obligations usually fall into three buckets: corporate filings to ACRA, tax filings to IRAS, and employment / payroll complian</w:t>
      </w:r>
      <w:r>
        <w:t>ce to MOM and CPF. Sector regulators may impose additional filings.</w:t>
      </w:r>
    </w:p>
    <w:p w:rsidR="00423156" w:rsidRDefault="000F6FD4">
      <w:pPr>
        <w:pStyle w:val="Heading2"/>
        <w:spacing w:before="160" w:after="40"/>
      </w:pPr>
      <w:r>
        <w:rPr>
          <w:rFonts w:ascii="Arial" w:hAnsi="Arial"/>
        </w:rPr>
        <w:t>16.1 Periodic Compliance Obligations</w:t>
      </w:r>
    </w:p>
    <w:tbl>
      <w:tblPr>
        <w:tblStyle w:val="TableGrid"/>
        <w:tblW w:w="0" w:type="auto"/>
        <w:jc w:val="center"/>
        <w:tblLook w:val="04A0" w:firstRow="1" w:lastRow="0" w:firstColumn="1" w:lastColumn="0" w:noHBand="0" w:noVBand="1"/>
      </w:tblPr>
      <w:tblGrid>
        <w:gridCol w:w="2484"/>
        <w:gridCol w:w="2484"/>
        <w:gridCol w:w="2484"/>
        <w:gridCol w:w="2484"/>
      </w:tblGrid>
      <w:tr w:rsidR="00423156">
        <w:trPr>
          <w:jc w:val="center"/>
        </w:trPr>
        <w:tc>
          <w:tcPr>
            <w:tcW w:w="2484" w:type="dxa"/>
          </w:tcPr>
          <w:p w:rsidR="00423156" w:rsidRDefault="000F6FD4">
            <w:r>
              <w:rPr>
                <w:b/>
                <w:sz w:val="18"/>
              </w:rPr>
              <w:t>Obligation</w:t>
            </w:r>
          </w:p>
        </w:tc>
        <w:tc>
          <w:tcPr>
            <w:tcW w:w="2484" w:type="dxa"/>
          </w:tcPr>
          <w:p w:rsidR="00423156" w:rsidRDefault="000F6FD4">
            <w:r>
              <w:rPr>
                <w:b/>
                <w:sz w:val="18"/>
              </w:rPr>
              <w:t>Frequency</w:t>
            </w:r>
          </w:p>
        </w:tc>
        <w:tc>
          <w:tcPr>
            <w:tcW w:w="2484" w:type="dxa"/>
          </w:tcPr>
          <w:p w:rsidR="00423156" w:rsidRDefault="000F6FD4">
            <w:r>
              <w:rPr>
                <w:b/>
                <w:sz w:val="18"/>
              </w:rPr>
              <w:t>Typical Due Date</w:t>
            </w:r>
          </w:p>
        </w:tc>
        <w:tc>
          <w:tcPr>
            <w:tcW w:w="2484" w:type="dxa"/>
          </w:tcPr>
          <w:p w:rsidR="00423156" w:rsidRDefault="000F6FD4">
            <w:r>
              <w:rPr>
                <w:b/>
                <w:sz w:val="18"/>
              </w:rPr>
              <w:t>Authority</w:t>
            </w:r>
          </w:p>
        </w:tc>
      </w:tr>
      <w:tr w:rsidR="00423156">
        <w:trPr>
          <w:jc w:val="center"/>
        </w:trPr>
        <w:tc>
          <w:tcPr>
            <w:tcW w:w="2484" w:type="dxa"/>
          </w:tcPr>
          <w:p w:rsidR="00423156" w:rsidRDefault="000F6FD4">
            <w:r>
              <w:rPr>
                <w:sz w:val="18"/>
              </w:rPr>
              <w:t>GST return</w:t>
            </w:r>
          </w:p>
        </w:tc>
        <w:tc>
          <w:tcPr>
            <w:tcW w:w="2484" w:type="dxa"/>
          </w:tcPr>
          <w:p w:rsidR="00423156" w:rsidRDefault="000F6FD4">
            <w:r>
              <w:rPr>
                <w:sz w:val="18"/>
              </w:rPr>
              <w:t>Quarterly (usually)</w:t>
            </w:r>
          </w:p>
        </w:tc>
        <w:tc>
          <w:tcPr>
            <w:tcW w:w="2484" w:type="dxa"/>
          </w:tcPr>
          <w:p w:rsidR="00423156" w:rsidRDefault="000F6FD4">
            <w:r>
              <w:rPr>
                <w:sz w:val="18"/>
              </w:rPr>
              <w:t>1 month after the accounting period</w:t>
            </w:r>
          </w:p>
        </w:tc>
        <w:tc>
          <w:tcPr>
            <w:tcW w:w="2484" w:type="dxa"/>
          </w:tcPr>
          <w:p w:rsidR="00423156" w:rsidRDefault="000F6FD4">
            <w:r>
              <w:rPr>
                <w:sz w:val="18"/>
              </w:rPr>
              <w:t>IRAS</w:t>
            </w:r>
          </w:p>
        </w:tc>
      </w:tr>
      <w:tr w:rsidR="00423156">
        <w:trPr>
          <w:jc w:val="center"/>
        </w:trPr>
        <w:tc>
          <w:tcPr>
            <w:tcW w:w="2484" w:type="dxa"/>
          </w:tcPr>
          <w:p w:rsidR="00423156" w:rsidRDefault="000F6FD4">
            <w:r>
              <w:rPr>
                <w:sz w:val="18"/>
              </w:rPr>
              <w:lastRenderedPageBreak/>
              <w:t>CPF contribution</w:t>
            </w:r>
          </w:p>
        </w:tc>
        <w:tc>
          <w:tcPr>
            <w:tcW w:w="2484" w:type="dxa"/>
          </w:tcPr>
          <w:p w:rsidR="00423156" w:rsidRDefault="000F6FD4">
            <w:r>
              <w:rPr>
                <w:sz w:val="18"/>
              </w:rPr>
              <w:t>Monthly</w:t>
            </w:r>
          </w:p>
        </w:tc>
        <w:tc>
          <w:tcPr>
            <w:tcW w:w="2484" w:type="dxa"/>
          </w:tcPr>
          <w:p w:rsidR="00423156" w:rsidRDefault="000F6FD4">
            <w:r>
              <w:rPr>
                <w:sz w:val="18"/>
              </w:rPr>
              <w:t>By 1</w:t>
            </w:r>
            <w:r>
              <w:rPr>
                <w:sz w:val="18"/>
              </w:rPr>
              <w:t>4th of following month</w:t>
            </w:r>
          </w:p>
        </w:tc>
        <w:tc>
          <w:tcPr>
            <w:tcW w:w="2484" w:type="dxa"/>
          </w:tcPr>
          <w:p w:rsidR="00423156" w:rsidRDefault="000F6FD4">
            <w:r>
              <w:rPr>
                <w:sz w:val="18"/>
              </w:rPr>
              <w:t>CPF Board</w:t>
            </w:r>
          </w:p>
        </w:tc>
      </w:tr>
      <w:tr w:rsidR="00423156">
        <w:trPr>
          <w:jc w:val="center"/>
        </w:trPr>
        <w:tc>
          <w:tcPr>
            <w:tcW w:w="2484" w:type="dxa"/>
          </w:tcPr>
          <w:p w:rsidR="00423156" w:rsidRDefault="000F6FD4">
            <w:r>
              <w:rPr>
                <w:sz w:val="18"/>
              </w:rPr>
              <w:t>Withholding tax</w:t>
            </w:r>
          </w:p>
        </w:tc>
        <w:tc>
          <w:tcPr>
            <w:tcW w:w="2484" w:type="dxa"/>
          </w:tcPr>
          <w:p w:rsidR="00423156" w:rsidRDefault="000F6FD4">
            <w:r>
              <w:rPr>
                <w:sz w:val="18"/>
              </w:rPr>
              <w:t>When applicable</w:t>
            </w:r>
          </w:p>
        </w:tc>
        <w:tc>
          <w:tcPr>
            <w:tcW w:w="2484" w:type="dxa"/>
          </w:tcPr>
          <w:p w:rsidR="00423156" w:rsidRDefault="000F6FD4">
            <w:r>
              <w:rPr>
                <w:sz w:val="18"/>
              </w:rPr>
              <w:t>By 15th of the second month after payment</w:t>
            </w:r>
          </w:p>
        </w:tc>
        <w:tc>
          <w:tcPr>
            <w:tcW w:w="2484" w:type="dxa"/>
          </w:tcPr>
          <w:p w:rsidR="00423156" w:rsidRDefault="000F6FD4">
            <w:r>
              <w:rPr>
                <w:sz w:val="18"/>
              </w:rPr>
              <w:t>IRAS</w:t>
            </w:r>
          </w:p>
        </w:tc>
      </w:tr>
      <w:tr w:rsidR="00423156">
        <w:trPr>
          <w:jc w:val="center"/>
        </w:trPr>
        <w:tc>
          <w:tcPr>
            <w:tcW w:w="2484" w:type="dxa"/>
          </w:tcPr>
          <w:p w:rsidR="00423156" w:rsidRDefault="000F6FD4">
            <w:r>
              <w:rPr>
                <w:sz w:val="18"/>
              </w:rPr>
              <w:t>Corporate tax filing</w:t>
            </w:r>
          </w:p>
        </w:tc>
        <w:tc>
          <w:tcPr>
            <w:tcW w:w="2484" w:type="dxa"/>
          </w:tcPr>
          <w:p w:rsidR="00423156" w:rsidRDefault="000F6FD4">
            <w:r>
              <w:rPr>
                <w:sz w:val="18"/>
              </w:rPr>
              <w:t>Annual</w:t>
            </w:r>
          </w:p>
        </w:tc>
        <w:tc>
          <w:tcPr>
            <w:tcW w:w="2484" w:type="dxa"/>
          </w:tcPr>
          <w:p w:rsidR="00423156" w:rsidRDefault="000F6FD4">
            <w:r>
              <w:rPr>
                <w:sz w:val="18"/>
              </w:rPr>
              <w:t>30 Nov for e-filing in many cases</w:t>
            </w:r>
          </w:p>
        </w:tc>
        <w:tc>
          <w:tcPr>
            <w:tcW w:w="2484" w:type="dxa"/>
          </w:tcPr>
          <w:p w:rsidR="00423156" w:rsidRDefault="000F6FD4">
            <w:r>
              <w:rPr>
                <w:sz w:val="18"/>
              </w:rPr>
              <w:t>IRAS</w:t>
            </w:r>
          </w:p>
        </w:tc>
      </w:tr>
      <w:tr w:rsidR="00423156">
        <w:trPr>
          <w:jc w:val="center"/>
        </w:trPr>
        <w:tc>
          <w:tcPr>
            <w:tcW w:w="2484" w:type="dxa"/>
          </w:tcPr>
          <w:p w:rsidR="00423156" w:rsidRDefault="000F6FD4">
            <w:r>
              <w:rPr>
                <w:sz w:val="18"/>
              </w:rPr>
              <w:t>Annual return</w:t>
            </w:r>
          </w:p>
        </w:tc>
        <w:tc>
          <w:tcPr>
            <w:tcW w:w="2484" w:type="dxa"/>
          </w:tcPr>
          <w:p w:rsidR="00423156" w:rsidRDefault="000F6FD4">
            <w:r>
              <w:rPr>
                <w:sz w:val="18"/>
              </w:rPr>
              <w:t>Annual</w:t>
            </w:r>
          </w:p>
        </w:tc>
        <w:tc>
          <w:tcPr>
            <w:tcW w:w="2484" w:type="dxa"/>
          </w:tcPr>
          <w:p w:rsidR="00423156" w:rsidRDefault="000F6FD4">
            <w:r>
              <w:rPr>
                <w:sz w:val="18"/>
              </w:rPr>
              <w:t>Within 7 months after financial year end</w:t>
            </w:r>
          </w:p>
        </w:tc>
        <w:tc>
          <w:tcPr>
            <w:tcW w:w="2484" w:type="dxa"/>
          </w:tcPr>
          <w:p w:rsidR="00423156" w:rsidRDefault="000F6FD4">
            <w:r>
              <w:rPr>
                <w:sz w:val="18"/>
              </w:rPr>
              <w:t>ACRA</w:t>
            </w:r>
          </w:p>
        </w:tc>
      </w:tr>
      <w:tr w:rsidR="00423156">
        <w:trPr>
          <w:jc w:val="center"/>
        </w:trPr>
        <w:tc>
          <w:tcPr>
            <w:tcW w:w="2484" w:type="dxa"/>
          </w:tcPr>
          <w:p w:rsidR="00423156" w:rsidRDefault="000F6FD4">
            <w:r>
              <w:rPr>
                <w:sz w:val="18"/>
              </w:rPr>
              <w:t>IR8A /</w:t>
            </w:r>
            <w:r>
              <w:rPr>
                <w:sz w:val="18"/>
              </w:rPr>
              <w:t xml:space="preserve"> employer annual reporting</w:t>
            </w:r>
          </w:p>
        </w:tc>
        <w:tc>
          <w:tcPr>
            <w:tcW w:w="2484" w:type="dxa"/>
          </w:tcPr>
          <w:p w:rsidR="00423156" w:rsidRDefault="000F6FD4">
            <w:r>
              <w:rPr>
                <w:sz w:val="18"/>
              </w:rPr>
              <w:t>Annual</w:t>
            </w:r>
          </w:p>
        </w:tc>
        <w:tc>
          <w:tcPr>
            <w:tcW w:w="2484" w:type="dxa"/>
          </w:tcPr>
          <w:p w:rsidR="00423156" w:rsidRDefault="000F6FD4">
            <w:r>
              <w:rPr>
                <w:sz w:val="18"/>
              </w:rPr>
              <w:t>By 1 March</w:t>
            </w:r>
          </w:p>
        </w:tc>
        <w:tc>
          <w:tcPr>
            <w:tcW w:w="2484" w:type="dxa"/>
          </w:tcPr>
          <w:p w:rsidR="00423156" w:rsidRDefault="000F6FD4">
            <w:r>
              <w:rPr>
                <w:sz w:val="18"/>
              </w:rPr>
              <w:t>IRAS</w:t>
            </w:r>
          </w:p>
        </w:tc>
      </w:tr>
    </w:tbl>
    <w:p w:rsidR="00423156" w:rsidRDefault="000F6FD4">
      <w:pPr>
        <w:pStyle w:val="Heading2"/>
        <w:spacing w:before="160" w:after="40"/>
      </w:pPr>
      <w:r>
        <w:rPr>
          <w:rFonts w:ascii="Arial" w:hAnsi="Arial"/>
        </w:rPr>
        <w:t>16.2 Annual Compliance Obligations</w:t>
      </w:r>
    </w:p>
    <w:p w:rsidR="00423156" w:rsidRDefault="000F6FD4">
      <w:pPr>
        <w:spacing w:after="80"/>
      </w:pPr>
      <w:r>
        <w:t>Annual tasks typically include financial statement preparation, directors' approvals, AGM planning where required, annual return filing, corporate tax return filing, dire</w:t>
      </w:r>
      <w:r>
        <w:t>ctor and shareholder record maintenance, and transfer pricing documentation where relevant. Certain small companies may be exempt from audit, subject to the Singapore Companies Act criteria.</w:t>
      </w:r>
    </w:p>
    <w:p w:rsidR="00423156" w:rsidRDefault="000F6FD4">
      <w:pPr>
        <w:pStyle w:val="Heading2"/>
        <w:spacing w:before="160" w:after="40"/>
      </w:pPr>
      <w:r>
        <w:rPr>
          <w:rFonts w:ascii="Arial" w:hAnsi="Arial"/>
        </w:rPr>
        <w:t>16.3 Month-wise Singapore Calendar</w:t>
      </w:r>
    </w:p>
    <w:p w:rsidR="00423156" w:rsidRDefault="000F6FD4">
      <w:pPr>
        <w:spacing w:after="80"/>
      </w:pPr>
      <w:r>
        <w:t>Because filing deadlines can s</w:t>
      </w:r>
      <w:r>
        <w:t>hift based on financial year-end, GST period, and tax profile, businesses should build an internal calendar rather than relying on a generic monthly template. Monthly payroll, CPF, invoice checks, GST review, and board reporting are usually the recurring o</w:t>
      </w:r>
      <w:r>
        <w:t>perating rhythm.</w:t>
      </w:r>
    </w:p>
    <w:p w:rsidR="000F6FD4" w:rsidRDefault="000F6FD4" w:rsidP="000F6FD4">
      <w:pPr>
        <w:pStyle w:val="Heading2"/>
      </w:pPr>
      <w:bookmarkStart w:id="0" w:name="_GoBack"/>
      <w:bookmarkEnd w:id="0"/>
      <w:r>
        <w:t>January</w:t>
      </w:r>
    </w:p>
    <w:tbl>
      <w:tblPr>
        <w:tblStyle w:val="TableGrid"/>
        <w:tblW w:w="0" w:type="auto"/>
        <w:tblLook w:val="04A0" w:firstRow="1" w:lastRow="0" w:firstColumn="1" w:lastColumn="0" w:noHBand="0" w:noVBand="1"/>
      </w:tblPr>
      <w:tblGrid>
        <w:gridCol w:w="3312"/>
        <w:gridCol w:w="3312"/>
        <w:gridCol w:w="3312"/>
      </w:tblGrid>
      <w:tr w:rsidR="000F6FD4" w:rsidTr="005C33C6">
        <w:tc>
          <w:tcPr>
            <w:tcW w:w="3312" w:type="dxa"/>
          </w:tcPr>
          <w:p w:rsidR="000F6FD4" w:rsidRDefault="000F6FD4" w:rsidP="005C33C6">
            <w:r>
              <w:t>Date</w:t>
            </w:r>
          </w:p>
        </w:tc>
        <w:tc>
          <w:tcPr>
            <w:tcW w:w="3312" w:type="dxa"/>
          </w:tcPr>
          <w:p w:rsidR="000F6FD4" w:rsidRDefault="000F6FD4" w:rsidP="005C33C6">
            <w:r>
              <w:t>Compliance Obligation</w:t>
            </w:r>
          </w:p>
        </w:tc>
        <w:tc>
          <w:tcPr>
            <w:tcW w:w="3312" w:type="dxa"/>
          </w:tcPr>
          <w:p w:rsidR="000F6FD4" w:rsidRDefault="000F6FD4" w:rsidP="005C33C6">
            <w:r>
              <w:t>Authority</w:t>
            </w:r>
          </w:p>
        </w:tc>
      </w:tr>
      <w:tr w:rsidR="000F6FD4" w:rsidTr="005C33C6">
        <w:tc>
          <w:tcPr>
            <w:tcW w:w="3312" w:type="dxa"/>
          </w:tcPr>
          <w:p w:rsidR="000F6FD4" w:rsidRDefault="000F6FD4" w:rsidP="005C33C6">
            <w:r>
              <w:t>31 Jan</w:t>
            </w:r>
          </w:p>
        </w:tc>
        <w:tc>
          <w:tcPr>
            <w:tcW w:w="3312" w:type="dxa"/>
          </w:tcPr>
          <w:p w:rsidR="000F6FD4" w:rsidRDefault="000F6FD4" w:rsidP="005C33C6">
            <w:r>
              <w:t>Submit Form IR8A/Appendix 8A/8B for employees</w:t>
            </w:r>
          </w:p>
        </w:tc>
        <w:tc>
          <w:tcPr>
            <w:tcW w:w="3312" w:type="dxa"/>
          </w:tcPr>
          <w:p w:rsidR="000F6FD4" w:rsidRDefault="000F6FD4" w:rsidP="005C33C6">
            <w:r>
              <w:t>IRAS</w:t>
            </w:r>
          </w:p>
        </w:tc>
      </w:tr>
      <w:tr w:rsidR="000F6FD4" w:rsidTr="005C33C6">
        <w:tc>
          <w:tcPr>
            <w:tcW w:w="3312" w:type="dxa"/>
          </w:tcPr>
          <w:p w:rsidR="000F6FD4" w:rsidRDefault="000F6FD4" w:rsidP="005C33C6">
            <w:r>
              <w:t>31 Jan</w:t>
            </w:r>
          </w:p>
        </w:tc>
        <w:tc>
          <w:tcPr>
            <w:tcW w:w="3312" w:type="dxa"/>
          </w:tcPr>
          <w:p w:rsidR="000F6FD4" w:rsidRDefault="000F6FD4" w:rsidP="005C33C6">
            <w:r>
              <w:t>CPF contributions for December payroll</w:t>
            </w:r>
          </w:p>
        </w:tc>
        <w:tc>
          <w:tcPr>
            <w:tcW w:w="3312" w:type="dxa"/>
          </w:tcPr>
          <w:p w:rsidR="000F6FD4" w:rsidRDefault="000F6FD4" w:rsidP="005C33C6">
            <w:r>
              <w:t>CPF Board</w:t>
            </w:r>
          </w:p>
        </w:tc>
      </w:tr>
      <w:tr w:rsidR="000F6FD4" w:rsidTr="005C33C6">
        <w:tc>
          <w:tcPr>
            <w:tcW w:w="3312" w:type="dxa"/>
          </w:tcPr>
          <w:p w:rsidR="000F6FD4" w:rsidRDefault="000F6FD4" w:rsidP="005C33C6">
            <w:r>
              <w:t>31 Jan</w:t>
            </w:r>
          </w:p>
        </w:tc>
        <w:tc>
          <w:tcPr>
            <w:tcW w:w="3312" w:type="dxa"/>
          </w:tcPr>
          <w:p w:rsidR="000F6FD4" w:rsidRDefault="000F6FD4" w:rsidP="005C33C6">
            <w:r>
              <w:t>GST return filing/payment (if quarterly filer)</w:t>
            </w:r>
          </w:p>
        </w:tc>
        <w:tc>
          <w:tcPr>
            <w:tcW w:w="3312" w:type="dxa"/>
          </w:tcPr>
          <w:p w:rsidR="000F6FD4" w:rsidRDefault="000F6FD4" w:rsidP="005C33C6">
            <w:r>
              <w:t>IRAS</w:t>
            </w:r>
          </w:p>
        </w:tc>
      </w:tr>
    </w:tbl>
    <w:p w:rsidR="000F6FD4" w:rsidRDefault="000F6FD4" w:rsidP="000F6FD4">
      <w:pPr>
        <w:pStyle w:val="Heading2"/>
      </w:pPr>
      <w:r>
        <w:t>February</w:t>
      </w:r>
    </w:p>
    <w:tbl>
      <w:tblPr>
        <w:tblStyle w:val="TableGrid"/>
        <w:tblW w:w="0" w:type="auto"/>
        <w:tblLook w:val="04A0" w:firstRow="1" w:lastRow="0" w:firstColumn="1" w:lastColumn="0" w:noHBand="0" w:noVBand="1"/>
      </w:tblPr>
      <w:tblGrid>
        <w:gridCol w:w="3312"/>
        <w:gridCol w:w="3312"/>
        <w:gridCol w:w="3312"/>
      </w:tblGrid>
      <w:tr w:rsidR="000F6FD4" w:rsidTr="005C33C6">
        <w:tc>
          <w:tcPr>
            <w:tcW w:w="3312" w:type="dxa"/>
          </w:tcPr>
          <w:p w:rsidR="000F6FD4" w:rsidRDefault="000F6FD4" w:rsidP="005C33C6">
            <w:r>
              <w:t>Date</w:t>
            </w:r>
          </w:p>
        </w:tc>
        <w:tc>
          <w:tcPr>
            <w:tcW w:w="3312" w:type="dxa"/>
          </w:tcPr>
          <w:p w:rsidR="000F6FD4" w:rsidRDefault="000F6FD4" w:rsidP="005C33C6">
            <w:r>
              <w:t>Compliance Obligation</w:t>
            </w:r>
          </w:p>
        </w:tc>
        <w:tc>
          <w:tcPr>
            <w:tcW w:w="3312" w:type="dxa"/>
          </w:tcPr>
          <w:p w:rsidR="000F6FD4" w:rsidRDefault="000F6FD4" w:rsidP="005C33C6">
            <w:r>
              <w:t>Authority</w:t>
            </w:r>
          </w:p>
        </w:tc>
      </w:tr>
      <w:tr w:rsidR="000F6FD4" w:rsidTr="005C33C6">
        <w:tc>
          <w:tcPr>
            <w:tcW w:w="3312" w:type="dxa"/>
          </w:tcPr>
          <w:p w:rsidR="000F6FD4" w:rsidRDefault="000F6FD4" w:rsidP="005C33C6">
            <w:r>
              <w:t>14 Feb</w:t>
            </w:r>
          </w:p>
        </w:tc>
        <w:tc>
          <w:tcPr>
            <w:tcW w:w="3312" w:type="dxa"/>
          </w:tcPr>
          <w:p w:rsidR="000F6FD4" w:rsidRDefault="000F6FD4" w:rsidP="005C33C6">
            <w:r>
              <w:t>Employment Pass renewal review (if applicable)</w:t>
            </w:r>
          </w:p>
        </w:tc>
        <w:tc>
          <w:tcPr>
            <w:tcW w:w="3312" w:type="dxa"/>
          </w:tcPr>
          <w:p w:rsidR="000F6FD4" w:rsidRDefault="000F6FD4" w:rsidP="005C33C6">
            <w:r>
              <w:t>MOM</w:t>
            </w:r>
          </w:p>
        </w:tc>
      </w:tr>
      <w:tr w:rsidR="000F6FD4" w:rsidTr="005C33C6">
        <w:tc>
          <w:tcPr>
            <w:tcW w:w="3312" w:type="dxa"/>
          </w:tcPr>
          <w:p w:rsidR="000F6FD4" w:rsidRDefault="000F6FD4" w:rsidP="005C33C6">
            <w:r>
              <w:t>28 Feb</w:t>
            </w:r>
          </w:p>
        </w:tc>
        <w:tc>
          <w:tcPr>
            <w:tcW w:w="3312" w:type="dxa"/>
          </w:tcPr>
          <w:p w:rsidR="000F6FD4" w:rsidRDefault="000F6FD4" w:rsidP="005C33C6">
            <w:r>
              <w:t>Estimated Chargeable Income (ECI) for Dec FY companies</w:t>
            </w:r>
          </w:p>
        </w:tc>
        <w:tc>
          <w:tcPr>
            <w:tcW w:w="3312" w:type="dxa"/>
          </w:tcPr>
          <w:p w:rsidR="000F6FD4" w:rsidRDefault="000F6FD4" w:rsidP="005C33C6">
            <w:r>
              <w:t>IRAS</w:t>
            </w:r>
          </w:p>
        </w:tc>
      </w:tr>
    </w:tbl>
    <w:p w:rsidR="000F6FD4" w:rsidRDefault="000F6FD4" w:rsidP="000F6FD4">
      <w:pPr>
        <w:pStyle w:val="Heading2"/>
      </w:pPr>
      <w:r>
        <w:t>March</w:t>
      </w:r>
    </w:p>
    <w:tbl>
      <w:tblPr>
        <w:tblStyle w:val="TableGrid"/>
        <w:tblW w:w="0" w:type="auto"/>
        <w:tblLook w:val="04A0" w:firstRow="1" w:lastRow="0" w:firstColumn="1" w:lastColumn="0" w:noHBand="0" w:noVBand="1"/>
      </w:tblPr>
      <w:tblGrid>
        <w:gridCol w:w="3312"/>
        <w:gridCol w:w="3312"/>
        <w:gridCol w:w="3312"/>
      </w:tblGrid>
      <w:tr w:rsidR="000F6FD4" w:rsidTr="005C33C6">
        <w:tc>
          <w:tcPr>
            <w:tcW w:w="3312" w:type="dxa"/>
          </w:tcPr>
          <w:p w:rsidR="000F6FD4" w:rsidRDefault="000F6FD4" w:rsidP="005C33C6">
            <w:r>
              <w:t>Date</w:t>
            </w:r>
          </w:p>
        </w:tc>
        <w:tc>
          <w:tcPr>
            <w:tcW w:w="3312" w:type="dxa"/>
          </w:tcPr>
          <w:p w:rsidR="000F6FD4" w:rsidRDefault="000F6FD4" w:rsidP="005C33C6">
            <w:r>
              <w:t>Compliance Obligation</w:t>
            </w:r>
          </w:p>
        </w:tc>
        <w:tc>
          <w:tcPr>
            <w:tcW w:w="3312" w:type="dxa"/>
          </w:tcPr>
          <w:p w:rsidR="000F6FD4" w:rsidRDefault="000F6FD4" w:rsidP="005C33C6">
            <w:r>
              <w:t>Authority</w:t>
            </w:r>
          </w:p>
        </w:tc>
      </w:tr>
      <w:tr w:rsidR="000F6FD4" w:rsidTr="005C33C6">
        <w:tc>
          <w:tcPr>
            <w:tcW w:w="3312" w:type="dxa"/>
          </w:tcPr>
          <w:p w:rsidR="000F6FD4" w:rsidRDefault="000F6FD4" w:rsidP="005C33C6">
            <w:r>
              <w:t>31 Mar</w:t>
            </w:r>
          </w:p>
        </w:tc>
        <w:tc>
          <w:tcPr>
            <w:tcW w:w="3312" w:type="dxa"/>
          </w:tcPr>
          <w:p w:rsidR="000F6FD4" w:rsidRDefault="000F6FD4" w:rsidP="005C33C6">
            <w:r>
              <w:t>Annual transfer pricing documentation review</w:t>
            </w:r>
          </w:p>
        </w:tc>
        <w:tc>
          <w:tcPr>
            <w:tcW w:w="3312" w:type="dxa"/>
          </w:tcPr>
          <w:p w:rsidR="000F6FD4" w:rsidRDefault="000F6FD4" w:rsidP="005C33C6">
            <w:r>
              <w:t>IRAS</w:t>
            </w:r>
          </w:p>
        </w:tc>
      </w:tr>
      <w:tr w:rsidR="000F6FD4" w:rsidTr="005C33C6">
        <w:tc>
          <w:tcPr>
            <w:tcW w:w="3312" w:type="dxa"/>
          </w:tcPr>
          <w:p w:rsidR="000F6FD4" w:rsidRDefault="000F6FD4" w:rsidP="005C33C6">
            <w:r>
              <w:t>31 Mar</w:t>
            </w:r>
          </w:p>
        </w:tc>
        <w:tc>
          <w:tcPr>
            <w:tcW w:w="3312" w:type="dxa"/>
          </w:tcPr>
          <w:p w:rsidR="000F6FD4" w:rsidRDefault="000F6FD4" w:rsidP="005C33C6">
            <w:r>
              <w:t>Annual AML/KYC internal compliance review</w:t>
            </w:r>
          </w:p>
        </w:tc>
        <w:tc>
          <w:tcPr>
            <w:tcW w:w="3312" w:type="dxa"/>
          </w:tcPr>
          <w:p w:rsidR="000F6FD4" w:rsidRDefault="000F6FD4" w:rsidP="005C33C6">
            <w:r>
              <w:t>Internal / MAS-regulated entities</w:t>
            </w:r>
          </w:p>
        </w:tc>
      </w:tr>
    </w:tbl>
    <w:p w:rsidR="000F6FD4" w:rsidRDefault="000F6FD4" w:rsidP="000F6FD4">
      <w:pPr>
        <w:pStyle w:val="Heading2"/>
      </w:pPr>
      <w:r>
        <w:t>April</w:t>
      </w:r>
    </w:p>
    <w:tbl>
      <w:tblPr>
        <w:tblStyle w:val="TableGrid"/>
        <w:tblW w:w="0" w:type="auto"/>
        <w:tblLook w:val="04A0" w:firstRow="1" w:lastRow="0" w:firstColumn="1" w:lastColumn="0" w:noHBand="0" w:noVBand="1"/>
      </w:tblPr>
      <w:tblGrid>
        <w:gridCol w:w="3312"/>
        <w:gridCol w:w="3312"/>
        <w:gridCol w:w="3312"/>
      </w:tblGrid>
      <w:tr w:rsidR="000F6FD4" w:rsidTr="005C33C6">
        <w:tc>
          <w:tcPr>
            <w:tcW w:w="3312" w:type="dxa"/>
          </w:tcPr>
          <w:p w:rsidR="000F6FD4" w:rsidRDefault="000F6FD4" w:rsidP="005C33C6">
            <w:r>
              <w:t>Date</w:t>
            </w:r>
          </w:p>
        </w:tc>
        <w:tc>
          <w:tcPr>
            <w:tcW w:w="3312" w:type="dxa"/>
          </w:tcPr>
          <w:p w:rsidR="000F6FD4" w:rsidRDefault="000F6FD4" w:rsidP="005C33C6">
            <w:r>
              <w:t>Compliance Obligation</w:t>
            </w:r>
          </w:p>
        </w:tc>
        <w:tc>
          <w:tcPr>
            <w:tcW w:w="3312" w:type="dxa"/>
          </w:tcPr>
          <w:p w:rsidR="000F6FD4" w:rsidRDefault="000F6FD4" w:rsidP="005C33C6">
            <w:r>
              <w:t>Authority</w:t>
            </w:r>
          </w:p>
        </w:tc>
      </w:tr>
      <w:tr w:rsidR="000F6FD4" w:rsidTr="005C33C6">
        <w:tc>
          <w:tcPr>
            <w:tcW w:w="3312" w:type="dxa"/>
          </w:tcPr>
          <w:p w:rsidR="000F6FD4" w:rsidRDefault="000F6FD4" w:rsidP="005C33C6">
            <w:r>
              <w:t>30 Apr</w:t>
            </w:r>
          </w:p>
        </w:tc>
        <w:tc>
          <w:tcPr>
            <w:tcW w:w="3312" w:type="dxa"/>
          </w:tcPr>
          <w:p w:rsidR="000F6FD4" w:rsidRDefault="000F6FD4" w:rsidP="005C33C6">
            <w:r>
              <w:t>Quarterly GST filing/payment for Q1 filers</w:t>
            </w:r>
          </w:p>
        </w:tc>
        <w:tc>
          <w:tcPr>
            <w:tcW w:w="3312" w:type="dxa"/>
          </w:tcPr>
          <w:p w:rsidR="000F6FD4" w:rsidRDefault="000F6FD4" w:rsidP="005C33C6">
            <w:r>
              <w:t>IRAS</w:t>
            </w:r>
          </w:p>
        </w:tc>
      </w:tr>
      <w:tr w:rsidR="000F6FD4" w:rsidTr="005C33C6">
        <w:tc>
          <w:tcPr>
            <w:tcW w:w="3312" w:type="dxa"/>
          </w:tcPr>
          <w:p w:rsidR="000F6FD4" w:rsidRDefault="000F6FD4" w:rsidP="005C33C6">
            <w:r>
              <w:t>30 Apr</w:t>
            </w:r>
          </w:p>
        </w:tc>
        <w:tc>
          <w:tcPr>
            <w:tcW w:w="3312" w:type="dxa"/>
          </w:tcPr>
          <w:p w:rsidR="000F6FD4" w:rsidRDefault="000F6FD4" w:rsidP="005C33C6">
            <w:r>
              <w:t>Annual corporate secretarial review</w:t>
            </w:r>
          </w:p>
        </w:tc>
        <w:tc>
          <w:tcPr>
            <w:tcW w:w="3312" w:type="dxa"/>
          </w:tcPr>
          <w:p w:rsidR="000F6FD4" w:rsidRDefault="000F6FD4" w:rsidP="005C33C6">
            <w:r>
              <w:t>ACRA</w:t>
            </w:r>
          </w:p>
        </w:tc>
      </w:tr>
    </w:tbl>
    <w:p w:rsidR="000F6FD4" w:rsidRDefault="000F6FD4" w:rsidP="000F6FD4">
      <w:pPr>
        <w:pStyle w:val="Heading2"/>
      </w:pPr>
      <w:r>
        <w:t>May</w:t>
      </w:r>
    </w:p>
    <w:tbl>
      <w:tblPr>
        <w:tblStyle w:val="TableGrid"/>
        <w:tblW w:w="0" w:type="auto"/>
        <w:tblLook w:val="04A0" w:firstRow="1" w:lastRow="0" w:firstColumn="1" w:lastColumn="0" w:noHBand="0" w:noVBand="1"/>
      </w:tblPr>
      <w:tblGrid>
        <w:gridCol w:w="3312"/>
        <w:gridCol w:w="3312"/>
        <w:gridCol w:w="3312"/>
      </w:tblGrid>
      <w:tr w:rsidR="000F6FD4" w:rsidTr="005C33C6">
        <w:tc>
          <w:tcPr>
            <w:tcW w:w="3312" w:type="dxa"/>
          </w:tcPr>
          <w:p w:rsidR="000F6FD4" w:rsidRDefault="000F6FD4" w:rsidP="005C33C6">
            <w:r>
              <w:t>Date</w:t>
            </w:r>
          </w:p>
        </w:tc>
        <w:tc>
          <w:tcPr>
            <w:tcW w:w="3312" w:type="dxa"/>
          </w:tcPr>
          <w:p w:rsidR="000F6FD4" w:rsidRDefault="000F6FD4" w:rsidP="005C33C6">
            <w:r>
              <w:t>Compliance Obligation</w:t>
            </w:r>
          </w:p>
        </w:tc>
        <w:tc>
          <w:tcPr>
            <w:tcW w:w="3312" w:type="dxa"/>
          </w:tcPr>
          <w:p w:rsidR="000F6FD4" w:rsidRDefault="000F6FD4" w:rsidP="005C33C6">
            <w:r>
              <w:t>Authority</w:t>
            </w:r>
          </w:p>
        </w:tc>
      </w:tr>
      <w:tr w:rsidR="000F6FD4" w:rsidTr="005C33C6">
        <w:tc>
          <w:tcPr>
            <w:tcW w:w="3312" w:type="dxa"/>
          </w:tcPr>
          <w:p w:rsidR="000F6FD4" w:rsidRDefault="000F6FD4" w:rsidP="005C33C6">
            <w:r>
              <w:t>31 May</w:t>
            </w:r>
          </w:p>
        </w:tc>
        <w:tc>
          <w:tcPr>
            <w:tcW w:w="3312" w:type="dxa"/>
          </w:tcPr>
          <w:p w:rsidR="000F6FD4" w:rsidRDefault="000F6FD4" w:rsidP="005C33C6">
            <w:r>
              <w:t>Review annual return and AGM status</w:t>
            </w:r>
          </w:p>
        </w:tc>
        <w:tc>
          <w:tcPr>
            <w:tcW w:w="3312" w:type="dxa"/>
          </w:tcPr>
          <w:p w:rsidR="000F6FD4" w:rsidRDefault="000F6FD4" w:rsidP="005C33C6">
            <w:r>
              <w:t>ACRA</w:t>
            </w:r>
          </w:p>
        </w:tc>
      </w:tr>
    </w:tbl>
    <w:p w:rsidR="000F6FD4" w:rsidRDefault="000F6FD4" w:rsidP="000F6FD4">
      <w:pPr>
        <w:pStyle w:val="Heading2"/>
      </w:pPr>
      <w:r>
        <w:lastRenderedPageBreak/>
        <w:t>June</w:t>
      </w:r>
    </w:p>
    <w:tbl>
      <w:tblPr>
        <w:tblStyle w:val="TableGrid"/>
        <w:tblW w:w="0" w:type="auto"/>
        <w:tblLook w:val="04A0" w:firstRow="1" w:lastRow="0" w:firstColumn="1" w:lastColumn="0" w:noHBand="0" w:noVBand="1"/>
      </w:tblPr>
      <w:tblGrid>
        <w:gridCol w:w="3312"/>
        <w:gridCol w:w="3312"/>
        <w:gridCol w:w="3312"/>
      </w:tblGrid>
      <w:tr w:rsidR="000F6FD4" w:rsidTr="005C33C6">
        <w:tc>
          <w:tcPr>
            <w:tcW w:w="3312" w:type="dxa"/>
          </w:tcPr>
          <w:p w:rsidR="000F6FD4" w:rsidRDefault="000F6FD4" w:rsidP="005C33C6">
            <w:r>
              <w:t>Date</w:t>
            </w:r>
          </w:p>
        </w:tc>
        <w:tc>
          <w:tcPr>
            <w:tcW w:w="3312" w:type="dxa"/>
          </w:tcPr>
          <w:p w:rsidR="000F6FD4" w:rsidRDefault="000F6FD4" w:rsidP="005C33C6">
            <w:r>
              <w:t>Compliance Obligation</w:t>
            </w:r>
          </w:p>
        </w:tc>
        <w:tc>
          <w:tcPr>
            <w:tcW w:w="3312" w:type="dxa"/>
          </w:tcPr>
          <w:p w:rsidR="000F6FD4" w:rsidRDefault="000F6FD4" w:rsidP="005C33C6">
            <w:r>
              <w:t>Authority</w:t>
            </w:r>
          </w:p>
        </w:tc>
      </w:tr>
      <w:tr w:rsidR="000F6FD4" w:rsidTr="005C33C6">
        <w:tc>
          <w:tcPr>
            <w:tcW w:w="3312" w:type="dxa"/>
          </w:tcPr>
          <w:p w:rsidR="000F6FD4" w:rsidRDefault="000F6FD4" w:rsidP="005C33C6">
            <w:r>
              <w:t>30 Jun</w:t>
            </w:r>
          </w:p>
        </w:tc>
        <w:tc>
          <w:tcPr>
            <w:tcW w:w="3312" w:type="dxa"/>
          </w:tcPr>
          <w:p w:rsidR="000F6FD4" w:rsidRDefault="000F6FD4" w:rsidP="005C33C6">
            <w:r>
              <w:t>Mid-year payroll and CPF audit</w:t>
            </w:r>
          </w:p>
        </w:tc>
        <w:tc>
          <w:tcPr>
            <w:tcW w:w="3312" w:type="dxa"/>
          </w:tcPr>
          <w:p w:rsidR="000F6FD4" w:rsidRDefault="000F6FD4" w:rsidP="005C33C6">
            <w:r>
              <w:t>CPF Board</w:t>
            </w:r>
          </w:p>
        </w:tc>
      </w:tr>
      <w:tr w:rsidR="000F6FD4" w:rsidTr="005C33C6">
        <w:tc>
          <w:tcPr>
            <w:tcW w:w="3312" w:type="dxa"/>
          </w:tcPr>
          <w:p w:rsidR="000F6FD4" w:rsidRDefault="000F6FD4" w:rsidP="005C33C6">
            <w:r>
              <w:t>30 Jun</w:t>
            </w:r>
          </w:p>
        </w:tc>
        <w:tc>
          <w:tcPr>
            <w:tcW w:w="3312" w:type="dxa"/>
          </w:tcPr>
          <w:p w:rsidR="000F6FD4" w:rsidRDefault="000F6FD4" w:rsidP="005C33C6">
            <w:r>
              <w:t>Data protection compliance review</w:t>
            </w:r>
          </w:p>
        </w:tc>
        <w:tc>
          <w:tcPr>
            <w:tcW w:w="3312" w:type="dxa"/>
          </w:tcPr>
          <w:p w:rsidR="000F6FD4" w:rsidRDefault="000F6FD4" w:rsidP="005C33C6">
            <w:r>
              <w:t>PDPC</w:t>
            </w:r>
          </w:p>
        </w:tc>
      </w:tr>
    </w:tbl>
    <w:p w:rsidR="000F6FD4" w:rsidRDefault="000F6FD4" w:rsidP="000F6FD4">
      <w:pPr>
        <w:pStyle w:val="Heading2"/>
      </w:pPr>
      <w:r>
        <w:t>July</w:t>
      </w:r>
    </w:p>
    <w:tbl>
      <w:tblPr>
        <w:tblStyle w:val="TableGrid"/>
        <w:tblW w:w="0" w:type="auto"/>
        <w:tblLook w:val="04A0" w:firstRow="1" w:lastRow="0" w:firstColumn="1" w:lastColumn="0" w:noHBand="0" w:noVBand="1"/>
      </w:tblPr>
      <w:tblGrid>
        <w:gridCol w:w="3312"/>
        <w:gridCol w:w="3312"/>
        <w:gridCol w:w="3312"/>
      </w:tblGrid>
      <w:tr w:rsidR="000F6FD4" w:rsidTr="005C33C6">
        <w:tc>
          <w:tcPr>
            <w:tcW w:w="3312" w:type="dxa"/>
          </w:tcPr>
          <w:p w:rsidR="000F6FD4" w:rsidRDefault="000F6FD4" w:rsidP="005C33C6">
            <w:r>
              <w:t>Date</w:t>
            </w:r>
          </w:p>
        </w:tc>
        <w:tc>
          <w:tcPr>
            <w:tcW w:w="3312" w:type="dxa"/>
          </w:tcPr>
          <w:p w:rsidR="000F6FD4" w:rsidRDefault="000F6FD4" w:rsidP="005C33C6">
            <w:r>
              <w:t>Compliance Obligation</w:t>
            </w:r>
          </w:p>
        </w:tc>
        <w:tc>
          <w:tcPr>
            <w:tcW w:w="3312" w:type="dxa"/>
          </w:tcPr>
          <w:p w:rsidR="000F6FD4" w:rsidRDefault="000F6FD4" w:rsidP="005C33C6">
            <w:r>
              <w:t>Authority</w:t>
            </w:r>
          </w:p>
        </w:tc>
      </w:tr>
      <w:tr w:rsidR="000F6FD4" w:rsidTr="005C33C6">
        <w:tc>
          <w:tcPr>
            <w:tcW w:w="3312" w:type="dxa"/>
          </w:tcPr>
          <w:p w:rsidR="000F6FD4" w:rsidRDefault="000F6FD4" w:rsidP="005C33C6">
            <w:r>
              <w:t>31 Jul</w:t>
            </w:r>
          </w:p>
        </w:tc>
        <w:tc>
          <w:tcPr>
            <w:tcW w:w="3312" w:type="dxa"/>
          </w:tcPr>
          <w:p w:rsidR="000F6FD4" w:rsidRDefault="000F6FD4" w:rsidP="005C33C6">
            <w:r>
              <w:t>Quarterly GST filing/payment for Q2 filers</w:t>
            </w:r>
          </w:p>
        </w:tc>
        <w:tc>
          <w:tcPr>
            <w:tcW w:w="3312" w:type="dxa"/>
          </w:tcPr>
          <w:p w:rsidR="000F6FD4" w:rsidRDefault="000F6FD4" w:rsidP="005C33C6">
            <w:r>
              <w:t>IRAS</w:t>
            </w:r>
          </w:p>
        </w:tc>
      </w:tr>
    </w:tbl>
    <w:p w:rsidR="000F6FD4" w:rsidRDefault="000F6FD4" w:rsidP="000F6FD4">
      <w:pPr>
        <w:pStyle w:val="Heading2"/>
      </w:pPr>
      <w:r>
        <w:t>August</w:t>
      </w:r>
    </w:p>
    <w:tbl>
      <w:tblPr>
        <w:tblStyle w:val="TableGrid"/>
        <w:tblW w:w="0" w:type="auto"/>
        <w:tblLook w:val="04A0" w:firstRow="1" w:lastRow="0" w:firstColumn="1" w:lastColumn="0" w:noHBand="0" w:noVBand="1"/>
      </w:tblPr>
      <w:tblGrid>
        <w:gridCol w:w="3312"/>
        <w:gridCol w:w="3312"/>
        <w:gridCol w:w="3312"/>
      </w:tblGrid>
      <w:tr w:rsidR="000F6FD4" w:rsidTr="005C33C6">
        <w:tc>
          <w:tcPr>
            <w:tcW w:w="3312" w:type="dxa"/>
          </w:tcPr>
          <w:p w:rsidR="000F6FD4" w:rsidRDefault="000F6FD4" w:rsidP="005C33C6">
            <w:r>
              <w:t>Date</w:t>
            </w:r>
          </w:p>
        </w:tc>
        <w:tc>
          <w:tcPr>
            <w:tcW w:w="3312" w:type="dxa"/>
          </w:tcPr>
          <w:p w:rsidR="000F6FD4" w:rsidRDefault="000F6FD4" w:rsidP="005C33C6">
            <w:r>
              <w:t>Compliance Obligation</w:t>
            </w:r>
          </w:p>
        </w:tc>
        <w:tc>
          <w:tcPr>
            <w:tcW w:w="3312" w:type="dxa"/>
          </w:tcPr>
          <w:p w:rsidR="000F6FD4" w:rsidRDefault="000F6FD4" w:rsidP="005C33C6">
            <w:r>
              <w:t>Authority</w:t>
            </w:r>
          </w:p>
        </w:tc>
      </w:tr>
      <w:tr w:rsidR="000F6FD4" w:rsidTr="005C33C6">
        <w:tc>
          <w:tcPr>
            <w:tcW w:w="3312" w:type="dxa"/>
          </w:tcPr>
          <w:p w:rsidR="000F6FD4" w:rsidRDefault="000F6FD4" w:rsidP="005C33C6">
            <w:r>
              <w:t>31 Aug</w:t>
            </w:r>
          </w:p>
        </w:tc>
        <w:tc>
          <w:tcPr>
            <w:tcW w:w="3312" w:type="dxa"/>
          </w:tcPr>
          <w:p w:rsidR="000F6FD4" w:rsidRDefault="000F6FD4" w:rsidP="005C33C6">
            <w:r>
              <w:t>Employment Act and workplace safety compliance review</w:t>
            </w:r>
          </w:p>
        </w:tc>
        <w:tc>
          <w:tcPr>
            <w:tcW w:w="3312" w:type="dxa"/>
          </w:tcPr>
          <w:p w:rsidR="000F6FD4" w:rsidRDefault="000F6FD4" w:rsidP="005C33C6">
            <w:r>
              <w:t>MOM</w:t>
            </w:r>
          </w:p>
        </w:tc>
      </w:tr>
    </w:tbl>
    <w:p w:rsidR="000F6FD4" w:rsidRDefault="000F6FD4" w:rsidP="000F6FD4">
      <w:pPr>
        <w:pStyle w:val="Heading2"/>
      </w:pPr>
      <w:r>
        <w:t>September</w:t>
      </w:r>
    </w:p>
    <w:tbl>
      <w:tblPr>
        <w:tblStyle w:val="TableGrid"/>
        <w:tblW w:w="0" w:type="auto"/>
        <w:tblLook w:val="04A0" w:firstRow="1" w:lastRow="0" w:firstColumn="1" w:lastColumn="0" w:noHBand="0" w:noVBand="1"/>
      </w:tblPr>
      <w:tblGrid>
        <w:gridCol w:w="3312"/>
        <w:gridCol w:w="3312"/>
        <w:gridCol w:w="3312"/>
      </w:tblGrid>
      <w:tr w:rsidR="000F6FD4" w:rsidTr="005C33C6">
        <w:tc>
          <w:tcPr>
            <w:tcW w:w="3312" w:type="dxa"/>
          </w:tcPr>
          <w:p w:rsidR="000F6FD4" w:rsidRDefault="000F6FD4" w:rsidP="005C33C6">
            <w:r>
              <w:t>Date</w:t>
            </w:r>
          </w:p>
        </w:tc>
        <w:tc>
          <w:tcPr>
            <w:tcW w:w="3312" w:type="dxa"/>
          </w:tcPr>
          <w:p w:rsidR="000F6FD4" w:rsidRDefault="000F6FD4" w:rsidP="005C33C6">
            <w:r>
              <w:t>Compliance Obligation</w:t>
            </w:r>
          </w:p>
        </w:tc>
        <w:tc>
          <w:tcPr>
            <w:tcW w:w="3312" w:type="dxa"/>
          </w:tcPr>
          <w:p w:rsidR="000F6FD4" w:rsidRDefault="000F6FD4" w:rsidP="005C33C6">
            <w:r>
              <w:t>Authority</w:t>
            </w:r>
          </w:p>
        </w:tc>
      </w:tr>
      <w:tr w:rsidR="000F6FD4" w:rsidTr="005C33C6">
        <w:tc>
          <w:tcPr>
            <w:tcW w:w="3312" w:type="dxa"/>
          </w:tcPr>
          <w:p w:rsidR="000F6FD4" w:rsidRDefault="000F6FD4" w:rsidP="005C33C6">
            <w:r>
              <w:t>30 Sep</w:t>
            </w:r>
          </w:p>
        </w:tc>
        <w:tc>
          <w:tcPr>
            <w:tcW w:w="3312" w:type="dxa"/>
          </w:tcPr>
          <w:p w:rsidR="000F6FD4" w:rsidRDefault="000F6FD4" w:rsidP="005C33C6">
            <w:r>
              <w:t>Transfer pricing intercompany review</w:t>
            </w:r>
          </w:p>
        </w:tc>
        <w:tc>
          <w:tcPr>
            <w:tcW w:w="3312" w:type="dxa"/>
          </w:tcPr>
          <w:p w:rsidR="000F6FD4" w:rsidRDefault="000F6FD4" w:rsidP="005C33C6">
            <w:r>
              <w:t>IRAS</w:t>
            </w:r>
          </w:p>
        </w:tc>
      </w:tr>
    </w:tbl>
    <w:p w:rsidR="000F6FD4" w:rsidRDefault="000F6FD4" w:rsidP="000F6FD4">
      <w:pPr>
        <w:pStyle w:val="Heading2"/>
      </w:pPr>
      <w:r>
        <w:t>October</w:t>
      </w:r>
    </w:p>
    <w:tbl>
      <w:tblPr>
        <w:tblStyle w:val="TableGrid"/>
        <w:tblW w:w="0" w:type="auto"/>
        <w:tblLook w:val="04A0" w:firstRow="1" w:lastRow="0" w:firstColumn="1" w:lastColumn="0" w:noHBand="0" w:noVBand="1"/>
      </w:tblPr>
      <w:tblGrid>
        <w:gridCol w:w="3312"/>
        <w:gridCol w:w="3312"/>
        <w:gridCol w:w="3312"/>
      </w:tblGrid>
      <w:tr w:rsidR="000F6FD4" w:rsidTr="005C33C6">
        <w:tc>
          <w:tcPr>
            <w:tcW w:w="3312" w:type="dxa"/>
          </w:tcPr>
          <w:p w:rsidR="000F6FD4" w:rsidRDefault="000F6FD4" w:rsidP="005C33C6">
            <w:r>
              <w:t>Date</w:t>
            </w:r>
          </w:p>
        </w:tc>
        <w:tc>
          <w:tcPr>
            <w:tcW w:w="3312" w:type="dxa"/>
          </w:tcPr>
          <w:p w:rsidR="000F6FD4" w:rsidRDefault="000F6FD4" w:rsidP="005C33C6">
            <w:r>
              <w:t>Compliance Obligation</w:t>
            </w:r>
          </w:p>
        </w:tc>
        <w:tc>
          <w:tcPr>
            <w:tcW w:w="3312" w:type="dxa"/>
          </w:tcPr>
          <w:p w:rsidR="000F6FD4" w:rsidRDefault="000F6FD4" w:rsidP="005C33C6">
            <w:r>
              <w:t>Authority</w:t>
            </w:r>
          </w:p>
        </w:tc>
      </w:tr>
      <w:tr w:rsidR="000F6FD4" w:rsidTr="005C33C6">
        <w:tc>
          <w:tcPr>
            <w:tcW w:w="3312" w:type="dxa"/>
          </w:tcPr>
          <w:p w:rsidR="000F6FD4" w:rsidRDefault="000F6FD4" w:rsidP="005C33C6">
            <w:r>
              <w:t>31 Oct</w:t>
            </w:r>
          </w:p>
        </w:tc>
        <w:tc>
          <w:tcPr>
            <w:tcW w:w="3312" w:type="dxa"/>
          </w:tcPr>
          <w:p w:rsidR="000F6FD4" w:rsidRDefault="000F6FD4" w:rsidP="005C33C6">
            <w:r>
              <w:t>Quarterly GST filing/payment for Q3 filers</w:t>
            </w:r>
          </w:p>
        </w:tc>
        <w:tc>
          <w:tcPr>
            <w:tcW w:w="3312" w:type="dxa"/>
          </w:tcPr>
          <w:p w:rsidR="000F6FD4" w:rsidRDefault="000F6FD4" w:rsidP="005C33C6">
            <w:r>
              <w:t>IRAS</w:t>
            </w:r>
          </w:p>
        </w:tc>
      </w:tr>
    </w:tbl>
    <w:p w:rsidR="000F6FD4" w:rsidRDefault="000F6FD4" w:rsidP="000F6FD4">
      <w:pPr>
        <w:pStyle w:val="Heading2"/>
      </w:pPr>
      <w:r>
        <w:t>November</w:t>
      </w:r>
    </w:p>
    <w:tbl>
      <w:tblPr>
        <w:tblStyle w:val="TableGrid"/>
        <w:tblW w:w="0" w:type="auto"/>
        <w:tblLook w:val="04A0" w:firstRow="1" w:lastRow="0" w:firstColumn="1" w:lastColumn="0" w:noHBand="0" w:noVBand="1"/>
      </w:tblPr>
      <w:tblGrid>
        <w:gridCol w:w="3312"/>
        <w:gridCol w:w="3312"/>
        <w:gridCol w:w="3312"/>
      </w:tblGrid>
      <w:tr w:rsidR="000F6FD4" w:rsidTr="005C33C6">
        <w:tc>
          <w:tcPr>
            <w:tcW w:w="3312" w:type="dxa"/>
          </w:tcPr>
          <w:p w:rsidR="000F6FD4" w:rsidRDefault="000F6FD4" w:rsidP="005C33C6">
            <w:r>
              <w:t>Date</w:t>
            </w:r>
          </w:p>
        </w:tc>
        <w:tc>
          <w:tcPr>
            <w:tcW w:w="3312" w:type="dxa"/>
          </w:tcPr>
          <w:p w:rsidR="000F6FD4" w:rsidRDefault="000F6FD4" w:rsidP="005C33C6">
            <w:r>
              <w:t>Compliance Obligation</w:t>
            </w:r>
          </w:p>
        </w:tc>
        <w:tc>
          <w:tcPr>
            <w:tcW w:w="3312" w:type="dxa"/>
          </w:tcPr>
          <w:p w:rsidR="000F6FD4" w:rsidRDefault="000F6FD4" w:rsidP="005C33C6">
            <w:r>
              <w:t>Authority</w:t>
            </w:r>
          </w:p>
        </w:tc>
      </w:tr>
      <w:tr w:rsidR="000F6FD4" w:rsidTr="005C33C6">
        <w:tc>
          <w:tcPr>
            <w:tcW w:w="3312" w:type="dxa"/>
          </w:tcPr>
          <w:p w:rsidR="000F6FD4" w:rsidRDefault="000F6FD4" w:rsidP="005C33C6">
            <w:r>
              <w:t>30 Nov</w:t>
            </w:r>
          </w:p>
        </w:tc>
        <w:tc>
          <w:tcPr>
            <w:tcW w:w="3312" w:type="dxa"/>
          </w:tcPr>
          <w:p w:rsidR="000F6FD4" w:rsidRDefault="000F6FD4" w:rsidP="005C33C6">
            <w:r>
              <w:t>Corporate tax provisioning and year-end planning</w:t>
            </w:r>
          </w:p>
        </w:tc>
        <w:tc>
          <w:tcPr>
            <w:tcW w:w="3312" w:type="dxa"/>
          </w:tcPr>
          <w:p w:rsidR="000F6FD4" w:rsidRDefault="000F6FD4" w:rsidP="005C33C6">
            <w:r>
              <w:t>IRAS</w:t>
            </w:r>
          </w:p>
        </w:tc>
      </w:tr>
    </w:tbl>
    <w:p w:rsidR="000F6FD4" w:rsidRDefault="000F6FD4" w:rsidP="000F6FD4">
      <w:pPr>
        <w:pStyle w:val="Heading2"/>
      </w:pPr>
      <w:r>
        <w:t>December</w:t>
      </w:r>
    </w:p>
    <w:tbl>
      <w:tblPr>
        <w:tblStyle w:val="TableGrid"/>
        <w:tblW w:w="0" w:type="auto"/>
        <w:tblLook w:val="04A0" w:firstRow="1" w:lastRow="0" w:firstColumn="1" w:lastColumn="0" w:noHBand="0" w:noVBand="1"/>
      </w:tblPr>
      <w:tblGrid>
        <w:gridCol w:w="3312"/>
        <w:gridCol w:w="3312"/>
        <w:gridCol w:w="3312"/>
      </w:tblGrid>
      <w:tr w:rsidR="000F6FD4" w:rsidTr="005C33C6">
        <w:tc>
          <w:tcPr>
            <w:tcW w:w="3312" w:type="dxa"/>
          </w:tcPr>
          <w:p w:rsidR="000F6FD4" w:rsidRDefault="000F6FD4" w:rsidP="005C33C6">
            <w:r>
              <w:t>Date</w:t>
            </w:r>
          </w:p>
        </w:tc>
        <w:tc>
          <w:tcPr>
            <w:tcW w:w="3312" w:type="dxa"/>
          </w:tcPr>
          <w:p w:rsidR="000F6FD4" w:rsidRDefault="000F6FD4" w:rsidP="005C33C6">
            <w:r>
              <w:t>Compliance Obligation</w:t>
            </w:r>
          </w:p>
        </w:tc>
        <w:tc>
          <w:tcPr>
            <w:tcW w:w="3312" w:type="dxa"/>
          </w:tcPr>
          <w:p w:rsidR="000F6FD4" w:rsidRDefault="000F6FD4" w:rsidP="005C33C6">
            <w:r>
              <w:t>Authority</w:t>
            </w:r>
          </w:p>
        </w:tc>
      </w:tr>
      <w:tr w:rsidR="000F6FD4" w:rsidTr="005C33C6">
        <w:tc>
          <w:tcPr>
            <w:tcW w:w="3312" w:type="dxa"/>
          </w:tcPr>
          <w:p w:rsidR="000F6FD4" w:rsidRDefault="000F6FD4" w:rsidP="005C33C6">
            <w:r>
              <w:t>31 Dec</w:t>
            </w:r>
          </w:p>
        </w:tc>
        <w:tc>
          <w:tcPr>
            <w:tcW w:w="3312" w:type="dxa"/>
          </w:tcPr>
          <w:p w:rsidR="000F6FD4" w:rsidRDefault="000F6FD4" w:rsidP="005C33C6">
            <w:r>
              <w:t>Financial year-end closing and statutory review</w:t>
            </w:r>
          </w:p>
        </w:tc>
        <w:tc>
          <w:tcPr>
            <w:tcW w:w="3312" w:type="dxa"/>
          </w:tcPr>
          <w:p w:rsidR="000F6FD4" w:rsidRDefault="000F6FD4" w:rsidP="005C33C6">
            <w:r>
              <w:t>ACRA / IRAS</w:t>
            </w:r>
          </w:p>
        </w:tc>
      </w:tr>
      <w:tr w:rsidR="000F6FD4" w:rsidTr="005C33C6">
        <w:tc>
          <w:tcPr>
            <w:tcW w:w="3312" w:type="dxa"/>
          </w:tcPr>
          <w:p w:rsidR="000F6FD4" w:rsidRDefault="000F6FD4" w:rsidP="005C33C6">
            <w:r>
              <w:t>31 Dec</w:t>
            </w:r>
          </w:p>
        </w:tc>
        <w:tc>
          <w:tcPr>
            <w:tcW w:w="3312" w:type="dxa"/>
          </w:tcPr>
          <w:p w:rsidR="000F6FD4" w:rsidRDefault="000F6FD4" w:rsidP="005C33C6">
            <w:r>
              <w:t xml:space="preserve">Review business </w:t>
            </w:r>
            <w:proofErr w:type="spellStart"/>
            <w:r>
              <w:t>licences</w:t>
            </w:r>
            <w:proofErr w:type="spellEnd"/>
            <w:r>
              <w:t xml:space="preserve"> and permit renewals</w:t>
            </w:r>
          </w:p>
        </w:tc>
        <w:tc>
          <w:tcPr>
            <w:tcW w:w="3312" w:type="dxa"/>
          </w:tcPr>
          <w:p w:rsidR="000F6FD4" w:rsidRDefault="000F6FD4" w:rsidP="005C33C6">
            <w:r>
              <w:t>Relevant Authorities</w:t>
            </w:r>
          </w:p>
        </w:tc>
      </w:tr>
    </w:tbl>
    <w:p w:rsidR="000F6FD4" w:rsidRDefault="000F6FD4">
      <w:pPr>
        <w:spacing w:after="80"/>
      </w:pPr>
    </w:p>
    <w:p w:rsidR="00423156" w:rsidRDefault="000F6FD4">
      <w:pPr>
        <w:pStyle w:val="Heading1"/>
        <w:spacing w:before="160" w:after="40"/>
      </w:pPr>
      <w:r>
        <w:rPr>
          <w:rFonts w:ascii="Arial" w:hAnsi="Arial"/>
        </w:rPr>
        <w:t>17. Risk, Disputes, and Exit Options</w:t>
      </w:r>
    </w:p>
    <w:p w:rsidR="00423156" w:rsidRDefault="000F6FD4">
      <w:pPr>
        <w:pStyle w:val="Heading2"/>
        <w:spacing w:before="160" w:after="40"/>
      </w:pPr>
      <w:r>
        <w:rPr>
          <w:rFonts w:ascii="Arial" w:hAnsi="Arial"/>
        </w:rPr>
        <w:t>17.1 Dispute Resolution</w:t>
      </w:r>
    </w:p>
    <w:p w:rsidR="00423156" w:rsidRDefault="000F6FD4">
      <w:pPr>
        <w:spacing w:after="80"/>
      </w:pPr>
      <w:r>
        <w:t xml:space="preserve">Commercial disputes in Singapore may be resolved through the courts, mediation, or arbitration. The Singapore International Arbitration Centre (SIAC) is a frequent choice for </w:t>
      </w:r>
      <w:r>
        <w:t>cross-border contracts, and the Singapore International Commercial Court (SICC) is also relevant for complex international matters.</w:t>
      </w:r>
    </w:p>
    <w:p w:rsidR="00423156" w:rsidRDefault="000F6FD4">
      <w:pPr>
        <w:pStyle w:val="Heading2"/>
        <w:spacing w:before="160" w:after="40"/>
      </w:pPr>
      <w:r>
        <w:rPr>
          <w:rFonts w:ascii="Arial" w:hAnsi="Arial"/>
        </w:rPr>
        <w:t>17.2 Key Risk Areas</w:t>
      </w:r>
    </w:p>
    <w:p w:rsidR="00423156" w:rsidRDefault="000F6FD4">
      <w:pPr>
        <w:spacing w:after="80"/>
      </w:pPr>
      <w:r>
        <w:t>Key risks include licensing gaps, bank onboarding delays, missing resident director arrangements, poor t</w:t>
      </w:r>
      <w:r>
        <w:t>ax substance, transfer pricing exposure, weak employment compliance, and inaccurate handling of personal data. Businesses should also assess permanent establishment risk for parent-company activities performed in Singapore.</w:t>
      </w:r>
    </w:p>
    <w:p w:rsidR="00423156" w:rsidRDefault="000F6FD4">
      <w:pPr>
        <w:pStyle w:val="Heading2"/>
        <w:spacing w:before="160" w:after="40"/>
      </w:pPr>
      <w:r>
        <w:rPr>
          <w:rFonts w:ascii="Arial" w:hAnsi="Arial"/>
        </w:rPr>
        <w:lastRenderedPageBreak/>
        <w:t>17.3 Exit and Restructuring Opti</w:t>
      </w:r>
      <w:r>
        <w:rPr>
          <w:rFonts w:ascii="Arial" w:hAnsi="Arial"/>
        </w:rPr>
        <w:t>ons</w:t>
      </w:r>
    </w:p>
    <w:p w:rsidR="00423156" w:rsidRDefault="000F6FD4">
      <w:pPr>
        <w:spacing w:after="80"/>
      </w:pPr>
      <w:r>
        <w:t>Exit routes include share sale, asset sale, voluntary strike-off or winding up, members' voluntary liquidation, creditors' winding up, merger, or internal reorganisation. The best route depends on tax, employee, creditor, and regulatory issues. Early p</w:t>
      </w:r>
      <w:r>
        <w:t>lanning usually improves the outcome and lowers transaction friction.</w:t>
      </w:r>
    </w:p>
    <w:p w:rsidR="00423156" w:rsidRDefault="000F6FD4">
      <w:pPr>
        <w:pStyle w:val="Heading1"/>
        <w:spacing w:before="160" w:after="40"/>
      </w:pPr>
      <w:r>
        <w:rPr>
          <w:rFonts w:ascii="Arial" w:hAnsi="Arial"/>
        </w:rPr>
        <w:t>18. Practical Checklists and Tools</w:t>
      </w:r>
    </w:p>
    <w:p w:rsidR="00423156" w:rsidRDefault="000F6FD4">
      <w:pPr>
        <w:pStyle w:val="Heading2"/>
        <w:spacing w:before="160" w:after="40"/>
      </w:pPr>
      <w:r>
        <w:rPr>
          <w:rFonts w:ascii="Arial" w:hAnsi="Arial"/>
        </w:rPr>
        <w:t>18.1 Pre-Entry Checklist for Indian Entrepreneurs</w:t>
      </w:r>
    </w:p>
    <w:tbl>
      <w:tblPr>
        <w:tblStyle w:val="TableGrid"/>
        <w:tblW w:w="0" w:type="auto"/>
        <w:jc w:val="center"/>
        <w:tblLook w:val="04A0" w:firstRow="1" w:lastRow="0" w:firstColumn="1" w:lastColumn="0" w:noHBand="0" w:noVBand="1"/>
      </w:tblPr>
      <w:tblGrid>
        <w:gridCol w:w="2484"/>
        <w:gridCol w:w="2484"/>
        <w:gridCol w:w="2484"/>
        <w:gridCol w:w="2484"/>
      </w:tblGrid>
      <w:tr w:rsidR="00423156">
        <w:trPr>
          <w:jc w:val="center"/>
        </w:trPr>
        <w:tc>
          <w:tcPr>
            <w:tcW w:w="2484" w:type="dxa"/>
          </w:tcPr>
          <w:p w:rsidR="00423156" w:rsidRDefault="000F6FD4">
            <w:r>
              <w:rPr>
                <w:b/>
                <w:sz w:val="18"/>
              </w:rPr>
              <w:t>No.</w:t>
            </w:r>
          </w:p>
        </w:tc>
        <w:tc>
          <w:tcPr>
            <w:tcW w:w="2484" w:type="dxa"/>
          </w:tcPr>
          <w:p w:rsidR="00423156" w:rsidRDefault="000F6FD4">
            <w:r>
              <w:rPr>
                <w:b/>
                <w:sz w:val="18"/>
              </w:rPr>
              <w:t>Item</w:t>
            </w:r>
          </w:p>
        </w:tc>
        <w:tc>
          <w:tcPr>
            <w:tcW w:w="2484" w:type="dxa"/>
          </w:tcPr>
          <w:p w:rsidR="00423156" w:rsidRDefault="000F6FD4">
            <w:r>
              <w:rPr>
                <w:b/>
                <w:sz w:val="18"/>
              </w:rPr>
              <w:t>Category</w:t>
            </w:r>
          </w:p>
        </w:tc>
        <w:tc>
          <w:tcPr>
            <w:tcW w:w="2484" w:type="dxa"/>
          </w:tcPr>
          <w:p w:rsidR="00423156" w:rsidRDefault="000F6FD4">
            <w:r>
              <w:rPr>
                <w:b/>
                <w:sz w:val="18"/>
              </w:rPr>
              <w:t>Status</w:t>
            </w:r>
          </w:p>
        </w:tc>
      </w:tr>
      <w:tr w:rsidR="00423156">
        <w:trPr>
          <w:jc w:val="center"/>
        </w:trPr>
        <w:tc>
          <w:tcPr>
            <w:tcW w:w="2484" w:type="dxa"/>
          </w:tcPr>
          <w:p w:rsidR="00423156" w:rsidRDefault="000F6FD4">
            <w:r>
              <w:rPr>
                <w:sz w:val="18"/>
              </w:rPr>
              <w:t>1</w:t>
            </w:r>
          </w:p>
        </w:tc>
        <w:tc>
          <w:tcPr>
            <w:tcW w:w="2484" w:type="dxa"/>
          </w:tcPr>
          <w:p w:rsidR="00423156" w:rsidRDefault="000F6FD4">
            <w:r>
              <w:rPr>
                <w:sz w:val="18"/>
              </w:rPr>
              <w:t>Confirm the business model and whether Singapore is the right hub</w:t>
            </w:r>
          </w:p>
        </w:tc>
        <w:tc>
          <w:tcPr>
            <w:tcW w:w="2484" w:type="dxa"/>
          </w:tcPr>
          <w:p w:rsidR="00423156" w:rsidRDefault="000F6FD4">
            <w:r>
              <w:rPr>
                <w:sz w:val="18"/>
              </w:rPr>
              <w:t>Strategy</w:t>
            </w:r>
          </w:p>
        </w:tc>
        <w:tc>
          <w:tcPr>
            <w:tcW w:w="2484" w:type="dxa"/>
          </w:tcPr>
          <w:p w:rsidR="00423156" w:rsidRDefault="00423156"/>
        </w:tc>
      </w:tr>
      <w:tr w:rsidR="00423156">
        <w:trPr>
          <w:jc w:val="center"/>
        </w:trPr>
        <w:tc>
          <w:tcPr>
            <w:tcW w:w="2484" w:type="dxa"/>
          </w:tcPr>
          <w:p w:rsidR="00423156" w:rsidRDefault="000F6FD4">
            <w:r>
              <w:rPr>
                <w:sz w:val="18"/>
              </w:rPr>
              <w:t>2</w:t>
            </w:r>
          </w:p>
        </w:tc>
        <w:tc>
          <w:tcPr>
            <w:tcW w:w="2484" w:type="dxa"/>
          </w:tcPr>
          <w:p w:rsidR="00423156" w:rsidRDefault="000F6FD4">
            <w:r>
              <w:rPr>
                <w:sz w:val="18"/>
              </w:rPr>
              <w:t>Select entity type: Pte. Ltd., branch, representative office, or JV</w:t>
            </w:r>
          </w:p>
        </w:tc>
        <w:tc>
          <w:tcPr>
            <w:tcW w:w="2484" w:type="dxa"/>
          </w:tcPr>
          <w:p w:rsidR="00423156" w:rsidRDefault="000F6FD4">
            <w:r>
              <w:rPr>
                <w:sz w:val="18"/>
              </w:rPr>
              <w:t>Legal</w:t>
            </w:r>
          </w:p>
        </w:tc>
        <w:tc>
          <w:tcPr>
            <w:tcW w:w="2484" w:type="dxa"/>
          </w:tcPr>
          <w:p w:rsidR="00423156" w:rsidRDefault="00423156"/>
        </w:tc>
      </w:tr>
      <w:tr w:rsidR="00423156">
        <w:trPr>
          <w:jc w:val="center"/>
        </w:trPr>
        <w:tc>
          <w:tcPr>
            <w:tcW w:w="2484" w:type="dxa"/>
          </w:tcPr>
          <w:p w:rsidR="00423156" w:rsidRDefault="000F6FD4">
            <w:r>
              <w:rPr>
                <w:sz w:val="18"/>
              </w:rPr>
              <w:t>3</w:t>
            </w:r>
          </w:p>
        </w:tc>
        <w:tc>
          <w:tcPr>
            <w:tcW w:w="2484" w:type="dxa"/>
          </w:tcPr>
          <w:p w:rsidR="00423156" w:rsidRDefault="000F6FD4">
            <w:r>
              <w:rPr>
                <w:sz w:val="18"/>
              </w:rPr>
              <w:t>Check licensing and sector restrictions</w:t>
            </w:r>
          </w:p>
        </w:tc>
        <w:tc>
          <w:tcPr>
            <w:tcW w:w="2484" w:type="dxa"/>
          </w:tcPr>
          <w:p w:rsidR="00423156" w:rsidRDefault="000F6FD4">
            <w:r>
              <w:rPr>
                <w:sz w:val="18"/>
              </w:rPr>
              <w:t>Regulatory</w:t>
            </w:r>
          </w:p>
        </w:tc>
        <w:tc>
          <w:tcPr>
            <w:tcW w:w="2484" w:type="dxa"/>
          </w:tcPr>
          <w:p w:rsidR="00423156" w:rsidRDefault="00423156"/>
        </w:tc>
      </w:tr>
      <w:tr w:rsidR="00423156">
        <w:trPr>
          <w:jc w:val="center"/>
        </w:trPr>
        <w:tc>
          <w:tcPr>
            <w:tcW w:w="2484" w:type="dxa"/>
          </w:tcPr>
          <w:p w:rsidR="00423156" w:rsidRDefault="000F6FD4">
            <w:r>
              <w:rPr>
                <w:sz w:val="18"/>
              </w:rPr>
              <w:t>4</w:t>
            </w:r>
          </w:p>
        </w:tc>
        <w:tc>
          <w:tcPr>
            <w:tcW w:w="2484" w:type="dxa"/>
          </w:tcPr>
          <w:p w:rsidR="00423156" w:rsidRDefault="000F6FD4">
            <w:r>
              <w:rPr>
                <w:sz w:val="18"/>
              </w:rPr>
              <w:t>Plan resident director, secretary, and office address</w:t>
            </w:r>
          </w:p>
        </w:tc>
        <w:tc>
          <w:tcPr>
            <w:tcW w:w="2484" w:type="dxa"/>
          </w:tcPr>
          <w:p w:rsidR="00423156" w:rsidRDefault="000F6FD4">
            <w:r>
              <w:rPr>
                <w:sz w:val="18"/>
              </w:rPr>
              <w:t>Corporate</w:t>
            </w:r>
          </w:p>
        </w:tc>
        <w:tc>
          <w:tcPr>
            <w:tcW w:w="2484" w:type="dxa"/>
          </w:tcPr>
          <w:p w:rsidR="00423156" w:rsidRDefault="00423156"/>
        </w:tc>
      </w:tr>
      <w:tr w:rsidR="00423156">
        <w:trPr>
          <w:jc w:val="center"/>
        </w:trPr>
        <w:tc>
          <w:tcPr>
            <w:tcW w:w="2484" w:type="dxa"/>
          </w:tcPr>
          <w:p w:rsidR="00423156" w:rsidRDefault="000F6FD4">
            <w:r>
              <w:rPr>
                <w:sz w:val="18"/>
              </w:rPr>
              <w:t>5</w:t>
            </w:r>
          </w:p>
        </w:tc>
        <w:tc>
          <w:tcPr>
            <w:tcW w:w="2484" w:type="dxa"/>
          </w:tcPr>
          <w:p w:rsidR="00423156" w:rsidRDefault="000F6FD4">
            <w:r>
              <w:rPr>
                <w:sz w:val="18"/>
              </w:rPr>
              <w:t xml:space="preserve">Prepare incorporation documents and UBO </w:t>
            </w:r>
            <w:r>
              <w:rPr>
                <w:sz w:val="18"/>
              </w:rPr>
              <w:t>information</w:t>
            </w:r>
          </w:p>
        </w:tc>
        <w:tc>
          <w:tcPr>
            <w:tcW w:w="2484" w:type="dxa"/>
          </w:tcPr>
          <w:p w:rsidR="00423156" w:rsidRDefault="000F6FD4">
            <w:r>
              <w:rPr>
                <w:sz w:val="18"/>
              </w:rPr>
              <w:t>Documentation</w:t>
            </w:r>
          </w:p>
        </w:tc>
        <w:tc>
          <w:tcPr>
            <w:tcW w:w="2484" w:type="dxa"/>
          </w:tcPr>
          <w:p w:rsidR="00423156" w:rsidRDefault="00423156"/>
        </w:tc>
      </w:tr>
      <w:tr w:rsidR="00423156">
        <w:trPr>
          <w:jc w:val="center"/>
        </w:trPr>
        <w:tc>
          <w:tcPr>
            <w:tcW w:w="2484" w:type="dxa"/>
          </w:tcPr>
          <w:p w:rsidR="00423156" w:rsidRDefault="000F6FD4">
            <w:r>
              <w:rPr>
                <w:sz w:val="18"/>
              </w:rPr>
              <w:t>6</w:t>
            </w:r>
          </w:p>
        </w:tc>
        <w:tc>
          <w:tcPr>
            <w:tcW w:w="2484" w:type="dxa"/>
          </w:tcPr>
          <w:p w:rsidR="00423156" w:rsidRDefault="000F6FD4">
            <w:r>
              <w:rPr>
                <w:sz w:val="18"/>
              </w:rPr>
              <w:t>Assess GST, withholding tax, and transfer pricing exposure</w:t>
            </w:r>
          </w:p>
        </w:tc>
        <w:tc>
          <w:tcPr>
            <w:tcW w:w="2484" w:type="dxa"/>
          </w:tcPr>
          <w:p w:rsidR="00423156" w:rsidRDefault="000F6FD4">
            <w:r>
              <w:rPr>
                <w:sz w:val="18"/>
              </w:rPr>
              <w:t>Tax</w:t>
            </w:r>
          </w:p>
        </w:tc>
        <w:tc>
          <w:tcPr>
            <w:tcW w:w="2484" w:type="dxa"/>
          </w:tcPr>
          <w:p w:rsidR="00423156" w:rsidRDefault="00423156"/>
        </w:tc>
      </w:tr>
      <w:tr w:rsidR="00423156">
        <w:trPr>
          <w:jc w:val="center"/>
        </w:trPr>
        <w:tc>
          <w:tcPr>
            <w:tcW w:w="2484" w:type="dxa"/>
          </w:tcPr>
          <w:p w:rsidR="00423156" w:rsidRDefault="000F6FD4">
            <w:r>
              <w:rPr>
                <w:sz w:val="18"/>
              </w:rPr>
              <w:t>7</w:t>
            </w:r>
          </w:p>
        </w:tc>
        <w:tc>
          <w:tcPr>
            <w:tcW w:w="2484" w:type="dxa"/>
          </w:tcPr>
          <w:p w:rsidR="00423156" w:rsidRDefault="000F6FD4">
            <w:r>
              <w:rPr>
                <w:sz w:val="18"/>
              </w:rPr>
              <w:t>Review India outward investment / FEMA implications</w:t>
            </w:r>
          </w:p>
        </w:tc>
        <w:tc>
          <w:tcPr>
            <w:tcW w:w="2484" w:type="dxa"/>
          </w:tcPr>
          <w:p w:rsidR="00423156" w:rsidRDefault="000F6FD4">
            <w:r>
              <w:rPr>
                <w:sz w:val="18"/>
              </w:rPr>
              <w:t>India compliance</w:t>
            </w:r>
          </w:p>
        </w:tc>
        <w:tc>
          <w:tcPr>
            <w:tcW w:w="2484" w:type="dxa"/>
          </w:tcPr>
          <w:p w:rsidR="00423156" w:rsidRDefault="00423156"/>
        </w:tc>
      </w:tr>
      <w:tr w:rsidR="00423156">
        <w:trPr>
          <w:jc w:val="center"/>
        </w:trPr>
        <w:tc>
          <w:tcPr>
            <w:tcW w:w="2484" w:type="dxa"/>
          </w:tcPr>
          <w:p w:rsidR="00423156" w:rsidRDefault="000F6FD4">
            <w:r>
              <w:rPr>
                <w:sz w:val="18"/>
              </w:rPr>
              <w:t>8</w:t>
            </w:r>
          </w:p>
        </w:tc>
        <w:tc>
          <w:tcPr>
            <w:tcW w:w="2484" w:type="dxa"/>
          </w:tcPr>
          <w:p w:rsidR="00423156" w:rsidRDefault="000F6FD4">
            <w:r>
              <w:rPr>
                <w:sz w:val="18"/>
              </w:rPr>
              <w:t>Plan bank account onboarding and source-of-funds evidence</w:t>
            </w:r>
          </w:p>
        </w:tc>
        <w:tc>
          <w:tcPr>
            <w:tcW w:w="2484" w:type="dxa"/>
          </w:tcPr>
          <w:p w:rsidR="00423156" w:rsidRDefault="000F6FD4">
            <w:r>
              <w:rPr>
                <w:sz w:val="18"/>
              </w:rPr>
              <w:t>Banking</w:t>
            </w:r>
          </w:p>
        </w:tc>
        <w:tc>
          <w:tcPr>
            <w:tcW w:w="2484" w:type="dxa"/>
          </w:tcPr>
          <w:p w:rsidR="00423156" w:rsidRDefault="00423156"/>
        </w:tc>
      </w:tr>
      <w:tr w:rsidR="00423156">
        <w:trPr>
          <w:jc w:val="center"/>
        </w:trPr>
        <w:tc>
          <w:tcPr>
            <w:tcW w:w="2484" w:type="dxa"/>
          </w:tcPr>
          <w:p w:rsidR="00423156" w:rsidRDefault="000F6FD4">
            <w:r>
              <w:rPr>
                <w:sz w:val="18"/>
              </w:rPr>
              <w:t>9</w:t>
            </w:r>
          </w:p>
        </w:tc>
        <w:tc>
          <w:tcPr>
            <w:tcW w:w="2484" w:type="dxa"/>
          </w:tcPr>
          <w:p w:rsidR="00423156" w:rsidRDefault="000F6FD4">
            <w:r>
              <w:rPr>
                <w:sz w:val="18"/>
              </w:rPr>
              <w:t xml:space="preserve">Map work pass </w:t>
            </w:r>
            <w:r>
              <w:rPr>
                <w:sz w:val="18"/>
              </w:rPr>
              <w:t>needs for founders and employees</w:t>
            </w:r>
          </w:p>
        </w:tc>
        <w:tc>
          <w:tcPr>
            <w:tcW w:w="2484" w:type="dxa"/>
          </w:tcPr>
          <w:p w:rsidR="00423156" w:rsidRDefault="000F6FD4">
            <w:r>
              <w:rPr>
                <w:sz w:val="18"/>
              </w:rPr>
              <w:t>HR</w:t>
            </w:r>
          </w:p>
        </w:tc>
        <w:tc>
          <w:tcPr>
            <w:tcW w:w="2484" w:type="dxa"/>
          </w:tcPr>
          <w:p w:rsidR="00423156" w:rsidRDefault="00423156"/>
        </w:tc>
      </w:tr>
      <w:tr w:rsidR="00423156">
        <w:trPr>
          <w:jc w:val="center"/>
        </w:trPr>
        <w:tc>
          <w:tcPr>
            <w:tcW w:w="2484" w:type="dxa"/>
          </w:tcPr>
          <w:p w:rsidR="00423156" w:rsidRDefault="000F6FD4">
            <w:r>
              <w:rPr>
                <w:sz w:val="18"/>
              </w:rPr>
              <w:t>10</w:t>
            </w:r>
          </w:p>
        </w:tc>
        <w:tc>
          <w:tcPr>
            <w:tcW w:w="2484" w:type="dxa"/>
          </w:tcPr>
          <w:p w:rsidR="00423156" w:rsidRDefault="000F6FD4">
            <w:r>
              <w:rPr>
                <w:sz w:val="18"/>
              </w:rPr>
              <w:t>Set up compliance calendar and internal controls</w:t>
            </w:r>
          </w:p>
        </w:tc>
        <w:tc>
          <w:tcPr>
            <w:tcW w:w="2484" w:type="dxa"/>
          </w:tcPr>
          <w:p w:rsidR="00423156" w:rsidRDefault="000F6FD4">
            <w:r>
              <w:rPr>
                <w:sz w:val="18"/>
              </w:rPr>
              <w:t>Operations</w:t>
            </w:r>
          </w:p>
        </w:tc>
        <w:tc>
          <w:tcPr>
            <w:tcW w:w="2484" w:type="dxa"/>
          </w:tcPr>
          <w:p w:rsidR="00423156" w:rsidRDefault="00423156"/>
        </w:tc>
      </w:tr>
    </w:tbl>
    <w:p w:rsidR="00423156" w:rsidRDefault="000F6FD4">
      <w:pPr>
        <w:pStyle w:val="Heading1"/>
        <w:spacing w:before="160" w:after="40"/>
      </w:pPr>
      <w:r>
        <w:rPr>
          <w:rFonts w:ascii="Arial" w:hAnsi="Arial"/>
        </w:rPr>
        <w:t>19. Compliance Penalty Matrix</w:t>
      </w:r>
    </w:p>
    <w:p w:rsidR="00423156" w:rsidRDefault="000F6FD4">
      <w:pPr>
        <w:spacing w:after="80"/>
      </w:pPr>
      <w:r>
        <w:t>Penalties in Singapore vary by offence, sector, and level of non-compliance. A conservative approach is essential because l</w:t>
      </w:r>
      <w:r>
        <w:t>ate filing, inaccurate information, or failure to maintain proper records can lead to penalties, late fees, prosecution, licence action, or director disqualification.</w:t>
      </w:r>
    </w:p>
    <w:tbl>
      <w:tblPr>
        <w:tblStyle w:val="TableGrid"/>
        <w:tblW w:w="0" w:type="auto"/>
        <w:jc w:val="center"/>
        <w:tblLook w:val="04A0" w:firstRow="1" w:lastRow="0" w:firstColumn="1" w:lastColumn="0" w:noHBand="0" w:noVBand="1"/>
      </w:tblPr>
      <w:tblGrid>
        <w:gridCol w:w="3312"/>
        <w:gridCol w:w="3312"/>
        <w:gridCol w:w="3312"/>
      </w:tblGrid>
      <w:tr w:rsidR="00423156">
        <w:trPr>
          <w:jc w:val="center"/>
        </w:trPr>
        <w:tc>
          <w:tcPr>
            <w:tcW w:w="3312" w:type="dxa"/>
          </w:tcPr>
          <w:p w:rsidR="00423156" w:rsidRDefault="000F6FD4">
            <w:r>
              <w:rPr>
                <w:b/>
                <w:sz w:val="18"/>
              </w:rPr>
              <w:t>Compliance Area</w:t>
            </w:r>
          </w:p>
        </w:tc>
        <w:tc>
          <w:tcPr>
            <w:tcW w:w="3312" w:type="dxa"/>
          </w:tcPr>
          <w:p w:rsidR="00423156" w:rsidRDefault="000F6FD4">
            <w:r>
              <w:rPr>
                <w:b/>
                <w:sz w:val="18"/>
              </w:rPr>
              <w:t>Typical Consequence of Non-Compliance</w:t>
            </w:r>
          </w:p>
        </w:tc>
        <w:tc>
          <w:tcPr>
            <w:tcW w:w="3312" w:type="dxa"/>
          </w:tcPr>
          <w:p w:rsidR="00423156" w:rsidRDefault="000F6FD4">
            <w:r>
              <w:rPr>
                <w:b/>
                <w:sz w:val="18"/>
              </w:rPr>
              <w:t>Relevant Authority</w:t>
            </w:r>
          </w:p>
        </w:tc>
      </w:tr>
      <w:tr w:rsidR="00423156">
        <w:trPr>
          <w:jc w:val="center"/>
        </w:trPr>
        <w:tc>
          <w:tcPr>
            <w:tcW w:w="3312" w:type="dxa"/>
          </w:tcPr>
          <w:p w:rsidR="00423156" w:rsidRDefault="000F6FD4">
            <w:r>
              <w:rPr>
                <w:sz w:val="18"/>
              </w:rPr>
              <w:t xml:space="preserve">Corporate </w:t>
            </w:r>
            <w:r>
              <w:rPr>
                <w:sz w:val="18"/>
              </w:rPr>
              <w:t>filings</w:t>
            </w:r>
          </w:p>
        </w:tc>
        <w:tc>
          <w:tcPr>
            <w:tcW w:w="3312" w:type="dxa"/>
          </w:tcPr>
          <w:p w:rsidR="00423156" w:rsidRDefault="000F6FD4">
            <w:r>
              <w:rPr>
                <w:sz w:val="18"/>
              </w:rPr>
              <w:t>Late filing fees, prosecution in serious cases</w:t>
            </w:r>
          </w:p>
        </w:tc>
        <w:tc>
          <w:tcPr>
            <w:tcW w:w="3312" w:type="dxa"/>
          </w:tcPr>
          <w:p w:rsidR="00423156" w:rsidRDefault="000F6FD4">
            <w:r>
              <w:rPr>
                <w:sz w:val="18"/>
              </w:rPr>
              <w:t>ACRA</w:t>
            </w:r>
          </w:p>
        </w:tc>
      </w:tr>
      <w:tr w:rsidR="00423156">
        <w:trPr>
          <w:jc w:val="center"/>
        </w:trPr>
        <w:tc>
          <w:tcPr>
            <w:tcW w:w="3312" w:type="dxa"/>
          </w:tcPr>
          <w:p w:rsidR="00423156" w:rsidRDefault="000F6FD4">
            <w:r>
              <w:rPr>
                <w:sz w:val="18"/>
              </w:rPr>
              <w:t>Corporate tax</w:t>
            </w:r>
          </w:p>
        </w:tc>
        <w:tc>
          <w:tcPr>
            <w:tcW w:w="3312" w:type="dxa"/>
          </w:tcPr>
          <w:p w:rsidR="00423156" w:rsidRDefault="000F6FD4">
            <w:r>
              <w:rPr>
                <w:sz w:val="18"/>
              </w:rPr>
              <w:t>Late filing penalties and fines</w:t>
            </w:r>
          </w:p>
        </w:tc>
        <w:tc>
          <w:tcPr>
            <w:tcW w:w="3312" w:type="dxa"/>
          </w:tcPr>
          <w:p w:rsidR="00423156" w:rsidRDefault="000F6FD4">
            <w:r>
              <w:rPr>
                <w:sz w:val="18"/>
              </w:rPr>
              <w:t>IRAS</w:t>
            </w:r>
          </w:p>
        </w:tc>
      </w:tr>
      <w:tr w:rsidR="00423156">
        <w:trPr>
          <w:jc w:val="center"/>
        </w:trPr>
        <w:tc>
          <w:tcPr>
            <w:tcW w:w="3312" w:type="dxa"/>
          </w:tcPr>
          <w:p w:rsidR="00423156" w:rsidRDefault="000F6FD4">
            <w:r>
              <w:rPr>
                <w:sz w:val="18"/>
              </w:rPr>
              <w:t>GST</w:t>
            </w:r>
          </w:p>
        </w:tc>
        <w:tc>
          <w:tcPr>
            <w:tcW w:w="3312" w:type="dxa"/>
          </w:tcPr>
          <w:p w:rsidR="00423156" w:rsidRDefault="000F6FD4">
            <w:r>
              <w:rPr>
                <w:sz w:val="18"/>
              </w:rPr>
              <w:t>Late payment penalties, fines, assessments</w:t>
            </w:r>
          </w:p>
        </w:tc>
        <w:tc>
          <w:tcPr>
            <w:tcW w:w="3312" w:type="dxa"/>
          </w:tcPr>
          <w:p w:rsidR="00423156" w:rsidRDefault="000F6FD4">
            <w:r>
              <w:rPr>
                <w:sz w:val="18"/>
              </w:rPr>
              <w:t>IRAS</w:t>
            </w:r>
          </w:p>
        </w:tc>
      </w:tr>
      <w:tr w:rsidR="00423156">
        <w:trPr>
          <w:jc w:val="center"/>
        </w:trPr>
        <w:tc>
          <w:tcPr>
            <w:tcW w:w="3312" w:type="dxa"/>
          </w:tcPr>
          <w:p w:rsidR="00423156" w:rsidRDefault="000F6FD4">
            <w:r>
              <w:rPr>
                <w:sz w:val="18"/>
              </w:rPr>
              <w:t>Employment pass / work pass</w:t>
            </w:r>
          </w:p>
        </w:tc>
        <w:tc>
          <w:tcPr>
            <w:tcW w:w="3312" w:type="dxa"/>
          </w:tcPr>
          <w:p w:rsidR="00423156" w:rsidRDefault="000F6FD4">
            <w:r>
              <w:rPr>
                <w:sz w:val="18"/>
              </w:rPr>
              <w:t>Rejection, revocation, fines, bar on hiring</w:t>
            </w:r>
          </w:p>
        </w:tc>
        <w:tc>
          <w:tcPr>
            <w:tcW w:w="3312" w:type="dxa"/>
          </w:tcPr>
          <w:p w:rsidR="00423156" w:rsidRDefault="000F6FD4">
            <w:r>
              <w:rPr>
                <w:sz w:val="18"/>
              </w:rPr>
              <w:t>MOM</w:t>
            </w:r>
          </w:p>
        </w:tc>
      </w:tr>
      <w:tr w:rsidR="00423156">
        <w:trPr>
          <w:jc w:val="center"/>
        </w:trPr>
        <w:tc>
          <w:tcPr>
            <w:tcW w:w="3312" w:type="dxa"/>
          </w:tcPr>
          <w:p w:rsidR="00423156" w:rsidRDefault="000F6FD4">
            <w:r>
              <w:rPr>
                <w:sz w:val="18"/>
              </w:rPr>
              <w:t>CPF</w:t>
            </w:r>
          </w:p>
        </w:tc>
        <w:tc>
          <w:tcPr>
            <w:tcW w:w="3312" w:type="dxa"/>
          </w:tcPr>
          <w:p w:rsidR="00423156" w:rsidRDefault="000F6FD4">
            <w:r>
              <w:rPr>
                <w:sz w:val="18"/>
              </w:rPr>
              <w:t xml:space="preserve">Late </w:t>
            </w:r>
            <w:r>
              <w:rPr>
                <w:sz w:val="18"/>
              </w:rPr>
              <w:t>payment penalties and enforcement</w:t>
            </w:r>
          </w:p>
        </w:tc>
        <w:tc>
          <w:tcPr>
            <w:tcW w:w="3312" w:type="dxa"/>
          </w:tcPr>
          <w:p w:rsidR="00423156" w:rsidRDefault="000F6FD4">
            <w:r>
              <w:rPr>
                <w:sz w:val="18"/>
              </w:rPr>
              <w:t>CPF Board</w:t>
            </w:r>
          </w:p>
        </w:tc>
      </w:tr>
      <w:tr w:rsidR="00423156">
        <w:trPr>
          <w:jc w:val="center"/>
        </w:trPr>
        <w:tc>
          <w:tcPr>
            <w:tcW w:w="3312" w:type="dxa"/>
          </w:tcPr>
          <w:p w:rsidR="00423156" w:rsidRDefault="000F6FD4">
            <w:r>
              <w:rPr>
                <w:sz w:val="18"/>
              </w:rPr>
              <w:t>PDPA</w:t>
            </w:r>
          </w:p>
        </w:tc>
        <w:tc>
          <w:tcPr>
            <w:tcW w:w="3312" w:type="dxa"/>
          </w:tcPr>
          <w:p w:rsidR="00423156" w:rsidRDefault="000F6FD4">
            <w:r>
              <w:rPr>
                <w:sz w:val="18"/>
              </w:rPr>
              <w:t>Directions, financial penalties, enforcement action</w:t>
            </w:r>
          </w:p>
        </w:tc>
        <w:tc>
          <w:tcPr>
            <w:tcW w:w="3312" w:type="dxa"/>
          </w:tcPr>
          <w:p w:rsidR="00423156" w:rsidRDefault="000F6FD4">
            <w:r>
              <w:rPr>
                <w:sz w:val="18"/>
              </w:rPr>
              <w:t>PDPC</w:t>
            </w:r>
          </w:p>
        </w:tc>
      </w:tr>
      <w:tr w:rsidR="00423156">
        <w:trPr>
          <w:jc w:val="center"/>
        </w:trPr>
        <w:tc>
          <w:tcPr>
            <w:tcW w:w="3312" w:type="dxa"/>
          </w:tcPr>
          <w:p w:rsidR="00423156" w:rsidRDefault="000F6FD4">
            <w:r>
              <w:rPr>
                <w:sz w:val="18"/>
              </w:rPr>
              <w:t>Sector licensing</w:t>
            </w:r>
          </w:p>
        </w:tc>
        <w:tc>
          <w:tcPr>
            <w:tcW w:w="3312" w:type="dxa"/>
          </w:tcPr>
          <w:p w:rsidR="00423156" w:rsidRDefault="000F6FD4">
            <w:r>
              <w:rPr>
                <w:sz w:val="18"/>
              </w:rPr>
              <w:t>Suspension or revocation of licence</w:t>
            </w:r>
          </w:p>
        </w:tc>
        <w:tc>
          <w:tcPr>
            <w:tcW w:w="3312" w:type="dxa"/>
          </w:tcPr>
          <w:p w:rsidR="00423156" w:rsidRDefault="000F6FD4">
            <w:r>
              <w:rPr>
                <w:sz w:val="18"/>
              </w:rPr>
              <w:t>Relevant regulator</w:t>
            </w:r>
          </w:p>
        </w:tc>
      </w:tr>
    </w:tbl>
    <w:p w:rsidR="00423156" w:rsidRDefault="000F6FD4">
      <w:pPr>
        <w:pStyle w:val="Heading1"/>
        <w:spacing w:before="160" w:after="40"/>
      </w:pPr>
      <w:r>
        <w:rPr>
          <w:rFonts w:ascii="Arial" w:hAnsi="Arial"/>
        </w:rPr>
        <w:t>20. How Comply Globally Supports Entry Singapore</w:t>
      </w:r>
    </w:p>
    <w:p w:rsidR="00423156" w:rsidRDefault="000F6FD4">
      <w:pPr>
        <w:spacing w:after="80"/>
      </w:pPr>
      <w:r>
        <w:t>Comply Globally, a Connect</w:t>
      </w:r>
      <w:r>
        <w:t xml:space="preserve"> Ventures Initiative, provides end-to-end advisory and execution support for Indian businesses entering Singapore.</w:t>
      </w:r>
    </w:p>
    <w:p w:rsidR="00423156" w:rsidRDefault="000F6FD4">
      <w:pPr>
        <w:pStyle w:val="Heading2"/>
        <w:spacing w:before="160" w:after="40"/>
      </w:pPr>
      <w:r>
        <w:rPr>
          <w:rFonts w:ascii="Arial" w:hAnsi="Arial"/>
        </w:rPr>
        <w:lastRenderedPageBreak/>
        <w:t>20.1 Our Services</w:t>
      </w:r>
    </w:p>
    <w:p w:rsidR="00423156" w:rsidRDefault="000F6FD4">
      <w:pPr>
        <w:spacing w:after="80"/>
      </w:pPr>
      <w:r>
        <w:t xml:space="preserve">Pre-entry advisory, entity structuring, Singapore incorporation support, UBO and governance setup, bank account onboarding </w:t>
      </w:r>
      <w:r>
        <w:t>support, GST and corporate tax registration, employment and work pass planning, annual compliance calendar design, transfer pricing support, and India-side cross-border compliance coordination.</w:t>
      </w:r>
    </w:p>
    <w:p w:rsidR="00423156" w:rsidRDefault="000F6FD4">
      <w:pPr>
        <w:pStyle w:val="Heading2"/>
        <w:spacing w:before="160" w:after="40"/>
      </w:pPr>
      <w:r>
        <w:rPr>
          <w:rFonts w:ascii="Arial" w:hAnsi="Arial"/>
        </w:rPr>
        <w:t>20.2 Contact Us</w:t>
      </w:r>
    </w:p>
    <w:p w:rsidR="00423156" w:rsidRDefault="000F6FD4">
      <w:pPr>
        <w:spacing w:after="80"/>
      </w:pPr>
      <w:r>
        <w:t>Comply Globally - A Connect Ventures Initiativ</w:t>
      </w:r>
      <w:r>
        <w:t>e</w:t>
      </w:r>
      <w:r>
        <w:br/>
        <w:t>Email: anil.gupta@TheConnectVentures.com</w:t>
      </w:r>
      <w:r>
        <w:br/>
        <w:t>Phone: +91 99999 81613 | +1 302 214 1717</w:t>
      </w:r>
    </w:p>
    <w:p w:rsidR="00423156" w:rsidRDefault="000F6FD4">
      <w:pPr>
        <w:spacing w:after="80"/>
      </w:pPr>
      <w:r>
        <w:t>We look forward to supporting your successful entry into the Singapore market.</w:t>
      </w:r>
    </w:p>
    <w:sectPr w:rsidR="0042315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6FD4"/>
    <w:rsid w:val="0015074B"/>
    <w:rsid w:val="0029639D"/>
    <w:rsid w:val="00326F90"/>
    <w:rsid w:val="00423156"/>
    <w:rsid w:val="004A6574"/>
    <w:rsid w:val="00AA1D8D"/>
    <w:rsid w:val="00B47730"/>
    <w:rsid w:val="00C848F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22059C-54DC-4A11-A9AB-70CDA115C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3827</Words>
  <Characters>21815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25591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4</cp:revision>
  <dcterms:created xsi:type="dcterms:W3CDTF">2013-12-23T23:15:00Z</dcterms:created>
  <dcterms:modified xsi:type="dcterms:W3CDTF">2026-05-21T12:33:00Z</dcterms:modified>
  <cp:category/>
</cp:coreProperties>
</file>