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62"/>
        <w:jc w:val="center"/>
        <w:rPr/>
      </w:pPr>
      <w:r>
        <w:rPr/>
        <w:t>Data Quality and Exploratory Analysis</w:t>
      </w:r>
    </w:p>
    <w:p w14:paraId="00000002">
      <w:pPr>
        <w:pStyle w:val="style0"/>
        <w:jc w:val="center"/>
        <w:rPr/>
      </w:pPr>
      <w:r>
        <w:rPr/>
        <w:t>Customer Churn Dataset — Internship Project Report</w:t>
      </w:r>
    </w:p>
    <w:p w14:paraId="C6A4F695">
      <w:pPr>
        <w:pStyle w:val="style0"/>
        <w:jc w:val="center"/>
        <w:rPr/>
      </w:pPr>
      <w:r>
        <w:rPr>
          <w:b/>
          <w:bCs/>
        </w:rPr>
        <w:t>Prepared by: [</w:t>
      </w:r>
      <w:r>
        <w:rPr>
          <w:b/>
          <w:bCs/>
          <w:lang w:val="en-US"/>
        </w:rPr>
        <w:t>Kalaiarasans</w:t>
      </w:r>
      <w:r>
        <w:rPr>
          <w:b/>
          <w:bCs/>
        </w:rPr>
        <w:t>]</w:t>
      </w:r>
      <w:r>
        <w:rPr>
          <w:b/>
          <w:bCs/>
        </w:rPr>
        <w:br/>
      </w:r>
      <w:r>
        <w:rPr/>
        <w:t>Course: Bachelor of Computer Applications (BCA)</w:t>
      </w:r>
      <w:r>
        <w:rPr/>
        <w:br/>
      </w:r>
      <w:r>
        <w:rPr/>
        <w:t>Date: [2</w:t>
      </w:r>
      <w:r>
        <w:rPr>
          <w:lang w:val="en-US"/>
        </w:rPr>
        <w:t>3</w:t>
      </w:r>
      <w:r>
        <w:rPr/>
        <w:t>/10/2026]</w:t>
      </w:r>
      <w:r>
        <w:rPr/>
        <w:br/>
      </w:r>
      <w:r>
        <w:rPr/>
        <w:t>Dataset: Synthetic practice data (not real company data)</w:t>
      </w:r>
    </w:p>
    <w:p w14:paraId="00000004">
      <w:pPr>
        <w:pStyle w:val="style1"/>
        <w:rPr/>
      </w:pPr>
      <w:r>
        <w:rPr/>
        <w:t>1. Project Overview</w:t>
      </w:r>
    </w:p>
    <w:p w14:paraId="00000005">
      <w:pPr>
        <w:pStyle w:val="style0"/>
        <w:rPr/>
      </w:pPr>
      <w:r>
        <w:rPr/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00000006">
      <w:pPr>
        <w:pStyle w:val="style1"/>
        <w:rPr/>
      </w:pPr>
      <w:r>
        <w:rPr/>
        <w:t>2. Objectives</w:t>
      </w:r>
    </w:p>
    <w:p w14:paraId="00000007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Profile columns, data types, missing values, outliers, and duplicates.</w:t>
      </w:r>
    </w:p>
    <w:p w14:paraId="0000000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Clean the data with documented assumptions and validation checks.</w:t>
      </w:r>
    </w:p>
    <w:p w14:paraId="00000009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Calculate summary statistics and inspect meaningful distributions.</w:t>
      </w:r>
    </w:p>
    <w:p w14:paraId="0000000A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Package the work with a short explanation for sharing as a public or view-only link.</w:t>
      </w:r>
    </w:p>
    <w:p w14:paraId="0000000B">
      <w:pPr>
        <w:pStyle w:val="style1"/>
        <w:rPr/>
      </w:pPr>
      <w:r>
        <w:rPr/>
        <w:t>3. Dataset Profile</w:t>
      </w:r>
    </w:p>
    <w:p w14:paraId="0000000C">
      <w:pPr>
        <w:pStyle w:val="style0"/>
        <w:rPr/>
      </w:pPr>
      <w:r>
        <w:rPr/>
        <w:t>Raw dataset: 243 rows × 14 columns. Exact duplicate rows: 3.</w:t>
      </w:r>
    </w:p>
    <w:p w14:paraId="0000000D">
      <w:pPr>
        <w:pStyle w:val="style0"/>
        <w:rPr/>
      </w:pPr>
      <w:r>
        <w:rPr/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style4099"/>
        <w:tblW w:w="9936" w:type="dxa"/>
        <w:jc w:val="left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11F9397E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E">
            <w:pPr>
              <w:pStyle w:val="style0"/>
              <w:rPr/>
            </w:pPr>
            <w:r>
              <w:rPr/>
              <w:t>Column</w:t>
            </w:r>
          </w:p>
        </w:tc>
        <w:tc>
          <w:tcPr>
            <w:tcW w:w="0" w:type="auto"/>
            <w:tcBorders/>
          </w:tcPr>
          <w:p w14:paraId="0000000F">
            <w:pPr>
              <w:pStyle w:val="style0"/>
              <w:rPr/>
            </w:pPr>
            <w:r>
              <w:rPr/>
              <w:t>Data type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/>
            </w:pPr>
            <w:r>
              <w:rPr/>
              <w:t>Missing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/>
            </w:pPr>
            <w:r>
              <w:rPr/>
              <w:t>Unique incl. NA</w:t>
            </w:r>
          </w:p>
        </w:tc>
      </w:tr>
      <w:tr w14:paraId="A9A4C8A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rPr/>
            </w:pPr>
            <w:r>
              <w:rPr/>
              <w:t>CustomerID</w:t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15">
            <w:pPr>
              <w:pStyle w:val="style0"/>
              <w:rPr/>
            </w:pPr>
            <w:r>
              <w:rPr/>
              <w:t>240</w:t>
            </w:r>
          </w:p>
        </w:tc>
      </w:tr>
      <w:tr w14:paraId="9CEF936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6">
            <w:pPr>
              <w:pStyle w:val="style0"/>
              <w:rPr/>
            </w:pPr>
            <w:r>
              <w:rPr/>
              <w:t>Gender</w:t>
            </w:r>
          </w:p>
        </w:tc>
        <w:tc>
          <w:tcPr>
            <w:tcW w:w="0" w:type="auto"/>
            <w:tcBorders/>
          </w:tcPr>
          <w:p w14:paraId="00000017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rPr/>
            </w:pPr>
            <w:r>
              <w:rPr/>
              <w:t>5 (2.06%)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rPr/>
            </w:pPr>
            <w:r>
              <w:rPr/>
              <w:t>4</w:t>
            </w:r>
          </w:p>
        </w:tc>
      </w:tr>
      <w:tr w14:paraId="FE9209D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A">
            <w:pPr>
              <w:pStyle w:val="style0"/>
              <w:rPr/>
            </w:pPr>
            <w:r>
              <w:rPr/>
              <w:t>SeniorCitizen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rPr/>
            </w:pPr>
            <w:r>
              <w:rPr/>
              <w:t>int64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1D">
            <w:pPr>
              <w:pStyle w:val="style0"/>
              <w:rPr/>
            </w:pPr>
            <w:r>
              <w:rPr/>
              <w:t>3</w:t>
            </w:r>
          </w:p>
        </w:tc>
      </w:tr>
      <w:tr w14:paraId="3646CBF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E">
            <w:pPr>
              <w:pStyle w:val="style0"/>
              <w:rPr/>
            </w:pPr>
            <w:r>
              <w:rPr/>
              <w:t>Partner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21">
            <w:pPr>
              <w:pStyle w:val="style0"/>
              <w:rPr/>
            </w:pPr>
            <w:r>
              <w:rPr/>
              <w:t>2</w:t>
            </w:r>
          </w:p>
        </w:tc>
      </w:tr>
      <w:tr w14:paraId="235D1A86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2">
            <w:pPr>
              <w:pStyle w:val="style0"/>
              <w:rPr/>
            </w:pPr>
            <w:r>
              <w:rPr/>
              <w:t>Dependents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24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25">
            <w:pPr>
              <w:pStyle w:val="style0"/>
              <w:rPr/>
            </w:pPr>
            <w:r>
              <w:rPr/>
              <w:t>2</w:t>
            </w:r>
          </w:p>
        </w:tc>
      </w:tr>
      <w:tr w14:paraId="355E19F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6">
            <w:pPr>
              <w:pStyle w:val="style0"/>
              <w:rPr/>
            </w:pPr>
            <w:r>
              <w:rPr/>
              <w:t>TenureMonths</w:t>
            </w:r>
          </w:p>
        </w:tc>
        <w:tc>
          <w:tcPr>
            <w:tcW w:w="0" w:type="auto"/>
            <w:tcBorders/>
          </w:tcPr>
          <w:p w14:paraId="00000027">
            <w:pPr>
              <w:pStyle w:val="style0"/>
              <w:rPr/>
            </w:pPr>
            <w:r>
              <w:rPr/>
              <w:t>int64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rPr/>
            </w:pPr>
            <w:r>
              <w:rPr/>
              <w:t>71</w:t>
            </w:r>
          </w:p>
        </w:tc>
      </w:tr>
      <w:tr w14:paraId="1092DDBC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A">
            <w:pPr>
              <w:pStyle w:val="style0"/>
              <w:rPr/>
            </w:pPr>
            <w:r>
              <w:rPr/>
              <w:t>PhoneService</w:t>
            </w:r>
          </w:p>
        </w:tc>
        <w:tc>
          <w:tcPr>
            <w:tcW w:w="0" w:type="auto"/>
            <w:tcBorders/>
          </w:tcPr>
          <w:p w14:paraId="0000002B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2C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2D">
            <w:pPr>
              <w:pStyle w:val="style0"/>
              <w:rPr/>
            </w:pPr>
            <w:r>
              <w:rPr/>
              <w:t>2</w:t>
            </w:r>
          </w:p>
        </w:tc>
      </w:tr>
      <w:tr w14:paraId="58B4AA3C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E">
            <w:pPr>
              <w:pStyle w:val="style0"/>
              <w:rPr/>
            </w:pPr>
            <w:r>
              <w:rPr/>
              <w:t>InternetService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rPr/>
            </w:pPr>
            <w:r>
              <w:rPr/>
              <w:t>4</w:t>
            </w:r>
          </w:p>
        </w:tc>
      </w:tr>
      <w:tr w14:paraId="C772E90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rPr/>
            </w:pPr>
            <w:r>
              <w:rPr/>
              <w:t>Contract</w:t>
            </w:r>
          </w:p>
        </w:tc>
        <w:tc>
          <w:tcPr>
            <w:tcW w:w="0" w:type="auto"/>
            <w:tcBorders/>
          </w:tcPr>
          <w:p w14:paraId="00000033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35">
            <w:pPr>
              <w:pStyle w:val="style0"/>
              <w:rPr/>
            </w:pPr>
            <w:r>
              <w:rPr/>
              <w:t>4</w:t>
            </w:r>
          </w:p>
        </w:tc>
      </w:tr>
      <w:tr w14:paraId="A66B542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6">
            <w:pPr>
              <w:pStyle w:val="style0"/>
              <w:rPr/>
            </w:pPr>
            <w:r>
              <w:rPr/>
              <w:t>PaperlessBilling</w:t>
            </w:r>
          </w:p>
        </w:tc>
        <w:tc>
          <w:tcPr>
            <w:tcW w:w="0" w:type="auto"/>
            <w:tcBorders/>
          </w:tcPr>
          <w:p w14:paraId="00000037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38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rPr/>
            </w:pPr>
            <w:r>
              <w:rPr/>
              <w:t>2</w:t>
            </w:r>
          </w:p>
        </w:tc>
      </w:tr>
      <w:tr w14:paraId="F8BBD6B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A">
            <w:pPr>
              <w:pStyle w:val="style0"/>
              <w:rPr/>
            </w:pPr>
            <w:r>
              <w:rPr/>
              <w:t>PaymentMethod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rPr/>
            </w:pPr>
            <w:r>
              <w:rPr/>
              <w:t>5</w:t>
            </w:r>
          </w:p>
        </w:tc>
      </w:tr>
      <w:tr w14:paraId="3798B41E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E">
            <w:pPr>
              <w:pStyle w:val="style0"/>
              <w:rPr/>
            </w:pPr>
            <w:r>
              <w:rPr/>
              <w:t>MonthlyCharges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rPr/>
            </w:pPr>
            <w:r>
              <w:rPr/>
              <w:t>float64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rPr/>
            </w:pPr>
            <w:r>
              <w:rPr/>
              <w:t>4 (1.65%)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rPr/>
            </w:pPr>
            <w:r>
              <w:rPr/>
              <w:t>237</w:t>
            </w:r>
          </w:p>
        </w:tc>
      </w:tr>
      <w:tr w14:paraId="AAD0EF2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42">
            <w:pPr>
              <w:pStyle w:val="style0"/>
              <w:rPr/>
            </w:pPr>
            <w:r>
              <w:rPr/>
              <w:t>TotalCharges</w:t>
            </w:r>
          </w:p>
        </w:tc>
        <w:tc>
          <w:tcPr>
            <w:tcW w:w="0" w:type="auto"/>
            <w:tcBorders/>
          </w:tcPr>
          <w:p w14:paraId="00000043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44">
            <w:pPr>
              <w:pStyle w:val="style0"/>
              <w:rPr/>
            </w:pPr>
            <w:r>
              <w:rPr/>
              <w:t>3 (1.23%)</w:t>
            </w:r>
          </w:p>
        </w:tc>
        <w:tc>
          <w:tcPr>
            <w:tcW w:w="0" w:type="auto"/>
            <w:tcBorders/>
          </w:tcPr>
          <w:p w14:paraId="00000045">
            <w:pPr>
              <w:pStyle w:val="style0"/>
              <w:rPr/>
            </w:pPr>
            <w:r>
              <w:rPr/>
              <w:t>236</w:t>
            </w:r>
          </w:p>
        </w:tc>
      </w:tr>
      <w:tr w14:paraId="613030F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46">
            <w:pPr>
              <w:pStyle w:val="style0"/>
              <w:rPr/>
            </w:pPr>
            <w:r>
              <w:rPr/>
              <w:t>Churn</w:t>
            </w:r>
          </w:p>
        </w:tc>
        <w:tc>
          <w:tcPr>
            <w:tcW w:w="0" w:type="auto"/>
            <w:tcBorders/>
          </w:tcPr>
          <w:p w14:paraId="00000047">
            <w:pPr>
              <w:pStyle w:val="style0"/>
              <w:rPr/>
            </w:pPr>
            <w:r>
              <w:rPr/>
              <w:t>object</w:t>
            </w:r>
          </w:p>
        </w:tc>
        <w:tc>
          <w:tcPr>
            <w:tcW w:w="0" w:type="auto"/>
            <w:tcBorders/>
          </w:tcPr>
          <w:p w14:paraId="00000048">
            <w:pPr>
              <w:pStyle w:val="style0"/>
              <w:rPr/>
            </w:pPr>
            <w:r>
              <w:rPr/>
              <w:t>0 (0.0%)</w:t>
            </w:r>
          </w:p>
        </w:tc>
        <w:tc>
          <w:tcPr>
            <w:tcW w:w="0" w:type="auto"/>
            <w:tcBorders/>
          </w:tcPr>
          <w:p w14:paraId="00000049">
            <w:pPr>
              <w:pStyle w:val="style0"/>
              <w:rPr/>
            </w:pPr>
            <w:r>
              <w:rPr/>
              <w:t>2</w:t>
            </w:r>
          </w:p>
        </w:tc>
      </w:tr>
    </w:tbl>
    <w:p w14:paraId="0000004A">
      <w:pPr>
        <w:pStyle w:val="style1"/>
        <w:rPr/>
      </w:pPr>
      <w:r>
        <w:rPr/>
        <w:t>4. Data Cleaning Decisions and Assumptions</w:t>
      </w:r>
    </w:p>
    <w:tbl>
      <w:tblPr>
        <w:tblStyle w:val="style4100"/>
        <w:tblW w:w="9936" w:type="dxa"/>
        <w:jc w:val="left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0FD22C52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4B">
            <w:pPr>
              <w:pStyle w:val="style0"/>
              <w:rPr/>
            </w:pPr>
            <w:r>
              <w:rPr/>
              <w:t>Issue</w:t>
            </w:r>
          </w:p>
        </w:tc>
        <w:tc>
          <w:tcPr>
            <w:tcW w:w="0" w:type="auto"/>
            <w:tcBorders/>
          </w:tcPr>
          <w:p w14:paraId="0000004C">
            <w:pPr>
              <w:pStyle w:val="style0"/>
              <w:rPr/>
            </w:pPr>
            <w:r>
              <w:rPr/>
              <w:t>Action</w:t>
            </w:r>
          </w:p>
        </w:tc>
        <w:tc>
          <w:tcPr>
            <w:tcW w:w="0" w:type="auto"/>
            <w:tcBorders/>
          </w:tcPr>
          <w:p w14:paraId="0000004D">
            <w:pPr>
              <w:pStyle w:val="style0"/>
              <w:rPr/>
            </w:pPr>
            <w:r>
              <w:rPr/>
              <w:t>Assumption / reason</w:t>
            </w:r>
          </w:p>
        </w:tc>
      </w:tr>
      <w:tr w14:paraId="1B981D3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4E">
            <w:pPr>
              <w:pStyle w:val="style0"/>
              <w:rPr/>
            </w:pPr>
            <w:r>
              <w:rPr/>
              <w:t>Whitespace / blank strings</w:t>
            </w:r>
          </w:p>
        </w:tc>
        <w:tc>
          <w:tcPr>
            <w:tcW w:w="0" w:type="auto"/>
            <w:tcBorders/>
          </w:tcPr>
          <w:p w14:paraId="0000004F">
            <w:pPr>
              <w:pStyle w:val="style0"/>
              <w:rPr/>
            </w:pPr>
            <w:r>
              <w:rPr/>
              <w:t>Trimmed spaces; converted blanks to missing values.</w:t>
            </w:r>
          </w:p>
        </w:tc>
        <w:tc>
          <w:tcPr>
            <w:tcW w:w="0" w:type="auto"/>
            <w:tcBorders/>
          </w:tcPr>
          <w:p w14:paraId="00000050">
            <w:pPr>
              <w:pStyle w:val="style0"/>
              <w:rPr/>
            </w:pPr>
            <w:r>
              <w:rPr/>
              <w:t>Blank-only values are not valid observations.</w:t>
            </w:r>
          </w:p>
        </w:tc>
      </w:tr>
      <w:tr w14:paraId="344C3565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1">
            <w:pPr>
              <w:pStyle w:val="style0"/>
              <w:rPr/>
            </w:pPr>
            <w:r>
              <w:rPr/>
              <w:t>Category inconsistencies</w:t>
            </w:r>
          </w:p>
        </w:tc>
        <w:tc>
          <w:tcPr>
            <w:tcW w:w="0" w:type="auto"/>
            <w:tcBorders/>
          </w:tcPr>
          <w:p w14:paraId="00000052">
            <w:pPr>
              <w:pStyle w:val="style0"/>
              <w:rPr/>
            </w:pPr>
            <w:r>
              <w:rPr/>
              <w:t>Standardized known spelling/case variants.</w:t>
            </w:r>
          </w:p>
        </w:tc>
        <w:tc>
          <w:tcPr>
            <w:tcW w:w="0" w:type="auto"/>
            <w:tcBorders/>
          </w:tcPr>
          <w:p w14:paraId="00000053">
            <w:pPr>
              <w:pStyle w:val="style0"/>
              <w:rPr/>
            </w:pPr>
            <w:r>
              <w:rPr/>
              <w:t>Labels with clear equivalent meanings represent the same category.</w:t>
            </w:r>
          </w:p>
        </w:tc>
      </w:tr>
      <w:tr w14:paraId="4625D12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4">
            <w:pPr>
              <w:pStyle w:val="style0"/>
              <w:rPr/>
            </w:pPr>
            <w:r>
              <w:rPr/>
              <w:t>Numeric data types</w:t>
            </w:r>
          </w:p>
        </w:tc>
        <w:tc>
          <w:tcPr>
            <w:tcW w:w="0" w:type="auto"/>
            <w:tcBorders/>
          </w:tcPr>
          <w:p w14:paraId="00000055">
            <w:pPr>
              <w:pStyle w:val="style0"/>
              <w:rPr/>
            </w:pPr>
            <w:r>
              <w:rPr/>
              <w:t>Safely converted tenure and charge fields to numeric.</w:t>
            </w:r>
          </w:p>
        </w:tc>
        <w:tc>
          <w:tcPr>
            <w:tcW w:w="0" w:type="auto"/>
            <w:tcBorders/>
          </w:tcPr>
          <w:p w14:paraId="00000056">
            <w:pPr>
              <w:pStyle w:val="style0"/>
              <w:rPr/>
            </w:pPr>
            <w:r>
              <w:rPr/>
              <w:t>These fields must support arithmetic and range checks.</w:t>
            </w:r>
          </w:p>
        </w:tc>
      </w:tr>
      <w:tr w14:paraId="82A1592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7">
            <w:pPr>
              <w:pStyle w:val="style0"/>
              <w:rPr/>
            </w:pPr>
            <w:r>
              <w:rPr/>
              <w:t>Duplicates</w:t>
            </w:r>
          </w:p>
        </w:tc>
        <w:tc>
          <w:tcPr>
            <w:tcW w:w="0" w:type="auto"/>
            <w:tcBorders/>
          </w:tcPr>
          <w:p w14:paraId="00000058">
            <w:pPr>
              <w:pStyle w:val="style0"/>
              <w:rPr/>
            </w:pPr>
            <w:r>
              <w:rPr/>
              <w:t>Removed exact duplicate rows.</w:t>
            </w:r>
          </w:p>
        </w:tc>
        <w:tc>
          <w:tcPr>
            <w:tcW w:w="0" w:type="auto"/>
            <w:tcBorders/>
          </w:tcPr>
          <w:p w14:paraId="00000059">
            <w:pPr>
              <w:pStyle w:val="style0"/>
              <w:rPr/>
            </w:pPr>
            <w:r>
              <w:rPr/>
              <w:t>Exact duplicate records should not count twice.</w:t>
            </w:r>
          </w:p>
        </w:tc>
      </w:tr>
      <w:tr w14:paraId="45EFDF9E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A">
            <w:pPr>
              <w:pStyle w:val="style0"/>
              <w:rPr/>
            </w:pPr>
            <w:r>
              <w:rPr/>
              <w:t>Invalid values</w:t>
            </w:r>
          </w:p>
        </w:tc>
        <w:tc>
          <w:tcPr>
            <w:tcW w:w="0" w:type="auto"/>
            <w:tcBorders/>
          </w:tcPr>
          <w:p w14:paraId="0000005B">
            <w:pPr>
              <w:pStyle w:val="style0"/>
              <w:rPr/>
            </w:pPr>
            <w:r>
              <w:rPr/>
              <w:t>SeniorCitizen outside 0/1 and negative tenure/charges marked missing.</w:t>
            </w:r>
          </w:p>
        </w:tc>
        <w:tc>
          <w:tcPr>
            <w:tcW w:w="0" w:type="auto"/>
            <w:tcBorders/>
          </w:tcPr>
          <w:p w14:paraId="0000005C">
            <w:pPr>
              <w:pStyle w:val="style0"/>
              <w:rPr/>
            </w:pPr>
            <w:r>
              <w:rPr/>
              <w:t>Assumes senior-citizen flag is binary and tenure/charges cannot be negative.</w:t>
            </w:r>
          </w:p>
        </w:tc>
      </w:tr>
      <w:tr w14:paraId="6AEC2A0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D">
            <w:pPr>
              <w:pStyle w:val="style0"/>
              <w:rPr/>
            </w:pPr>
            <w:r>
              <w:rPr/>
              <w:t>Missing values</w:t>
            </w:r>
          </w:p>
        </w:tc>
        <w:tc>
          <w:tcPr>
            <w:tcW w:w="0" w:type="auto"/>
            <w:tcBorders/>
          </w:tcPr>
          <w:p w14:paraId="0000005E">
            <w:pPr>
              <w:pStyle w:val="style0"/>
              <w:rPr/>
            </w:pPr>
            <w:r>
              <w:rPr/>
              <w:t>Numeric fields filled with median; categorical fields filled with mode.</w:t>
            </w:r>
          </w:p>
        </w:tc>
        <w:tc>
          <w:tcPr>
            <w:tcW w:w="0" w:type="auto"/>
            <w:tcBorders/>
          </w:tcPr>
          <w:p w14:paraId="0000005F">
            <w:pPr>
              <w:pStyle w:val="style0"/>
              <w:rPr/>
            </w:pPr>
            <w:r>
              <w:rPr/>
              <w:t>Simple baseline imputation for this educational task; real projects should validate with a domain owner.</w:t>
            </w:r>
          </w:p>
        </w:tc>
      </w:tr>
      <w:tr w14:paraId="2248E13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60">
            <w:pPr>
              <w:pStyle w:val="style0"/>
              <w:rPr/>
            </w:pPr>
            <w:r>
              <w:rPr/>
              <w:t>Outliers</w:t>
            </w:r>
          </w:p>
        </w:tc>
        <w:tc>
          <w:tcPr>
            <w:tcW w:w="0" w:type="auto"/>
            <w:tcBorders/>
          </w:tcPr>
          <w:p w14:paraId="00000061">
            <w:pPr>
              <w:pStyle w:val="style0"/>
              <w:rPr/>
            </w:pPr>
            <w:r>
              <w:rPr/>
              <w:t>Screened numeric values using the IQR rule; reported flags, did not automatically delete.</w:t>
            </w:r>
          </w:p>
        </w:tc>
        <w:tc>
          <w:tcPr>
            <w:tcW w:w="0" w:type="auto"/>
            <w:tcBorders/>
          </w:tcPr>
          <w:p w14:paraId="00000062">
            <w:pPr>
              <w:pStyle w:val="style0"/>
              <w:rPr/>
            </w:pPr>
            <w:r>
              <w:rPr/>
              <w:t>An extreme charge may be valid, so statistical flags alone are not sufficient grounds for removal.</w:t>
            </w:r>
          </w:p>
        </w:tc>
      </w:tr>
    </w:tbl>
    <w:p w14:paraId="00000063">
      <w:pPr>
        <w:pStyle w:val="style1"/>
        <w:rPr/>
      </w:pPr>
      <w:r>
        <w:rPr/>
        <w:t>5. Validation Checks</w:t>
      </w:r>
    </w:p>
    <w:p w14:paraId="00000064">
      <w:pPr>
        <w:pStyle w:val="style0"/>
        <w:rPr/>
      </w:pPr>
      <w:r>
        <w:rPr/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00000065">
      <w:pPr>
        <w:pStyle w:val="style1"/>
        <w:rPr/>
      </w:pPr>
      <w:r>
        <w:rPr/>
        <w:t>6. Summary Statistics and Initial Patterns</w:t>
      </w:r>
    </w:p>
    <w:p w14:paraId="00000066">
      <w:pPr>
        <w:pStyle w:val="style0"/>
        <w:rPr/>
      </w:pPr>
      <w:r>
        <w:rPr/>
        <w:t>Overall churn rate is 29.2% in this synthetic sample.</w:t>
      </w:r>
    </w:p>
    <w:p w14:paraId="00000067">
      <w:pPr>
        <w:pStyle w:val="style0"/>
        <w:rPr/>
      </w:pPr>
      <w:r>
        <w:rPr/>
        <w:t>Churn rate by contract type: Month-to-month 34.3%; One year 23.4%; Two year 20.8%. Month-to-month customers have the highest observed churn rate in this generated dataset.</w:t>
      </w:r>
    </w:p>
    <w:p w14:paraId="00000068">
      <w:pPr>
        <w:pStyle w:val="style0"/>
        <w:rPr/>
      </w:pPr>
      <w:r>
        <w:rPr/>
        <w:t>The script also calculates descriptive statistics for tenure, monthly charges, and total charges, plus tenure and monthly-charge summaries by churn status.</w:t>
      </w:r>
    </w:p>
    <w:p w14:paraId="00000069">
      <w:pPr>
        <w:pStyle w:val="style0"/>
        <w:rPr/>
      </w:pPr>
      <w:r>
        <w:rPr/>
        <w:drawing>
          <wp:inline distL="0" distT="0" distB="0" distR="0">
            <wp:extent cx="5303520" cy="3263705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326370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6A">
      <w:pPr>
        <w:pStyle w:val="style0"/>
        <w:jc w:val="center"/>
        <w:rPr/>
      </w:pPr>
      <w:r>
        <w:rPr/>
        <w:t>Figure 1. Customer counts by churn status.</w:t>
      </w:r>
    </w:p>
    <w:p w14:paraId="0000006B">
      <w:pPr>
        <w:pStyle w:val="style0"/>
        <w:rPr/>
      </w:pPr>
      <w:r>
        <w:rPr/>
        <w:drawing>
          <wp:inline distL="0" distT="0" distB="0" distR="0">
            <wp:extent cx="5303520" cy="2828544"/>
            <wp:effectExtent l="0" t="0" r="0" b="0"/>
            <wp:docPr id="1027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82854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6C">
      <w:pPr>
        <w:pStyle w:val="style0"/>
        <w:jc w:val="center"/>
        <w:rPr/>
      </w:pPr>
      <w:r>
        <w:rPr/>
        <w:t>Figure 2. Churn rate by contract type.</w:t>
      </w:r>
    </w:p>
    <w:p w14:paraId="0000006D">
      <w:pPr>
        <w:pStyle w:val="style0"/>
        <w:rPr/>
      </w:pPr>
      <w:r>
        <w:rPr/>
        <w:drawing>
          <wp:inline distL="0" distT="0" distB="0" distR="0">
            <wp:extent cx="5303520" cy="3977640"/>
            <wp:effectExtent l="0" t="0" r="0" b="0"/>
            <wp:docPr id="1028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397764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6E">
      <w:pPr>
        <w:pStyle w:val="style0"/>
        <w:jc w:val="center"/>
        <w:rPr/>
      </w:pPr>
      <w:r>
        <w:rPr/>
        <w:t>Figure 3. Tenure distribution by churn status.</w:t>
      </w:r>
    </w:p>
    <w:p w14:paraId="0000006F">
      <w:pPr>
        <w:pStyle w:val="style1"/>
        <w:rPr/>
      </w:pPr>
      <w:r>
        <w:rPr/>
        <w:t>7. Conclusion and Limitations</w:t>
      </w:r>
    </w:p>
    <w:p w14:paraId="00000070">
      <w:pPr>
        <w:pStyle w:val="style0"/>
        <w:rPr/>
      </w:pPr>
      <w:r>
        <w:rPr/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00000071">
      <w:pPr>
        <w:pStyle w:val="style1"/>
        <w:rPr/>
      </w:pPr>
      <w:r>
        <w:rPr/>
        <w:t>8. Files Included</w:t>
      </w:r>
    </w:p>
    <w:p w14:paraId="00000072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customer_churn_raw.csv — raw data with deliberate quality issues</w:t>
      </w:r>
    </w:p>
    <w:p w14:paraId="00000073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customer_churn_cleaned.csv — cleaned dataset</w:t>
      </w:r>
    </w:p>
    <w:p w14:paraId="00000074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data_quality_profile.csv — column/type/missingness/unique-value profile</w:t>
      </w:r>
    </w:p>
    <w:p w14:paraId="00000075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churn_analysis.py — reproducible cleaning and EDA script</w:t>
      </w:r>
    </w:p>
    <w:p w14:paraId="00000076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analysis_summary.txt — decisions, outlier screening, summary statistics</w:t>
      </w:r>
    </w:p>
    <w:p w14:paraId="00000077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churn_counts.png, churn_by_contract.png, tenure_by_churn.png — charts</w:t>
      </w:r>
    </w:p>
    <w:p w14:paraId="0000007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Customer_Churn_Project_Report.docx and project_report.hSStml — reports</w:t>
      </w:r>
    </w:p>
    <w:sectPr>
      <w:pgSz w:w="12240" w:h="15840" w:orient="portrait"/>
      <w:pgMar w:top="1008" w:right="1152" w:bottom="1008" w:left="1152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200"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0"/>
    </w:pPr>
    <w:rPr>
      <w:rFonts w:ascii="Calibri" w:cs="Calibri" w:eastAsia="Calibri" w:hAnsi="Calibri"/>
      <w:b/>
      <w:bCs/>
      <w:color w:val="366091"/>
      <w:sz w:val="28"/>
      <w:szCs w:val="28"/>
    </w:rPr>
  </w:style>
  <w:style w:type="paragraph" w:styleId="style2">
    <w:name w:val="heading 2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style3">
    <w:name w:val="heading 3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color w:val="4f81bd"/>
    </w:rPr>
  </w:style>
  <w:style w:type="paragraph" w:styleId="style4">
    <w:name w:val="heading 4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i/>
      <w:iCs/>
      <w:color w:val="4f81bd"/>
    </w:rPr>
  </w:style>
  <w:style w:type="paragraph" w:styleId="style5">
    <w:name w:val="heading 5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color w:val="243f61"/>
    </w:rPr>
  </w:style>
  <w:style w:type="paragraph" w:styleId="style6">
    <w:name w:val="heading 6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i/>
      <w:iCs/>
      <w:color w:val="243f61"/>
    </w:rPr>
  </w:style>
  <w:style w:type="paragraph" w:styleId="style62">
    <w:name w:val="Title"/>
    <w:basedOn w:val="style4098"/>
    <w:next w:val="style4098"/>
    <w:pPr>
      <w:pBdr>
        <w:bottom w:val="single" w:sz="8" w:space="4" w:color="4f81bd"/>
      </w:pBdr>
      <w:spacing w:after="300" w:lineRule="auto" w:line="240"/>
    </w:pPr>
    <w:rPr>
      <w:rFonts w:ascii="Calibri" w:cs="Calibri" w:eastAsia="Calibri" w:hAnsi="Calibri"/>
      <w:color w:val="17365d"/>
      <w:sz w:val="52"/>
      <w:szCs w:val="52"/>
    </w:rPr>
  </w:style>
  <w:style w:type="paragraph" w:styleId="style74">
    <w:name w:val="Subtitle"/>
    <w:basedOn w:val="style4098"/>
    <w:next w:val="style4098"/>
    <w:pPr/>
    <w:rPr>
      <w:rFonts w:ascii="Calibri" w:cs="Calibri" w:eastAsia="Calibri" w:hAnsi="Calibri"/>
      <w:i/>
      <w:iCs/>
      <w:color w:val="4f81bd"/>
      <w:sz w:val="24"/>
      <w:szCs w:val="24"/>
    </w:rPr>
  </w:style>
  <w:style w:type="table" w:customStyle="1" w:styleId="style4099">
    <w:basedOn w:val="style4097"/>
    <w:next w:val="style4099"/>
    <w:pPr>
      <w:spacing w:after="0" w:lineRule="auto" w:line="240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592</Words>
  <Characters>3728</Characters>
  <Application>WPS Office</Application>
  <Paragraphs>143</Paragraphs>
  <CharactersWithSpaces>4200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2026-10-23T09:35:56Z</dcterms:created>
  <dc:creator>WPS Office</dc:creator>
  <lastModifiedBy>SM-M066B</lastModifiedBy>
  <dcterms:modified xsi:type="dcterms:W3CDTF">2026-10-23T09:35:57Z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889acbaa890f43bbb6aaba061d98b573_23</vt:lpwstr>
  </property>
</Properties>
</file>