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9F83" w14:textId="77777777" w:rsidR="007D0DF9" w:rsidRPr="00BD58BC" w:rsidRDefault="007D0DF9" w:rsidP="007D0DF9">
      <w:pPr>
        <w:pStyle w:val="Heading1"/>
        <w:rPr>
          <w:b/>
          <w:bCs/>
          <w:lang w:val="es-CL"/>
        </w:rPr>
      </w:pPr>
      <w:r w:rsidRPr="00BD58BC">
        <w:rPr>
          <w:b/>
          <w:bCs/>
          <w:lang w:val="es-CL"/>
        </w:rPr>
        <w:t>Bibliografía y Fuentes Inspiradoras</w:t>
      </w:r>
    </w:p>
    <w:p w14:paraId="63BA2BFF" w14:textId="77777777" w:rsidR="007D0DF9" w:rsidRPr="00BD58BC" w:rsidRDefault="007D0DF9" w:rsidP="007D0DF9">
      <w:pPr>
        <w:rPr>
          <w:lang w:val="es-CL"/>
        </w:rPr>
      </w:pPr>
      <w:r w:rsidRPr="00BD58BC">
        <w:rPr>
          <w:i/>
          <w:iCs/>
          <w:lang w:val="es-CL"/>
        </w:rPr>
        <w:t>(Anexo a la Declaración Universal de Deberes Humanos)</w:t>
      </w:r>
    </w:p>
    <w:p w14:paraId="7836B372" w14:textId="77777777" w:rsidR="007D0DF9" w:rsidRPr="00BD58BC" w:rsidRDefault="007D0DF9" w:rsidP="007D0DF9">
      <w:pPr>
        <w:rPr>
          <w:lang w:val="es-CL"/>
        </w:rPr>
      </w:pPr>
      <w:r w:rsidRPr="00BD58BC">
        <w:rPr>
          <w:lang w:val="es-CL"/>
        </w:rPr>
        <w:t>La presente Declaración se apoya en una serie de tradiciones filosóficas, religiosas, literarias y políticas que, de modos diversos, han reflexionado sobre la dignidad humana, el amor, el deber, la libertad y la dominación.</w:t>
      </w:r>
    </w:p>
    <w:p w14:paraId="658F0623" w14:textId="77777777" w:rsidR="007D0DF9" w:rsidRPr="00BD58BC" w:rsidRDefault="007D0DF9" w:rsidP="007D0DF9">
      <w:pPr>
        <w:rPr>
          <w:lang w:val="es-CL"/>
        </w:rPr>
      </w:pPr>
      <w:r w:rsidRPr="00BD58BC">
        <w:rPr>
          <w:lang w:val="es-CL"/>
        </w:rPr>
        <w:t xml:space="preserve">Las obras que siguen no se asumen como autoridad incuestionable, sino como fuentes de inspiración y </w:t>
      </w:r>
      <w:proofErr w:type="spellStart"/>
      <w:r w:rsidRPr="00BD58BC">
        <w:rPr>
          <w:lang w:val="es-CL"/>
        </w:rPr>
        <w:t>contra-ejemplos</w:t>
      </w:r>
      <w:proofErr w:type="spellEnd"/>
      <w:r w:rsidRPr="00BD58BC">
        <w:rPr>
          <w:lang w:val="es-CL"/>
        </w:rPr>
        <w:t xml:space="preserve"> que, en diálogo crítico con ellas, han ayudado a perfilar el marco de deberes aquí propuesto.</w:t>
      </w:r>
    </w:p>
    <w:p w14:paraId="3AEB51F2" w14:textId="77777777" w:rsidR="007D0DF9" w:rsidRPr="00BD58BC" w:rsidRDefault="007D0DF9" w:rsidP="007D0DF9">
      <w:pPr>
        <w:rPr>
          <w:lang w:val="en-GB"/>
        </w:rPr>
      </w:pPr>
      <w:r w:rsidRPr="00BD58BC">
        <w:rPr>
          <w:lang w:val="en-GB"/>
        </w:rPr>
        <w:t xml:space="preserve">Se </w:t>
      </w:r>
      <w:proofErr w:type="spellStart"/>
      <w:r w:rsidRPr="00BD58BC">
        <w:rPr>
          <w:lang w:val="en-GB"/>
        </w:rPr>
        <w:t>distinguen</w:t>
      </w:r>
      <w:proofErr w:type="spellEnd"/>
      <w:r w:rsidRPr="00BD58BC">
        <w:rPr>
          <w:lang w:val="en-GB"/>
        </w:rPr>
        <w:t>:</w:t>
      </w:r>
    </w:p>
    <w:p w14:paraId="70B37399" w14:textId="77777777" w:rsidR="007D0DF9" w:rsidRPr="00BD58BC" w:rsidRDefault="007D0DF9" w:rsidP="007D0DF9">
      <w:pPr>
        <w:numPr>
          <w:ilvl w:val="0"/>
          <w:numId w:val="1"/>
        </w:numPr>
        <w:rPr>
          <w:lang w:val="es-CL"/>
        </w:rPr>
      </w:pPr>
      <w:r w:rsidRPr="00BD58BC">
        <w:rPr>
          <w:b/>
          <w:bCs/>
          <w:lang w:val="es-CL"/>
        </w:rPr>
        <w:t>Fuentes inspiradoras directas</w:t>
      </w:r>
      <w:r w:rsidRPr="00BD58BC">
        <w:rPr>
          <w:lang w:val="es-CL"/>
        </w:rPr>
        <w:t>, cuyo núcleo ético o antropológico se armoniza, en mayor o menor medida, con la presente Declaración; y</w:t>
      </w:r>
    </w:p>
    <w:p w14:paraId="2F66A7C0" w14:textId="77777777" w:rsidR="007D0DF9" w:rsidRPr="00BD58BC" w:rsidRDefault="007D0DF9" w:rsidP="007D0DF9">
      <w:pPr>
        <w:numPr>
          <w:ilvl w:val="0"/>
          <w:numId w:val="1"/>
        </w:numPr>
        <w:rPr>
          <w:lang w:val="es-CL"/>
        </w:rPr>
      </w:pPr>
      <w:proofErr w:type="spellStart"/>
      <w:r w:rsidRPr="00BD58BC">
        <w:rPr>
          <w:b/>
          <w:bCs/>
          <w:lang w:val="es-CL"/>
        </w:rPr>
        <w:t>Contra-inspiraciones</w:t>
      </w:r>
      <w:proofErr w:type="spellEnd"/>
      <w:r w:rsidRPr="00BD58BC">
        <w:rPr>
          <w:lang w:val="es-CL"/>
        </w:rPr>
        <w:t>, que muestran los peligros de la dominación, la manipulación o la reducción de la persona a instrumento.</w:t>
      </w:r>
    </w:p>
    <w:p w14:paraId="103E2B46" w14:textId="77777777" w:rsidR="007D0DF9" w:rsidRPr="00BD58BC" w:rsidRDefault="00000000" w:rsidP="007D0DF9">
      <w:pPr>
        <w:rPr>
          <w:lang w:val="en-GB"/>
        </w:rPr>
      </w:pPr>
      <w:r>
        <w:rPr>
          <w:lang w:val="en-GB"/>
        </w:rPr>
        <w:pict w14:anchorId="24BBCA04">
          <v:rect id="_x0000_i1025" style="width:0;height:1.5pt" o:hralign="center" o:hrstd="t" o:hr="t" fillcolor="#a0a0a0" stroked="f"/>
        </w:pict>
      </w:r>
    </w:p>
    <w:p w14:paraId="3C0ECA96" w14:textId="77777777" w:rsidR="007D0DF9" w:rsidRPr="00BD58BC" w:rsidRDefault="007D0DF9" w:rsidP="007D0DF9">
      <w:pPr>
        <w:pStyle w:val="Heading2"/>
        <w:rPr>
          <w:b/>
          <w:bCs/>
          <w:lang w:val="es-CL"/>
        </w:rPr>
      </w:pPr>
      <w:r w:rsidRPr="00BD58BC">
        <w:rPr>
          <w:b/>
          <w:bCs/>
          <w:lang w:val="es-CL"/>
        </w:rPr>
        <w:t>I. Fuentes inspiradoras directas</w:t>
      </w:r>
    </w:p>
    <w:p w14:paraId="1E7EB223" w14:textId="77777777" w:rsidR="007D0DF9" w:rsidRPr="00BD58BC" w:rsidRDefault="007D0DF9" w:rsidP="007D0DF9">
      <w:pPr>
        <w:rPr>
          <w:lang w:val="es-CL"/>
        </w:rPr>
      </w:pPr>
      <w:r w:rsidRPr="00BD58BC">
        <w:rPr>
          <w:b/>
          <w:bCs/>
          <w:lang w:val="es-CL"/>
        </w:rPr>
        <w:t>1. Evangelio según san Juan (Nuevo Testamento, Biblia)</w:t>
      </w:r>
      <w:r w:rsidRPr="00BD58BC">
        <w:rPr>
          <w:lang w:val="es-CL"/>
        </w:rPr>
        <w:br/>
        <w:t xml:space="preserve">En particular </w:t>
      </w:r>
      <w:proofErr w:type="spellStart"/>
      <w:r w:rsidRPr="00BD58BC">
        <w:rPr>
          <w:lang w:val="es-CL"/>
        </w:rPr>
        <w:t>Jn</w:t>
      </w:r>
      <w:proofErr w:type="spellEnd"/>
      <w:r w:rsidRPr="00BD58BC">
        <w:rPr>
          <w:lang w:val="es-CL"/>
        </w:rPr>
        <w:t xml:space="preserve"> 1, 1-14 (el Verbo como principio de la creación) y 1 </w:t>
      </w:r>
      <w:proofErr w:type="spellStart"/>
      <w:r w:rsidRPr="00BD58BC">
        <w:rPr>
          <w:lang w:val="es-CL"/>
        </w:rPr>
        <w:t>Jn</w:t>
      </w:r>
      <w:proofErr w:type="spellEnd"/>
      <w:r w:rsidRPr="00BD58BC">
        <w:rPr>
          <w:lang w:val="es-CL"/>
        </w:rPr>
        <w:t xml:space="preserve"> 4, 7-21 (“Dios es Amor”). Estos textos fundamentan la intuición de que la realidad y la existencia humana brotan de una Palabra de amor donativo, que crea sin dominar y llama a la reciprocidad de la donación.</w:t>
      </w:r>
    </w:p>
    <w:p w14:paraId="7D84B3CA" w14:textId="77777777" w:rsidR="007D0DF9" w:rsidRPr="00BD58BC" w:rsidRDefault="007D0DF9" w:rsidP="007D0DF9">
      <w:pPr>
        <w:rPr>
          <w:lang w:val="es-CL"/>
        </w:rPr>
      </w:pPr>
      <w:r w:rsidRPr="00BD58BC">
        <w:rPr>
          <w:b/>
          <w:bCs/>
          <w:lang w:val="es-CL"/>
        </w:rPr>
        <w:t>2. Libro del Génesis (Antiguo Testamento, Biblia)</w:t>
      </w:r>
      <w:r w:rsidRPr="00BD58BC">
        <w:rPr>
          <w:lang w:val="es-CL"/>
        </w:rPr>
        <w:br/>
        <w:t>Los relatos de la creación (</w:t>
      </w:r>
      <w:proofErr w:type="spellStart"/>
      <w:r w:rsidRPr="00BD58BC">
        <w:rPr>
          <w:lang w:val="es-CL"/>
        </w:rPr>
        <w:t>Gn</w:t>
      </w:r>
      <w:proofErr w:type="spellEnd"/>
      <w:r w:rsidRPr="00BD58BC">
        <w:rPr>
          <w:lang w:val="es-CL"/>
        </w:rPr>
        <w:t xml:space="preserve"> 1–2) presentan al ser humano como creado “a imagen y semejanza” de una fuente de bien, lo que inspira la afirmación de un valor inherente de la persona humana y la condena de toda instrumentalización.</w:t>
      </w:r>
    </w:p>
    <w:p w14:paraId="66F24CBC" w14:textId="77777777" w:rsidR="007D0DF9" w:rsidRPr="00BD58BC" w:rsidRDefault="007D0DF9" w:rsidP="007D0DF9">
      <w:pPr>
        <w:rPr>
          <w:lang w:val="es-CL"/>
        </w:rPr>
      </w:pPr>
      <w:r w:rsidRPr="00BD58BC">
        <w:rPr>
          <w:b/>
          <w:bCs/>
          <w:lang w:val="es-CL"/>
        </w:rPr>
        <w:t xml:space="preserve">3. </w:t>
      </w:r>
      <w:proofErr w:type="spellStart"/>
      <w:r w:rsidRPr="00BD58BC">
        <w:rPr>
          <w:b/>
          <w:bCs/>
          <w:lang w:val="es-CL"/>
        </w:rPr>
        <w:t>Karol</w:t>
      </w:r>
      <w:proofErr w:type="spellEnd"/>
      <w:r w:rsidRPr="00BD58BC">
        <w:rPr>
          <w:b/>
          <w:bCs/>
          <w:lang w:val="es-CL"/>
        </w:rPr>
        <w:t xml:space="preserve"> </w:t>
      </w:r>
      <w:proofErr w:type="spellStart"/>
      <w:r w:rsidRPr="00BD58BC">
        <w:rPr>
          <w:b/>
          <w:bCs/>
          <w:lang w:val="es-CL"/>
        </w:rPr>
        <w:t>Wojtyła</w:t>
      </w:r>
      <w:proofErr w:type="spellEnd"/>
      <w:r w:rsidRPr="00BD58BC">
        <w:rPr>
          <w:b/>
          <w:bCs/>
          <w:lang w:val="es-CL"/>
        </w:rPr>
        <w:t xml:space="preserve"> (san Juan Pablo II), </w:t>
      </w:r>
      <w:r w:rsidRPr="00BD58BC">
        <w:rPr>
          <w:b/>
          <w:bCs/>
          <w:i/>
          <w:iCs/>
          <w:lang w:val="es-CL"/>
        </w:rPr>
        <w:t>Amor y responsabilidad</w:t>
      </w:r>
      <w:r w:rsidRPr="00BD58BC">
        <w:rPr>
          <w:b/>
          <w:bCs/>
          <w:lang w:val="es-CL"/>
        </w:rPr>
        <w:t xml:space="preserve"> (1960)</w:t>
      </w:r>
      <w:r w:rsidRPr="00BD58BC">
        <w:rPr>
          <w:lang w:val="es-CL"/>
        </w:rPr>
        <w:br/>
        <w:t xml:space="preserve">Obra clave del personalismo cristiano que define el amor como </w:t>
      </w:r>
      <w:proofErr w:type="spellStart"/>
      <w:r w:rsidRPr="00BD58BC">
        <w:rPr>
          <w:lang w:val="es-CL"/>
        </w:rPr>
        <w:t>auto-donación</w:t>
      </w:r>
      <w:proofErr w:type="spellEnd"/>
      <w:r w:rsidRPr="00BD58BC">
        <w:rPr>
          <w:lang w:val="es-CL"/>
        </w:rPr>
        <w:t xml:space="preserve"> y exige tratar siempre a la persona como fin, nunca como mero medio. Esta perspectiva sustenta el rechazo de la dominación y orienta los deberes en el ámbito afectivo, conyugal y familiar.</w:t>
      </w:r>
    </w:p>
    <w:p w14:paraId="7876A7FA" w14:textId="77777777" w:rsidR="007D0DF9" w:rsidRPr="00BD58BC" w:rsidRDefault="007D0DF9" w:rsidP="007D0DF9">
      <w:pPr>
        <w:rPr>
          <w:lang w:val="es-CL"/>
        </w:rPr>
      </w:pPr>
      <w:r w:rsidRPr="00BD58BC">
        <w:rPr>
          <w:b/>
          <w:bCs/>
          <w:lang w:val="es-CL"/>
        </w:rPr>
        <w:t xml:space="preserve">4. </w:t>
      </w:r>
      <w:proofErr w:type="spellStart"/>
      <w:r w:rsidRPr="00BD58BC">
        <w:rPr>
          <w:b/>
          <w:bCs/>
          <w:lang w:val="es-CL"/>
        </w:rPr>
        <w:t>Karol</w:t>
      </w:r>
      <w:proofErr w:type="spellEnd"/>
      <w:r w:rsidRPr="00BD58BC">
        <w:rPr>
          <w:b/>
          <w:bCs/>
          <w:lang w:val="es-CL"/>
        </w:rPr>
        <w:t xml:space="preserve"> </w:t>
      </w:r>
      <w:proofErr w:type="spellStart"/>
      <w:r w:rsidRPr="00BD58BC">
        <w:rPr>
          <w:b/>
          <w:bCs/>
          <w:lang w:val="es-CL"/>
        </w:rPr>
        <w:t>Wojtyła</w:t>
      </w:r>
      <w:proofErr w:type="spellEnd"/>
      <w:r w:rsidRPr="00BD58BC">
        <w:rPr>
          <w:b/>
          <w:bCs/>
          <w:lang w:val="es-CL"/>
        </w:rPr>
        <w:t xml:space="preserve">, </w:t>
      </w:r>
      <w:r w:rsidRPr="00BD58BC">
        <w:rPr>
          <w:b/>
          <w:bCs/>
          <w:i/>
          <w:iCs/>
          <w:lang w:val="es-CL"/>
        </w:rPr>
        <w:t>Persona y acción</w:t>
      </w:r>
      <w:r w:rsidRPr="00BD58BC">
        <w:rPr>
          <w:b/>
          <w:bCs/>
          <w:lang w:val="es-CL"/>
        </w:rPr>
        <w:t xml:space="preserve"> (1969)</w:t>
      </w:r>
      <w:r w:rsidRPr="00BD58BC">
        <w:rPr>
          <w:lang w:val="es-CL"/>
        </w:rPr>
        <w:br/>
        <w:t>Desarrolla una antropología de la persona como sujeto libre y responsable, que se realiza en sus actos. De aquí procede la idea de que la dignidad se “actualiza” en la manera de asumir los deberes, y no sólo en un estatus abstracto.</w:t>
      </w:r>
    </w:p>
    <w:p w14:paraId="7B17204C" w14:textId="77777777" w:rsidR="007D0DF9" w:rsidRPr="00BD58BC" w:rsidRDefault="007D0DF9" w:rsidP="007D0DF9">
      <w:pPr>
        <w:rPr>
          <w:lang w:val="es-CL"/>
        </w:rPr>
      </w:pPr>
      <w:r w:rsidRPr="00BD58BC">
        <w:rPr>
          <w:b/>
          <w:bCs/>
          <w:lang w:val="es-CL"/>
        </w:rPr>
        <w:lastRenderedPageBreak/>
        <w:t xml:space="preserve">5. Juan Pablo II, Encíclica </w:t>
      </w:r>
      <w:proofErr w:type="spellStart"/>
      <w:r w:rsidRPr="00BD58BC">
        <w:rPr>
          <w:b/>
          <w:bCs/>
          <w:i/>
          <w:iCs/>
          <w:lang w:val="es-CL"/>
        </w:rPr>
        <w:t>Centesimus</w:t>
      </w:r>
      <w:proofErr w:type="spellEnd"/>
      <w:r w:rsidRPr="00BD58BC">
        <w:rPr>
          <w:b/>
          <w:bCs/>
          <w:i/>
          <w:iCs/>
          <w:lang w:val="es-CL"/>
        </w:rPr>
        <w:t xml:space="preserve"> </w:t>
      </w:r>
      <w:proofErr w:type="spellStart"/>
      <w:r w:rsidRPr="00BD58BC">
        <w:rPr>
          <w:b/>
          <w:bCs/>
          <w:i/>
          <w:iCs/>
          <w:lang w:val="es-CL"/>
        </w:rPr>
        <w:t>annus</w:t>
      </w:r>
      <w:proofErr w:type="spellEnd"/>
      <w:r w:rsidRPr="00BD58BC">
        <w:rPr>
          <w:b/>
          <w:bCs/>
          <w:lang w:val="es-CL"/>
        </w:rPr>
        <w:t xml:space="preserve"> (1991)</w:t>
      </w:r>
      <w:r w:rsidRPr="00BD58BC">
        <w:rPr>
          <w:lang w:val="es-CL"/>
        </w:rPr>
        <w:br/>
        <w:t xml:space="preserve">Aplica el personalismo a la vida socioeconómica, criticando sistemas que sacrifican a la persona en favor del Estado, del mercado o de ideologías. Ilustra principios como la </w:t>
      </w:r>
      <w:r w:rsidRPr="00BD58BC">
        <w:rPr>
          <w:b/>
          <w:bCs/>
          <w:lang w:val="es-CL"/>
        </w:rPr>
        <w:t>primacía de la persona sobre los sistemas</w:t>
      </w:r>
      <w:r w:rsidRPr="00BD58BC">
        <w:rPr>
          <w:lang w:val="es-CL"/>
        </w:rPr>
        <w:t>, la subsidiariedad y la solidaridad.</w:t>
      </w:r>
    </w:p>
    <w:p w14:paraId="413EF4D4" w14:textId="77777777" w:rsidR="007D0DF9" w:rsidRPr="00BD58BC" w:rsidRDefault="007D0DF9" w:rsidP="007D0DF9">
      <w:pPr>
        <w:rPr>
          <w:lang w:val="es-CL"/>
        </w:rPr>
      </w:pPr>
      <w:r w:rsidRPr="00BD58BC">
        <w:rPr>
          <w:b/>
          <w:bCs/>
          <w:lang w:val="es-CL"/>
        </w:rPr>
        <w:t>6. Declaración Universal de Derechos Humanos (ONU, 1948)</w:t>
      </w:r>
      <w:r w:rsidRPr="00BD58BC">
        <w:rPr>
          <w:lang w:val="es-CL"/>
        </w:rPr>
        <w:br/>
        <w:t xml:space="preserve">Referencia histórica fundamental en la afirmación de la dignidad humana y de la necesidad de protegerla jurídicamente. La presente Declaración de Deberes se sitúa en diálogo crítico con ella, subrayando que los derechos se comprenden mejor como </w:t>
      </w:r>
      <w:r w:rsidRPr="00BD58BC">
        <w:rPr>
          <w:b/>
          <w:bCs/>
          <w:lang w:val="es-CL"/>
        </w:rPr>
        <w:t>expresión derivada de deberes previos</w:t>
      </w:r>
      <w:r w:rsidRPr="00BD58BC">
        <w:rPr>
          <w:lang w:val="es-CL"/>
        </w:rPr>
        <w:t>.</w:t>
      </w:r>
    </w:p>
    <w:p w14:paraId="27432E2D" w14:textId="77777777" w:rsidR="007D0DF9" w:rsidRPr="00BD58BC" w:rsidRDefault="007D0DF9" w:rsidP="007D0DF9">
      <w:pPr>
        <w:rPr>
          <w:lang w:val="es-CL"/>
        </w:rPr>
      </w:pPr>
      <w:r w:rsidRPr="00BD58BC">
        <w:rPr>
          <w:b/>
          <w:bCs/>
          <w:lang w:val="es-CL"/>
        </w:rPr>
        <w:t xml:space="preserve">7. Aristóteles, </w:t>
      </w:r>
      <w:r w:rsidRPr="00BD58BC">
        <w:rPr>
          <w:b/>
          <w:bCs/>
          <w:i/>
          <w:iCs/>
          <w:lang w:val="es-CL"/>
        </w:rPr>
        <w:t>Ética a Nicómaco</w:t>
      </w:r>
      <w:r w:rsidRPr="00BD58BC">
        <w:rPr>
          <w:b/>
          <w:bCs/>
          <w:lang w:val="es-CL"/>
        </w:rPr>
        <w:t xml:space="preserve"> (siglo IV a. C.)</w:t>
      </w:r>
      <w:r w:rsidRPr="00BD58BC">
        <w:rPr>
          <w:lang w:val="es-CL"/>
        </w:rPr>
        <w:br/>
        <w:t>El análisis de la virtud como hábito y de la vida buena como actividad conforme a la excelencia moral inspira los deberes de veracidad, justicia, templanza y responsabilidad personal, orientados al bien propio y común.</w:t>
      </w:r>
    </w:p>
    <w:p w14:paraId="574F40EC" w14:textId="77777777" w:rsidR="007D0DF9" w:rsidRPr="00BD58BC" w:rsidRDefault="007D0DF9" w:rsidP="007D0DF9">
      <w:pPr>
        <w:rPr>
          <w:lang w:val="es-CL"/>
        </w:rPr>
      </w:pPr>
      <w:r w:rsidRPr="00BD58BC">
        <w:rPr>
          <w:b/>
          <w:bCs/>
          <w:lang w:val="es-CL"/>
        </w:rPr>
        <w:t xml:space="preserve">8. Platón, </w:t>
      </w:r>
      <w:r w:rsidRPr="00BD58BC">
        <w:rPr>
          <w:b/>
          <w:bCs/>
          <w:i/>
          <w:iCs/>
          <w:lang w:val="es-CL"/>
        </w:rPr>
        <w:t>La República</w:t>
      </w:r>
      <w:r w:rsidRPr="00BD58BC">
        <w:rPr>
          <w:b/>
          <w:bCs/>
          <w:lang w:val="es-CL"/>
        </w:rPr>
        <w:t xml:space="preserve"> (siglo IV a. C.)</w:t>
      </w:r>
      <w:r w:rsidRPr="00BD58BC">
        <w:rPr>
          <w:lang w:val="es-CL"/>
        </w:rPr>
        <w:br/>
        <w:t>Aunque su modelo político es discutible, su reflexión sobre la justicia como armonía entre las partes del alma y de la ciudad ayuda a articular la idea de orden justo, de funciones propias y de subordinación de los sistemas al bien de las personas.</w:t>
      </w:r>
    </w:p>
    <w:p w14:paraId="167A9001" w14:textId="77777777" w:rsidR="007D0DF9" w:rsidRPr="00BD58BC" w:rsidRDefault="007D0DF9" w:rsidP="007D0DF9">
      <w:pPr>
        <w:rPr>
          <w:lang w:val="es-CL"/>
        </w:rPr>
      </w:pPr>
      <w:r w:rsidRPr="00BD58BC">
        <w:rPr>
          <w:b/>
          <w:bCs/>
          <w:lang w:val="es-CL"/>
        </w:rPr>
        <w:t xml:space="preserve">9. Friedrich Nietzsche, </w:t>
      </w:r>
      <w:r w:rsidRPr="00BD58BC">
        <w:rPr>
          <w:b/>
          <w:bCs/>
          <w:i/>
          <w:iCs/>
          <w:lang w:val="es-CL"/>
        </w:rPr>
        <w:t>Así habló Zaratustra</w:t>
      </w:r>
      <w:r w:rsidRPr="00BD58BC">
        <w:rPr>
          <w:b/>
          <w:bCs/>
          <w:lang w:val="es-CL"/>
        </w:rPr>
        <w:t xml:space="preserve"> (1883-1885)</w:t>
      </w:r>
      <w:r w:rsidRPr="00BD58BC">
        <w:rPr>
          <w:lang w:val="es-CL"/>
        </w:rPr>
        <w:br/>
        <w:t xml:space="preserve">Obra aquí utilizada de manera crítica, en cuanto insiste en la responsabilidad personal, la superación de la pasividad y la creación de sentido. Estos elementos se reinterpretan desde el </w:t>
      </w:r>
      <w:r w:rsidRPr="00BD58BC">
        <w:rPr>
          <w:b/>
          <w:bCs/>
          <w:lang w:val="es-CL"/>
        </w:rPr>
        <w:t>amor donativo</w:t>
      </w:r>
      <w:r w:rsidRPr="00BD58BC">
        <w:rPr>
          <w:lang w:val="es-CL"/>
        </w:rPr>
        <w:t>, rechazando la lógica de la voluntad de poder y de la superioridad sobre los débiles.</w:t>
      </w:r>
    </w:p>
    <w:p w14:paraId="76F329E9" w14:textId="77777777" w:rsidR="007D0DF9" w:rsidRPr="00BD58BC" w:rsidRDefault="007D0DF9" w:rsidP="007D0DF9">
      <w:pPr>
        <w:rPr>
          <w:lang w:val="es-CL"/>
        </w:rPr>
      </w:pPr>
      <w:r w:rsidRPr="00BD58BC">
        <w:rPr>
          <w:b/>
          <w:bCs/>
          <w:lang w:val="es-CL"/>
        </w:rPr>
        <w:t xml:space="preserve">10. Jordan B. Peterson, </w:t>
      </w:r>
      <w:r w:rsidRPr="00BD58BC">
        <w:rPr>
          <w:b/>
          <w:bCs/>
          <w:i/>
          <w:iCs/>
          <w:lang w:val="es-CL"/>
        </w:rPr>
        <w:t>12 reglas para vivir: un antídoto al caos</w:t>
      </w:r>
      <w:r w:rsidRPr="00BD58BC">
        <w:rPr>
          <w:b/>
          <w:bCs/>
          <w:lang w:val="es-CL"/>
        </w:rPr>
        <w:t xml:space="preserve"> (2018)</w:t>
      </w:r>
      <w:r w:rsidRPr="00BD58BC">
        <w:rPr>
          <w:lang w:val="es-CL"/>
        </w:rPr>
        <w:br/>
        <w:t>Recopilación de orientaciones prácticas para asumir responsabilidad sobre la propia vida (“pon tu casa en orden”, “trátate como a alguien a quien tienes el deber de ayudar”). Refuerza los deberes de cuidado responsable de sí mismo, de veracidad y de servicio a los demás, desde una perspectiva psicológica.</w:t>
      </w:r>
    </w:p>
    <w:p w14:paraId="699BCEA5" w14:textId="77777777" w:rsidR="007D0DF9" w:rsidRPr="00BD58BC" w:rsidRDefault="007D0DF9" w:rsidP="007D0DF9">
      <w:pPr>
        <w:rPr>
          <w:lang w:val="es-CL"/>
        </w:rPr>
      </w:pPr>
      <w:r w:rsidRPr="00BD58BC">
        <w:rPr>
          <w:b/>
          <w:bCs/>
          <w:lang w:val="es-CL"/>
        </w:rPr>
        <w:t xml:space="preserve">11. </w:t>
      </w:r>
      <w:proofErr w:type="spellStart"/>
      <w:r w:rsidRPr="00BD58BC">
        <w:rPr>
          <w:b/>
          <w:bCs/>
          <w:lang w:val="es-CL"/>
        </w:rPr>
        <w:t>Viktor</w:t>
      </w:r>
      <w:proofErr w:type="spellEnd"/>
      <w:r w:rsidRPr="00BD58BC">
        <w:rPr>
          <w:b/>
          <w:bCs/>
          <w:lang w:val="es-CL"/>
        </w:rPr>
        <w:t xml:space="preserve"> E. Frankl, </w:t>
      </w:r>
      <w:r w:rsidRPr="00BD58BC">
        <w:rPr>
          <w:b/>
          <w:bCs/>
          <w:i/>
          <w:iCs/>
          <w:lang w:val="es-CL"/>
        </w:rPr>
        <w:t>El hombre en busca de sentido</w:t>
      </w:r>
      <w:r w:rsidRPr="00BD58BC">
        <w:rPr>
          <w:b/>
          <w:bCs/>
          <w:lang w:val="es-CL"/>
        </w:rPr>
        <w:t xml:space="preserve"> (1946)</w:t>
      </w:r>
      <w:r w:rsidRPr="00BD58BC">
        <w:rPr>
          <w:lang w:val="es-CL"/>
        </w:rPr>
        <w:br/>
        <w:t xml:space="preserve">Testimonio de la búsqueda de sentido en los campos de concentración. Subraya la libertad interior de elegir la actitud ante el sufrimiento y la responsabilidad ante aquello que la vida “nos pregunta”. Apoya la concepción de la dignidad como </w:t>
      </w:r>
      <w:r w:rsidRPr="00BD58BC">
        <w:rPr>
          <w:b/>
          <w:bCs/>
          <w:lang w:val="es-CL"/>
        </w:rPr>
        <w:t>modo de afrontar la adversidad</w:t>
      </w:r>
      <w:r w:rsidRPr="00BD58BC">
        <w:rPr>
          <w:lang w:val="es-CL"/>
        </w:rPr>
        <w:t xml:space="preserve"> mediante el cumplimiento de los propios deberes.</w:t>
      </w:r>
    </w:p>
    <w:p w14:paraId="19538BA7" w14:textId="77777777" w:rsidR="007D0DF9" w:rsidRPr="00BD58BC" w:rsidRDefault="007D0DF9" w:rsidP="007D0DF9">
      <w:pPr>
        <w:rPr>
          <w:lang w:val="es-CL"/>
        </w:rPr>
      </w:pPr>
      <w:r w:rsidRPr="00BD58BC">
        <w:rPr>
          <w:b/>
          <w:bCs/>
          <w:lang w:val="es-CL"/>
        </w:rPr>
        <w:t xml:space="preserve">12. Marco Aurelio, </w:t>
      </w:r>
      <w:r w:rsidRPr="00BD58BC">
        <w:rPr>
          <w:b/>
          <w:bCs/>
          <w:i/>
          <w:iCs/>
          <w:lang w:val="es-CL"/>
        </w:rPr>
        <w:t>Meditaciones</w:t>
      </w:r>
      <w:r w:rsidRPr="00BD58BC">
        <w:rPr>
          <w:b/>
          <w:bCs/>
          <w:lang w:val="es-CL"/>
        </w:rPr>
        <w:t xml:space="preserve"> (siglo II d. C.) y la tradición estoica</w:t>
      </w:r>
      <w:r w:rsidRPr="00BD58BC">
        <w:rPr>
          <w:lang w:val="es-CL"/>
        </w:rPr>
        <w:br/>
        <w:t>Reflexiones estoicas sobre el deber, la virtud, el gobierno de las pasiones y la universalidad de la razón. Inspiración para los deberes de autocontrol, de resistencia ante la injusticia sin caer en la venganza y de reconocimiento de todos como partícipes de una misma racionalidad.</w:t>
      </w:r>
    </w:p>
    <w:p w14:paraId="352134E0" w14:textId="77777777" w:rsidR="007D0DF9" w:rsidRPr="00BD58BC" w:rsidRDefault="007D0DF9" w:rsidP="007D0DF9">
      <w:pPr>
        <w:rPr>
          <w:lang w:val="es-CL"/>
        </w:rPr>
      </w:pPr>
      <w:r w:rsidRPr="00BD58BC">
        <w:rPr>
          <w:b/>
          <w:bCs/>
          <w:lang w:val="es-CL"/>
        </w:rPr>
        <w:t xml:space="preserve">13. Erica </w:t>
      </w:r>
      <w:proofErr w:type="spellStart"/>
      <w:r w:rsidRPr="00BD58BC">
        <w:rPr>
          <w:b/>
          <w:bCs/>
          <w:lang w:val="es-CL"/>
        </w:rPr>
        <w:t>Komisar</w:t>
      </w:r>
      <w:proofErr w:type="spellEnd"/>
      <w:r w:rsidRPr="00BD58BC">
        <w:rPr>
          <w:b/>
          <w:bCs/>
          <w:lang w:val="es-CL"/>
        </w:rPr>
        <w:t xml:space="preserve">, </w:t>
      </w:r>
      <w:proofErr w:type="spellStart"/>
      <w:r w:rsidRPr="00BD58BC">
        <w:rPr>
          <w:b/>
          <w:bCs/>
          <w:i/>
          <w:iCs/>
          <w:lang w:val="es-CL"/>
        </w:rPr>
        <w:t>Being</w:t>
      </w:r>
      <w:proofErr w:type="spellEnd"/>
      <w:r w:rsidRPr="00BD58BC">
        <w:rPr>
          <w:b/>
          <w:bCs/>
          <w:i/>
          <w:iCs/>
          <w:lang w:val="es-CL"/>
        </w:rPr>
        <w:t xml:space="preserve"> </w:t>
      </w:r>
      <w:proofErr w:type="spellStart"/>
      <w:r w:rsidRPr="00BD58BC">
        <w:rPr>
          <w:b/>
          <w:bCs/>
          <w:i/>
          <w:iCs/>
          <w:lang w:val="es-CL"/>
        </w:rPr>
        <w:t>There</w:t>
      </w:r>
      <w:proofErr w:type="spellEnd"/>
      <w:r w:rsidRPr="00BD58BC">
        <w:rPr>
          <w:b/>
          <w:bCs/>
          <w:i/>
          <w:iCs/>
          <w:lang w:val="es-CL"/>
        </w:rPr>
        <w:t xml:space="preserve">: </w:t>
      </w:r>
      <w:proofErr w:type="spellStart"/>
      <w:r w:rsidRPr="00BD58BC">
        <w:rPr>
          <w:b/>
          <w:bCs/>
          <w:i/>
          <w:iCs/>
          <w:lang w:val="es-CL"/>
        </w:rPr>
        <w:t>Why</w:t>
      </w:r>
      <w:proofErr w:type="spellEnd"/>
      <w:r w:rsidRPr="00BD58BC">
        <w:rPr>
          <w:b/>
          <w:bCs/>
          <w:i/>
          <w:iCs/>
          <w:lang w:val="es-CL"/>
        </w:rPr>
        <w:t xml:space="preserve"> </w:t>
      </w:r>
      <w:proofErr w:type="spellStart"/>
      <w:r w:rsidRPr="00BD58BC">
        <w:rPr>
          <w:b/>
          <w:bCs/>
          <w:i/>
          <w:iCs/>
          <w:lang w:val="es-CL"/>
        </w:rPr>
        <w:t>Prioritizing</w:t>
      </w:r>
      <w:proofErr w:type="spellEnd"/>
      <w:r w:rsidRPr="00BD58BC">
        <w:rPr>
          <w:b/>
          <w:bCs/>
          <w:i/>
          <w:iCs/>
          <w:lang w:val="es-CL"/>
        </w:rPr>
        <w:t xml:space="preserve"> </w:t>
      </w:r>
      <w:proofErr w:type="spellStart"/>
      <w:r w:rsidRPr="00BD58BC">
        <w:rPr>
          <w:b/>
          <w:bCs/>
          <w:i/>
          <w:iCs/>
          <w:lang w:val="es-CL"/>
        </w:rPr>
        <w:t>Motherhood</w:t>
      </w:r>
      <w:proofErr w:type="spellEnd"/>
      <w:r w:rsidRPr="00BD58BC">
        <w:rPr>
          <w:b/>
          <w:bCs/>
          <w:i/>
          <w:iCs/>
          <w:lang w:val="es-CL"/>
        </w:rPr>
        <w:t xml:space="preserve"> in </w:t>
      </w:r>
      <w:proofErr w:type="spellStart"/>
      <w:r w:rsidRPr="00BD58BC">
        <w:rPr>
          <w:b/>
          <w:bCs/>
          <w:i/>
          <w:iCs/>
          <w:lang w:val="es-CL"/>
        </w:rPr>
        <w:t>the</w:t>
      </w:r>
      <w:proofErr w:type="spellEnd"/>
      <w:r w:rsidRPr="00BD58BC">
        <w:rPr>
          <w:b/>
          <w:bCs/>
          <w:i/>
          <w:iCs/>
          <w:lang w:val="es-CL"/>
        </w:rPr>
        <w:t xml:space="preserve"> </w:t>
      </w:r>
      <w:proofErr w:type="spellStart"/>
      <w:r w:rsidRPr="00BD58BC">
        <w:rPr>
          <w:b/>
          <w:bCs/>
          <w:i/>
          <w:iCs/>
          <w:lang w:val="es-CL"/>
        </w:rPr>
        <w:t>First</w:t>
      </w:r>
      <w:proofErr w:type="spellEnd"/>
      <w:r w:rsidRPr="00BD58BC">
        <w:rPr>
          <w:b/>
          <w:bCs/>
          <w:i/>
          <w:iCs/>
          <w:lang w:val="es-CL"/>
        </w:rPr>
        <w:t xml:space="preserve"> </w:t>
      </w:r>
      <w:proofErr w:type="spellStart"/>
      <w:r w:rsidRPr="00BD58BC">
        <w:rPr>
          <w:b/>
          <w:bCs/>
          <w:i/>
          <w:iCs/>
          <w:lang w:val="es-CL"/>
        </w:rPr>
        <w:t>Three</w:t>
      </w:r>
      <w:proofErr w:type="spellEnd"/>
      <w:r w:rsidRPr="00BD58BC">
        <w:rPr>
          <w:b/>
          <w:bCs/>
          <w:i/>
          <w:iCs/>
          <w:lang w:val="es-CL"/>
        </w:rPr>
        <w:t xml:space="preserve"> </w:t>
      </w:r>
      <w:proofErr w:type="spellStart"/>
      <w:r w:rsidRPr="00BD58BC">
        <w:rPr>
          <w:b/>
          <w:bCs/>
          <w:i/>
          <w:iCs/>
          <w:lang w:val="es-CL"/>
        </w:rPr>
        <w:t>Years</w:t>
      </w:r>
      <w:proofErr w:type="spellEnd"/>
      <w:r w:rsidRPr="00BD58BC">
        <w:rPr>
          <w:b/>
          <w:bCs/>
          <w:i/>
          <w:iCs/>
          <w:lang w:val="es-CL"/>
        </w:rPr>
        <w:t xml:space="preserve"> </w:t>
      </w:r>
      <w:proofErr w:type="spellStart"/>
      <w:r w:rsidRPr="00BD58BC">
        <w:rPr>
          <w:b/>
          <w:bCs/>
          <w:i/>
          <w:iCs/>
          <w:lang w:val="es-CL"/>
        </w:rPr>
        <w:t>Matters</w:t>
      </w:r>
      <w:proofErr w:type="spellEnd"/>
      <w:r w:rsidRPr="00BD58BC">
        <w:rPr>
          <w:b/>
          <w:bCs/>
          <w:lang w:val="es-CL"/>
        </w:rPr>
        <w:t xml:space="preserve"> (2017)</w:t>
      </w:r>
      <w:r w:rsidRPr="00BD58BC">
        <w:rPr>
          <w:lang w:val="es-CL"/>
        </w:rPr>
        <w:br/>
      </w:r>
      <w:r w:rsidRPr="00BD58BC">
        <w:rPr>
          <w:lang w:val="es-CL"/>
        </w:rPr>
        <w:lastRenderedPageBreak/>
        <w:t xml:space="preserve">Psicoanalista y trabajadora social clínica, </w:t>
      </w:r>
      <w:proofErr w:type="spellStart"/>
      <w:r w:rsidRPr="00BD58BC">
        <w:rPr>
          <w:lang w:val="es-CL"/>
        </w:rPr>
        <w:t>Komisar</w:t>
      </w:r>
      <w:proofErr w:type="spellEnd"/>
      <w:r w:rsidRPr="00BD58BC">
        <w:rPr>
          <w:lang w:val="es-CL"/>
        </w:rPr>
        <w:t xml:space="preserve"> defiende —apoyándose en la práctica clínica y en la investigación sobre apego y desarrollo cerebral temprano— la importancia decisiva de la presencia emocional y física de la madre en los tres primeros años de vida del niño. Sostiene que esa presencia protege la salud emocional futura y que su ausencia aumenta el riesgo de problemas sociales y afectivos. Al subrayar el valor insustituible del cuidado materno temprano, su trabajo refuerza los deberes en el seno de la familia, el deber de cuidado responsable de sí mismo y de los hijos, y la crítica a sistemas laborales y culturales que tratan a padres e hijos como piezas intercambiables en lugar de personas necesitadas de vínculos estables de amor.</w:t>
      </w:r>
    </w:p>
    <w:p w14:paraId="55F6397C" w14:textId="77777777" w:rsidR="007D0DF9" w:rsidRPr="00BD58BC" w:rsidRDefault="007D0DF9" w:rsidP="007D0DF9">
      <w:pPr>
        <w:rPr>
          <w:lang w:val="es-CL"/>
        </w:rPr>
      </w:pPr>
      <w:r w:rsidRPr="00BD58BC">
        <w:rPr>
          <w:b/>
          <w:bCs/>
          <w:lang w:val="en-GB"/>
        </w:rPr>
        <w:t xml:space="preserve">14. Adam Smith, </w:t>
      </w:r>
      <w:r w:rsidRPr="00BD58BC">
        <w:rPr>
          <w:b/>
          <w:bCs/>
          <w:i/>
          <w:iCs/>
          <w:lang w:val="en-GB"/>
        </w:rPr>
        <w:t>The Theory of Moral Sentiments</w:t>
      </w:r>
      <w:r w:rsidRPr="00BD58BC">
        <w:rPr>
          <w:b/>
          <w:bCs/>
          <w:lang w:val="en-GB"/>
        </w:rPr>
        <w:t xml:space="preserve"> (1759) y </w:t>
      </w:r>
      <w:r w:rsidRPr="00BD58BC">
        <w:rPr>
          <w:b/>
          <w:bCs/>
          <w:i/>
          <w:iCs/>
          <w:lang w:val="en-GB"/>
        </w:rPr>
        <w:t>An Inquiry into the Nature and Causes of the Wealth of Nations</w:t>
      </w:r>
      <w:r w:rsidRPr="00BD58BC">
        <w:rPr>
          <w:b/>
          <w:bCs/>
          <w:lang w:val="en-GB"/>
        </w:rPr>
        <w:t xml:space="preserve"> (1776)</w:t>
      </w:r>
      <w:r w:rsidRPr="00BD58BC">
        <w:rPr>
          <w:lang w:val="en-GB"/>
        </w:rPr>
        <w:br/>
      </w:r>
      <w:proofErr w:type="spellStart"/>
      <w:r w:rsidRPr="00BD58BC">
        <w:rPr>
          <w:lang w:val="en-GB"/>
        </w:rPr>
        <w:t>Filósofo</w:t>
      </w:r>
      <w:proofErr w:type="spellEnd"/>
      <w:r w:rsidRPr="00BD58BC">
        <w:rPr>
          <w:lang w:val="en-GB"/>
        </w:rPr>
        <w:t xml:space="preserve"> moral y </w:t>
      </w:r>
      <w:proofErr w:type="spellStart"/>
      <w:r w:rsidRPr="00BD58BC">
        <w:rPr>
          <w:lang w:val="en-GB"/>
        </w:rPr>
        <w:t>economista</w:t>
      </w:r>
      <w:proofErr w:type="spellEnd"/>
      <w:r w:rsidRPr="00BD58BC">
        <w:rPr>
          <w:lang w:val="en-GB"/>
        </w:rPr>
        <w:t xml:space="preserve"> </w:t>
      </w:r>
      <w:proofErr w:type="spellStart"/>
      <w:r w:rsidRPr="00BD58BC">
        <w:rPr>
          <w:lang w:val="en-GB"/>
        </w:rPr>
        <w:t>escocés</w:t>
      </w:r>
      <w:proofErr w:type="spellEnd"/>
      <w:r w:rsidRPr="00BD58BC">
        <w:rPr>
          <w:lang w:val="en-GB"/>
        </w:rPr>
        <w:t xml:space="preserve">. </w:t>
      </w:r>
      <w:r w:rsidRPr="00BD58BC">
        <w:rPr>
          <w:lang w:val="es-CL"/>
        </w:rPr>
        <w:t xml:space="preserve">En </w:t>
      </w:r>
      <w:r w:rsidRPr="00BD58BC">
        <w:rPr>
          <w:i/>
          <w:iCs/>
          <w:lang w:val="es-CL"/>
        </w:rPr>
        <w:t>Teoría de los sentimientos morales</w:t>
      </w:r>
      <w:r w:rsidRPr="00BD58BC">
        <w:rPr>
          <w:lang w:val="es-CL"/>
        </w:rPr>
        <w:t xml:space="preserve">, Smith describe la simpatía, la conciencia y el “espectador imparcial” como fundamentos del juicio moral, subrayando la responsabilidad personal y la necesidad de considerar el bien de los demás más allá del propio interés inmediato. En </w:t>
      </w:r>
      <w:r w:rsidRPr="00BD58BC">
        <w:rPr>
          <w:i/>
          <w:iCs/>
          <w:lang w:val="es-CL"/>
        </w:rPr>
        <w:t>La riqueza de las naciones</w:t>
      </w:r>
      <w:r w:rsidRPr="00BD58BC">
        <w:rPr>
          <w:lang w:val="es-CL"/>
        </w:rPr>
        <w:t xml:space="preserve"> analiza el trabajo, la división de tareas y el intercambio voluntario como fuentes de prosperidad, criticando los privilegios mercantilistas y la connivencia entre Estado y grupos económicos. Ambos textos contribuyen a este marco de deberes al mostrar cómo la cooperación social puede surgir de decisiones libres en un contexto de normas morales compartidas, y cómo los mercados y el Estado se desvían cuando dejan de servir a las personas y pasan a proteger intereses de poder.</w:t>
      </w:r>
    </w:p>
    <w:p w14:paraId="62082828" w14:textId="77777777" w:rsidR="007D0DF9" w:rsidRPr="00BD58BC" w:rsidRDefault="007D0DF9" w:rsidP="007D0DF9">
      <w:pPr>
        <w:rPr>
          <w:lang w:val="es-CL"/>
        </w:rPr>
      </w:pPr>
      <w:r w:rsidRPr="00BD58BC">
        <w:rPr>
          <w:b/>
          <w:bCs/>
          <w:lang w:val="es-CL"/>
        </w:rPr>
        <w:t xml:space="preserve">15. Carl Menger, </w:t>
      </w:r>
      <w:proofErr w:type="spellStart"/>
      <w:r w:rsidRPr="00BD58BC">
        <w:rPr>
          <w:b/>
          <w:bCs/>
          <w:i/>
          <w:iCs/>
          <w:lang w:val="es-CL"/>
        </w:rPr>
        <w:t>On</w:t>
      </w:r>
      <w:proofErr w:type="spellEnd"/>
      <w:r w:rsidRPr="00BD58BC">
        <w:rPr>
          <w:b/>
          <w:bCs/>
          <w:i/>
          <w:iCs/>
          <w:lang w:val="es-CL"/>
        </w:rPr>
        <w:t xml:space="preserve"> </w:t>
      </w:r>
      <w:proofErr w:type="spellStart"/>
      <w:r w:rsidRPr="00BD58BC">
        <w:rPr>
          <w:b/>
          <w:bCs/>
          <w:i/>
          <w:iCs/>
          <w:lang w:val="es-CL"/>
        </w:rPr>
        <w:t>the</w:t>
      </w:r>
      <w:proofErr w:type="spellEnd"/>
      <w:r w:rsidRPr="00BD58BC">
        <w:rPr>
          <w:b/>
          <w:bCs/>
          <w:i/>
          <w:iCs/>
          <w:lang w:val="es-CL"/>
        </w:rPr>
        <w:t xml:space="preserve"> </w:t>
      </w:r>
      <w:proofErr w:type="spellStart"/>
      <w:r w:rsidRPr="00BD58BC">
        <w:rPr>
          <w:b/>
          <w:bCs/>
          <w:i/>
          <w:iCs/>
          <w:lang w:val="es-CL"/>
        </w:rPr>
        <w:t>Origin</w:t>
      </w:r>
      <w:proofErr w:type="spellEnd"/>
      <w:r w:rsidRPr="00BD58BC">
        <w:rPr>
          <w:b/>
          <w:bCs/>
          <w:i/>
          <w:iCs/>
          <w:lang w:val="es-CL"/>
        </w:rPr>
        <w:t xml:space="preserve"> of Money</w:t>
      </w:r>
      <w:r w:rsidRPr="00BD58BC">
        <w:rPr>
          <w:b/>
          <w:bCs/>
          <w:lang w:val="es-CL"/>
        </w:rPr>
        <w:t xml:space="preserve"> (1871/1892)</w:t>
      </w:r>
      <w:r w:rsidRPr="00BD58BC">
        <w:rPr>
          <w:lang w:val="es-CL"/>
        </w:rPr>
        <w:br/>
        <w:t xml:space="preserve">Economista de la escuela austriaca, Menger explica el origen del dinero no como creación exclusiva del Estado, sino como resultado evolutivo de intercambios libres en los que ciertas mercancías se vuelven medios de cambio generalmente aceptados. Su análisis ilustra cómo instituciones centrales para la vida económica pueden surgir “desde abajo”, a partir de las decisiones de personas concretas, en lugar de ser impuestas “desde arriba” por diseño político. Esta visión respalda los principios de </w:t>
      </w:r>
      <w:r w:rsidRPr="00BD58BC">
        <w:rPr>
          <w:b/>
          <w:bCs/>
          <w:lang w:val="es-CL"/>
        </w:rPr>
        <w:t>subsidiariedad</w:t>
      </w:r>
      <w:r w:rsidRPr="00BD58BC">
        <w:rPr>
          <w:lang w:val="es-CL"/>
        </w:rPr>
        <w:t xml:space="preserve">, de </w:t>
      </w:r>
      <w:r w:rsidRPr="00BD58BC">
        <w:rPr>
          <w:b/>
          <w:bCs/>
          <w:lang w:val="es-CL"/>
        </w:rPr>
        <w:t>primacía de la persona sobre los sistemas</w:t>
      </w:r>
      <w:r w:rsidRPr="00BD58BC">
        <w:rPr>
          <w:lang w:val="es-CL"/>
        </w:rPr>
        <w:t xml:space="preserve"> y de desconfianza ante estructuras monetarias y financieras que se emancipan del servicio al bien real de las comunidades.</w:t>
      </w:r>
    </w:p>
    <w:p w14:paraId="6DF965C3" w14:textId="77777777" w:rsidR="007D0DF9" w:rsidRPr="00BD58BC" w:rsidRDefault="007D0DF9" w:rsidP="007D0DF9">
      <w:pPr>
        <w:rPr>
          <w:lang w:val="es-CL"/>
        </w:rPr>
      </w:pPr>
      <w:r w:rsidRPr="00BD58BC">
        <w:rPr>
          <w:b/>
          <w:bCs/>
          <w:lang w:val="es-CL"/>
        </w:rPr>
        <w:t xml:space="preserve">16. Ludwig von Mises, </w:t>
      </w:r>
      <w:r w:rsidRPr="00BD58BC">
        <w:rPr>
          <w:b/>
          <w:bCs/>
          <w:i/>
          <w:iCs/>
          <w:lang w:val="es-CL"/>
        </w:rPr>
        <w:t xml:space="preserve">Human </w:t>
      </w:r>
      <w:proofErr w:type="spellStart"/>
      <w:r w:rsidRPr="00BD58BC">
        <w:rPr>
          <w:b/>
          <w:bCs/>
          <w:i/>
          <w:iCs/>
          <w:lang w:val="es-CL"/>
        </w:rPr>
        <w:t>Action</w:t>
      </w:r>
      <w:proofErr w:type="spellEnd"/>
      <w:r w:rsidRPr="00BD58BC">
        <w:rPr>
          <w:b/>
          <w:bCs/>
          <w:i/>
          <w:iCs/>
          <w:lang w:val="es-CL"/>
        </w:rPr>
        <w:t xml:space="preserve">: A </w:t>
      </w:r>
      <w:proofErr w:type="spellStart"/>
      <w:r w:rsidRPr="00BD58BC">
        <w:rPr>
          <w:b/>
          <w:bCs/>
          <w:i/>
          <w:iCs/>
          <w:lang w:val="es-CL"/>
        </w:rPr>
        <w:t>Treatise</w:t>
      </w:r>
      <w:proofErr w:type="spellEnd"/>
      <w:r w:rsidRPr="00BD58BC">
        <w:rPr>
          <w:b/>
          <w:bCs/>
          <w:i/>
          <w:iCs/>
          <w:lang w:val="es-CL"/>
        </w:rPr>
        <w:t xml:space="preserve"> </w:t>
      </w:r>
      <w:proofErr w:type="spellStart"/>
      <w:r w:rsidRPr="00BD58BC">
        <w:rPr>
          <w:b/>
          <w:bCs/>
          <w:i/>
          <w:iCs/>
          <w:lang w:val="es-CL"/>
        </w:rPr>
        <w:t>on</w:t>
      </w:r>
      <w:proofErr w:type="spellEnd"/>
      <w:r w:rsidRPr="00BD58BC">
        <w:rPr>
          <w:b/>
          <w:bCs/>
          <w:i/>
          <w:iCs/>
          <w:lang w:val="es-CL"/>
        </w:rPr>
        <w:t xml:space="preserve"> </w:t>
      </w:r>
      <w:proofErr w:type="spellStart"/>
      <w:r w:rsidRPr="00BD58BC">
        <w:rPr>
          <w:b/>
          <w:bCs/>
          <w:i/>
          <w:iCs/>
          <w:lang w:val="es-CL"/>
        </w:rPr>
        <w:t>Economics</w:t>
      </w:r>
      <w:proofErr w:type="spellEnd"/>
      <w:r w:rsidRPr="00BD58BC">
        <w:rPr>
          <w:b/>
          <w:bCs/>
          <w:lang w:val="es-CL"/>
        </w:rPr>
        <w:t xml:space="preserve"> (1949)</w:t>
      </w:r>
      <w:r w:rsidRPr="00BD58BC">
        <w:rPr>
          <w:lang w:val="es-CL"/>
        </w:rPr>
        <w:br/>
        <w:t xml:space="preserve">Desde una perspectiva liberal clásica, defiende la acción humana individual como núcleo de la vida económica y alerta contra el colectivismo y la planificación centralizada, que tienden a anular la iniciativa personal. Se toma como apoyo parcial al principio de </w:t>
      </w:r>
      <w:r w:rsidRPr="00BD58BC">
        <w:rPr>
          <w:b/>
          <w:bCs/>
          <w:lang w:val="es-CL"/>
        </w:rPr>
        <w:t>responsabilidad personal y no dominación de sistemas económicos sobre las personas</w:t>
      </w:r>
      <w:r w:rsidRPr="00BD58BC">
        <w:rPr>
          <w:lang w:val="es-CL"/>
        </w:rPr>
        <w:t>.</w:t>
      </w:r>
    </w:p>
    <w:p w14:paraId="13C1E4E0" w14:textId="77777777" w:rsidR="007D0DF9" w:rsidRPr="00BD58BC" w:rsidRDefault="007D0DF9" w:rsidP="007D0DF9">
      <w:pPr>
        <w:rPr>
          <w:lang w:val="es-CL"/>
        </w:rPr>
      </w:pPr>
      <w:r w:rsidRPr="00BD58BC">
        <w:rPr>
          <w:b/>
          <w:bCs/>
          <w:lang w:val="es-CL"/>
        </w:rPr>
        <w:t xml:space="preserve">17. Friedrich A. Hayek, </w:t>
      </w:r>
      <w:proofErr w:type="spellStart"/>
      <w:r w:rsidRPr="00BD58BC">
        <w:rPr>
          <w:b/>
          <w:bCs/>
          <w:i/>
          <w:iCs/>
          <w:lang w:val="es-CL"/>
        </w:rPr>
        <w:t>The</w:t>
      </w:r>
      <w:proofErr w:type="spellEnd"/>
      <w:r w:rsidRPr="00BD58BC">
        <w:rPr>
          <w:b/>
          <w:bCs/>
          <w:i/>
          <w:iCs/>
          <w:lang w:val="es-CL"/>
        </w:rPr>
        <w:t xml:space="preserve"> Road </w:t>
      </w:r>
      <w:proofErr w:type="spellStart"/>
      <w:r w:rsidRPr="00BD58BC">
        <w:rPr>
          <w:b/>
          <w:bCs/>
          <w:i/>
          <w:iCs/>
          <w:lang w:val="es-CL"/>
        </w:rPr>
        <w:t>to</w:t>
      </w:r>
      <w:proofErr w:type="spellEnd"/>
      <w:r w:rsidRPr="00BD58BC">
        <w:rPr>
          <w:b/>
          <w:bCs/>
          <w:i/>
          <w:iCs/>
          <w:lang w:val="es-CL"/>
        </w:rPr>
        <w:t xml:space="preserve"> </w:t>
      </w:r>
      <w:proofErr w:type="spellStart"/>
      <w:r w:rsidRPr="00BD58BC">
        <w:rPr>
          <w:b/>
          <w:bCs/>
          <w:i/>
          <w:iCs/>
          <w:lang w:val="es-CL"/>
        </w:rPr>
        <w:t>Serfdom</w:t>
      </w:r>
      <w:proofErr w:type="spellEnd"/>
      <w:r w:rsidRPr="00BD58BC">
        <w:rPr>
          <w:b/>
          <w:bCs/>
          <w:lang w:val="es-CL"/>
        </w:rPr>
        <w:t xml:space="preserve"> (1944)</w:t>
      </w:r>
      <w:r w:rsidRPr="00BD58BC">
        <w:rPr>
          <w:lang w:val="es-CL"/>
        </w:rPr>
        <w:br/>
        <w:t xml:space="preserve">Advierte del peligro de que la planificación económica y el control estatal extensivo conduzcan a la servidumbre y la tiranía. La obra sirve como advertencia frente a sistemas que sacrifican la libertad concreta de las personas en nombre de fines abstractos, reforzando la </w:t>
      </w:r>
      <w:r w:rsidRPr="00BD58BC">
        <w:rPr>
          <w:b/>
          <w:bCs/>
          <w:lang w:val="es-CL"/>
        </w:rPr>
        <w:t>primacía de la persona sobre los sistemas</w:t>
      </w:r>
      <w:r w:rsidRPr="00BD58BC">
        <w:rPr>
          <w:lang w:val="es-CL"/>
        </w:rPr>
        <w:t xml:space="preserve"> y la subsidiariedad.</w:t>
      </w:r>
    </w:p>
    <w:p w14:paraId="107622BF" w14:textId="77777777" w:rsidR="007D0DF9" w:rsidRPr="00BD58BC" w:rsidRDefault="007D0DF9" w:rsidP="007D0DF9">
      <w:pPr>
        <w:rPr>
          <w:lang w:val="es-CL"/>
        </w:rPr>
      </w:pPr>
      <w:r w:rsidRPr="00BD58BC">
        <w:rPr>
          <w:b/>
          <w:bCs/>
          <w:lang w:val="es-CL"/>
        </w:rPr>
        <w:lastRenderedPageBreak/>
        <w:t xml:space="preserve">18. </w:t>
      </w:r>
      <w:proofErr w:type="spellStart"/>
      <w:r w:rsidRPr="00BD58BC">
        <w:rPr>
          <w:b/>
          <w:bCs/>
          <w:lang w:val="es-CL"/>
        </w:rPr>
        <w:t>Shoshana</w:t>
      </w:r>
      <w:proofErr w:type="spellEnd"/>
      <w:r w:rsidRPr="00BD58BC">
        <w:rPr>
          <w:b/>
          <w:bCs/>
          <w:lang w:val="es-CL"/>
        </w:rPr>
        <w:t xml:space="preserve"> </w:t>
      </w:r>
      <w:proofErr w:type="spellStart"/>
      <w:r w:rsidRPr="00BD58BC">
        <w:rPr>
          <w:b/>
          <w:bCs/>
          <w:lang w:val="es-CL"/>
        </w:rPr>
        <w:t>Zuboff</w:t>
      </w:r>
      <w:proofErr w:type="spellEnd"/>
      <w:r w:rsidRPr="00BD58BC">
        <w:rPr>
          <w:b/>
          <w:bCs/>
          <w:lang w:val="es-CL"/>
        </w:rPr>
        <w:t xml:space="preserve">, </w:t>
      </w:r>
      <w:proofErr w:type="spellStart"/>
      <w:r w:rsidRPr="00BD58BC">
        <w:rPr>
          <w:b/>
          <w:bCs/>
          <w:i/>
          <w:iCs/>
          <w:lang w:val="es-CL"/>
        </w:rPr>
        <w:t>The</w:t>
      </w:r>
      <w:proofErr w:type="spellEnd"/>
      <w:r w:rsidRPr="00BD58BC">
        <w:rPr>
          <w:b/>
          <w:bCs/>
          <w:i/>
          <w:iCs/>
          <w:lang w:val="es-CL"/>
        </w:rPr>
        <w:t xml:space="preserve"> Age of </w:t>
      </w:r>
      <w:proofErr w:type="spellStart"/>
      <w:r w:rsidRPr="00BD58BC">
        <w:rPr>
          <w:b/>
          <w:bCs/>
          <w:i/>
          <w:iCs/>
          <w:lang w:val="es-CL"/>
        </w:rPr>
        <w:t>Surveillance</w:t>
      </w:r>
      <w:proofErr w:type="spellEnd"/>
      <w:r w:rsidRPr="00BD58BC">
        <w:rPr>
          <w:b/>
          <w:bCs/>
          <w:i/>
          <w:iCs/>
          <w:lang w:val="es-CL"/>
        </w:rPr>
        <w:t xml:space="preserve"> </w:t>
      </w:r>
      <w:proofErr w:type="spellStart"/>
      <w:r w:rsidRPr="00BD58BC">
        <w:rPr>
          <w:b/>
          <w:bCs/>
          <w:i/>
          <w:iCs/>
          <w:lang w:val="es-CL"/>
        </w:rPr>
        <w:t>Capitalism</w:t>
      </w:r>
      <w:proofErr w:type="spellEnd"/>
      <w:r w:rsidRPr="00BD58BC">
        <w:rPr>
          <w:b/>
          <w:bCs/>
          <w:lang w:val="es-CL"/>
        </w:rPr>
        <w:t xml:space="preserve"> (2019)</w:t>
      </w:r>
      <w:r w:rsidRPr="00BD58BC">
        <w:rPr>
          <w:lang w:val="es-CL"/>
        </w:rPr>
        <w:br/>
        <w:t xml:space="preserve">Análisis exhaustivo del modelo económico basado en la extracción masiva de datos personales y en la manipulación del comportamiento humano con fines comerciales. Muestra cómo las grandes plataformas tecnológicas convierten a las personas en materia prima informacional y subordinan su libertad a sistemas opacos de vigilancia y predicción. Refuerza los principios de esta Declaración sobre la </w:t>
      </w:r>
      <w:r w:rsidRPr="00BD58BC">
        <w:rPr>
          <w:b/>
          <w:bCs/>
          <w:lang w:val="es-CL"/>
        </w:rPr>
        <w:t>primacía de la persona sobre los sistemas</w:t>
      </w:r>
      <w:r w:rsidRPr="00BD58BC">
        <w:rPr>
          <w:lang w:val="es-CL"/>
        </w:rPr>
        <w:t>, la no dominación y el deber de que la tecnología sirva a las personas y no al revés.</w:t>
      </w:r>
    </w:p>
    <w:p w14:paraId="1F1FA3CC" w14:textId="77777777" w:rsidR="007D0DF9" w:rsidRPr="00BD58BC" w:rsidRDefault="007D0DF9" w:rsidP="007D0DF9">
      <w:pPr>
        <w:rPr>
          <w:lang w:val="es-CL"/>
        </w:rPr>
      </w:pPr>
      <w:r w:rsidRPr="00BD58BC">
        <w:rPr>
          <w:b/>
          <w:bCs/>
          <w:lang w:val="es-CL"/>
        </w:rPr>
        <w:t xml:space="preserve">19. Casey </w:t>
      </w:r>
      <w:proofErr w:type="spellStart"/>
      <w:r w:rsidRPr="00BD58BC">
        <w:rPr>
          <w:b/>
          <w:bCs/>
          <w:lang w:val="es-CL"/>
        </w:rPr>
        <w:t>Means</w:t>
      </w:r>
      <w:proofErr w:type="spellEnd"/>
      <w:r w:rsidRPr="00BD58BC">
        <w:rPr>
          <w:b/>
          <w:bCs/>
          <w:lang w:val="es-CL"/>
        </w:rPr>
        <w:t xml:space="preserve">, </w:t>
      </w:r>
      <w:r w:rsidRPr="00BD58BC">
        <w:rPr>
          <w:b/>
          <w:bCs/>
          <w:i/>
          <w:iCs/>
          <w:lang w:val="es-CL"/>
        </w:rPr>
        <w:t>Good Energy</w:t>
      </w:r>
      <w:r w:rsidRPr="00BD58BC">
        <w:rPr>
          <w:b/>
          <w:bCs/>
          <w:lang w:val="es-CL"/>
        </w:rPr>
        <w:t xml:space="preserve"> (publicación reciente)</w:t>
      </w:r>
      <w:r w:rsidRPr="00BD58BC">
        <w:rPr>
          <w:lang w:val="es-CL"/>
        </w:rPr>
        <w:br/>
        <w:t xml:space="preserve">Desde la práctica médica, denuncia un sistema sanitario cuyas estructuras de incentivo recompensan el procedimiento y la medicación más que la salud y la prevención, generando una dinámica en la que la enfermedad resulta “rentable” mientras que el bienestar sostenido no lo es. Su propuesta de reorientar los incentivos hacia la preservación de la salud y la energía vital enlaza con los deberes de </w:t>
      </w:r>
      <w:r w:rsidRPr="00BD58BC">
        <w:rPr>
          <w:b/>
          <w:bCs/>
          <w:lang w:val="es-CL"/>
        </w:rPr>
        <w:t>cuidado responsable de sí mismo</w:t>
      </w:r>
      <w:r w:rsidRPr="00BD58BC">
        <w:rPr>
          <w:lang w:val="es-CL"/>
        </w:rPr>
        <w:t>, de justicia institucional y de ordenación de los sistemas al bien real de las personas, en lugar de al beneficio a corto plazo.</w:t>
      </w:r>
    </w:p>
    <w:p w14:paraId="1BDB9B9C" w14:textId="77777777" w:rsidR="007D0DF9" w:rsidRPr="00BD58BC" w:rsidRDefault="00000000" w:rsidP="007D0DF9">
      <w:pPr>
        <w:rPr>
          <w:lang w:val="en-GB"/>
        </w:rPr>
      </w:pPr>
      <w:r>
        <w:rPr>
          <w:lang w:val="en-GB"/>
        </w:rPr>
        <w:pict w14:anchorId="5341B9B8">
          <v:rect id="_x0000_i1026" style="width:0;height:1.5pt" o:hralign="center" o:hrstd="t" o:hr="t" fillcolor="#a0a0a0" stroked="f"/>
        </w:pict>
      </w:r>
    </w:p>
    <w:p w14:paraId="52ED629F" w14:textId="77777777" w:rsidR="007D0DF9" w:rsidRPr="00BD58BC" w:rsidRDefault="007D0DF9" w:rsidP="007D0DF9">
      <w:pPr>
        <w:pStyle w:val="Heading2"/>
        <w:rPr>
          <w:b/>
          <w:bCs/>
          <w:lang w:val="es-CL"/>
        </w:rPr>
      </w:pPr>
      <w:r w:rsidRPr="00BD58BC">
        <w:rPr>
          <w:b/>
          <w:bCs/>
          <w:lang w:val="es-CL"/>
        </w:rPr>
        <w:t xml:space="preserve">II. </w:t>
      </w:r>
      <w:proofErr w:type="spellStart"/>
      <w:r w:rsidRPr="00BD58BC">
        <w:rPr>
          <w:b/>
          <w:bCs/>
          <w:lang w:val="es-CL"/>
        </w:rPr>
        <w:t>Contra-inspiraciones</w:t>
      </w:r>
      <w:proofErr w:type="spellEnd"/>
      <w:r w:rsidRPr="00BD58BC">
        <w:rPr>
          <w:b/>
          <w:bCs/>
          <w:lang w:val="es-CL"/>
        </w:rPr>
        <w:t xml:space="preserve"> y advertencias éticas</w:t>
      </w:r>
    </w:p>
    <w:p w14:paraId="77ED5B61" w14:textId="77777777" w:rsidR="007D0DF9" w:rsidRPr="00BD58BC" w:rsidRDefault="007D0DF9" w:rsidP="007D0DF9">
      <w:pPr>
        <w:rPr>
          <w:lang w:val="es-CL"/>
        </w:rPr>
      </w:pPr>
      <w:r w:rsidRPr="00BD58BC">
        <w:rPr>
          <w:lang w:val="es-CL"/>
        </w:rPr>
        <w:t xml:space="preserve">Estas obras se citan no como modelos a imitar, sino como </w:t>
      </w:r>
      <w:r w:rsidRPr="00BD58BC">
        <w:rPr>
          <w:b/>
          <w:bCs/>
          <w:lang w:val="es-CL"/>
        </w:rPr>
        <w:t>ilustraciones narrativas o teóricas de lo que la presente Declaración pretende evitar</w:t>
      </w:r>
      <w:r w:rsidRPr="00BD58BC">
        <w:rPr>
          <w:lang w:val="es-CL"/>
        </w:rPr>
        <w:t>: la deshumanización, la manipulación de la verdad, la supremacía de un grupo sobre otros y la reducción de las personas a instrumentos.</w:t>
      </w:r>
    </w:p>
    <w:p w14:paraId="67D78E79" w14:textId="77777777" w:rsidR="007D0DF9" w:rsidRPr="00BD58BC" w:rsidRDefault="007D0DF9" w:rsidP="007D0DF9">
      <w:pPr>
        <w:rPr>
          <w:lang w:val="es-CL"/>
        </w:rPr>
      </w:pPr>
      <w:r w:rsidRPr="00BD58BC">
        <w:rPr>
          <w:b/>
          <w:bCs/>
          <w:lang w:val="es-CL"/>
        </w:rPr>
        <w:t xml:space="preserve">20. George Orwell, </w:t>
      </w:r>
      <w:r w:rsidRPr="00BD58BC">
        <w:rPr>
          <w:b/>
          <w:bCs/>
          <w:i/>
          <w:iCs/>
          <w:lang w:val="es-CL"/>
        </w:rPr>
        <w:t>Rebelión en la granja</w:t>
      </w:r>
      <w:r w:rsidRPr="00BD58BC">
        <w:rPr>
          <w:b/>
          <w:bCs/>
          <w:lang w:val="es-CL"/>
        </w:rPr>
        <w:t xml:space="preserve"> (1945)</w:t>
      </w:r>
      <w:r w:rsidRPr="00BD58BC">
        <w:rPr>
          <w:lang w:val="es-CL"/>
        </w:rPr>
        <w:br/>
        <w:t>Alegoría de la revolución traicionada, donde un proyecto igualitario degenera en una nueva élite opresora. Muestra cómo el lenguaje, la propaganda y la concentración de poder bajo consignas nobles pueden desembocar en dominación y cinismo.</w:t>
      </w:r>
    </w:p>
    <w:p w14:paraId="5381AA12" w14:textId="77777777" w:rsidR="007D0DF9" w:rsidRPr="00BD58BC" w:rsidRDefault="007D0DF9" w:rsidP="007D0DF9">
      <w:pPr>
        <w:rPr>
          <w:lang w:val="es-CL"/>
        </w:rPr>
      </w:pPr>
      <w:r w:rsidRPr="00BD58BC">
        <w:rPr>
          <w:b/>
          <w:bCs/>
          <w:lang w:val="es-CL"/>
        </w:rPr>
        <w:t xml:space="preserve">21. George Orwell, </w:t>
      </w:r>
      <w:r w:rsidRPr="00BD58BC">
        <w:rPr>
          <w:b/>
          <w:bCs/>
          <w:i/>
          <w:iCs/>
          <w:lang w:val="es-CL"/>
        </w:rPr>
        <w:t>1984</w:t>
      </w:r>
      <w:r w:rsidRPr="00BD58BC">
        <w:rPr>
          <w:b/>
          <w:bCs/>
          <w:lang w:val="es-CL"/>
        </w:rPr>
        <w:t xml:space="preserve"> (1949)</w:t>
      </w:r>
      <w:r w:rsidRPr="00BD58BC">
        <w:rPr>
          <w:lang w:val="es-CL"/>
        </w:rPr>
        <w:br/>
        <w:t>Descripción extrema de un régimen totalitario basado en la vigilancia absoluta, la manipulación del lenguaje y la supresión de la verdad. Es una advertencia radical contra cualquier orden político o tecnológico que subordine la persona a un aparato de control.</w:t>
      </w:r>
    </w:p>
    <w:p w14:paraId="306666E2" w14:textId="77777777" w:rsidR="007D0DF9" w:rsidRPr="00BD58BC" w:rsidRDefault="007D0DF9" w:rsidP="007D0DF9">
      <w:pPr>
        <w:rPr>
          <w:lang w:val="es-CL"/>
        </w:rPr>
      </w:pPr>
      <w:r w:rsidRPr="00BD58BC">
        <w:rPr>
          <w:b/>
          <w:bCs/>
          <w:lang w:val="es-CL"/>
        </w:rPr>
        <w:t xml:space="preserve">22. Julia Navarro, </w:t>
      </w:r>
      <w:r w:rsidRPr="00BD58BC">
        <w:rPr>
          <w:b/>
          <w:bCs/>
          <w:i/>
          <w:iCs/>
          <w:lang w:val="es-CL"/>
        </w:rPr>
        <w:t>Dime quién soy</w:t>
      </w:r>
      <w:r w:rsidRPr="00BD58BC">
        <w:rPr>
          <w:b/>
          <w:bCs/>
          <w:lang w:val="es-CL"/>
        </w:rPr>
        <w:t xml:space="preserve"> (2010)</w:t>
      </w:r>
      <w:r w:rsidRPr="00BD58BC">
        <w:rPr>
          <w:lang w:val="es-CL"/>
        </w:rPr>
        <w:br/>
        <w:t>Novela que recorre el siglo XX a través de una protagonista que enfrenta totalitarismos y conflictos. Pone de relieve el coste humano de la cobardía, la traición y la ideologización, frente a la responsabilidad personal y la solidaridad que la Declaración promueve.</w:t>
      </w:r>
    </w:p>
    <w:p w14:paraId="6385A69E" w14:textId="77777777" w:rsidR="007D0DF9" w:rsidRPr="00BD58BC" w:rsidRDefault="007D0DF9" w:rsidP="007D0DF9">
      <w:pPr>
        <w:rPr>
          <w:lang w:val="es-CL"/>
        </w:rPr>
      </w:pPr>
      <w:r w:rsidRPr="00BD58BC">
        <w:rPr>
          <w:b/>
          <w:bCs/>
          <w:lang w:val="es-CL"/>
        </w:rPr>
        <w:t xml:space="preserve">23. Heather Morris, </w:t>
      </w:r>
      <w:r w:rsidRPr="00BD58BC">
        <w:rPr>
          <w:b/>
          <w:bCs/>
          <w:i/>
          <w:iCs/>
          <w:lang w:val="es-CL"/>
        </w:rPr>
        <w:t>El tatuador de Auschwitz</w:t>
      </w:r>
      <w:r w:rsidRPr="00BD58BC">
        <w:rPr>
          <w:b/>
          <w:bCs/>
          <w:lang w:val="es-CL"/>
        </w:rPr>
        <w:t xml:space="preserve"> (2018)</w:t>
      </w:r>
      <w:r w:rsidRPr="00BD58BC">
        <w:rPr>
          <w:lang w:val="es-CL"/>
        </w:rPr>
        <w:br/>
        <w:t>Relato basado en hechos reales en un campo de concentración nazi. Ilustra el grado extremo de deshumanización a que puede conducir la lógica de la superioridad racial y la instrumentalización de las personas, reafirmando la necesidad absoluta de los deberes de no dominación y de cuidado del más vulnerable.</w:t>
      </w:r>
    </w:p>
    <w:p w14:paraId="1955F649" w14:textId="77777777" w:rsidR="007D0DF9" w:rsidRPr="00BD58BC" w:rsidRDefault="007D0DF9" w:rsidP="007D0DF9">
      <w:pPr>
        <w:rPr>
          <w:lang w:val="es-CL"/>
        </w:rPr>
      </w:pPr>
      <w:r w:rsidRPr="00BD58BC">
        <w:rPr>
          <w:b/>
          <w:bCs/>
          <w:lang w:val="es-CL"/>
        </w:rPr>
        <w:lastRenderedPageBreak/>
        <w:t xml:space="preserve">24. Karl Marx y Friedrich Engels, </w:t>
      </w:r>
      <w:r w:rsidRPr="00BD58BC">
        <w:rPr>
          <w:b/>
          <w:bCs/>
          <w:i/>
          <w:iCs/>
          <w:lang w:val="es-CL"/>
        </w:rPr>
        <w:t>Manifiesto del Partido Comunista</w:t>
      </w:r>
      <w:r w:rsidRPr="00BD58BC">
        <w:rPr>
          <w:b/>
          <w:bCs/>
          <w:lang w:val="es-CL"/>
        </w:rPr>
        <w:t xml:space="preserve"> (1848)</w:t>
      </w:r>
      <w:r w:rsidRPr="00BD58BC">
        <w:rPr>
          <w:lang w:val="es-CL"/>
        </w:rPr>
        <w:br/>
        <w:t xml:space="preserve">Texto fundacional del socialismo revolucionario. Se reconoce su sensibilidad ante la explotación y la injusticia, pero se presenta aquí como </w:t>
      </w:r>
      <w:proofErr w:type="spellStart"/>
      <w:r w:rsidRPr="00BD58BC">
        <w:rPr>
          <w:lang w:val="es-CL"/>
        </w:rPr>
        <w:t>contra-inspiración</w:t>
      </w:r>
      <w:proofErr w:type="spellEnd"/>
      <w:r w:rsidRPr="00BD58BC">
        <w:rPr>
          <w:lang w:val="es-CL"/>
        </w:rPr>
        <w:t xml:space="preserve"> en la medida en que propone la centralización del poder y la supresión de libertades fundamentales, con el consiguiente riesgo de nuevas formas de dominación colectiva sobre las personas concretas.</w:t>
      </w:r>
    </w:p>
    <w:p w14:paraId="11D5FDCD" w14:textId="77777777" w:rsidR="007D0DF9" w:rsidRPr="00BD58BC" w:rsidRDefault="007D0DF9" w:rsidP="007D0DF9">
      <w:pPr>
        <w:rPr>
          <w:lang w:val="es-CL"/>
        </w:rPr>
      </w:pPr>
      <w:r w:rsidRPr="00BD58BC">
        <w:rPr>
          <w:b/>
          <w:bCs/>
          <w:lang w:val="es-CL"/>
        </w:rPr>
        <w:t>25. Tradiciones de “obligación” heterónoma (diversas fuentes religiosas y jurídicas)</w:t>
      </w:r>
      <w:r w:rsidRPr="00BD58BC">
        <w:rPr>
          <w:lang w:val="es-CL"/>
        </w:rPr>
        <w:br/>
        <w:t xml:space="preserve">Bajo esta categoría se incluyen marcos normativos en los que la vida moral se concibe principalmente como </w:t>
      </w:r>
      <w:r w:rsidRPr="00BD58BC">
        <w:rPr>
          <w:b/>
          <w:bCs/>
          <w:lang w:val="es-CL"/>
        </w:rPr>
        <w:t>sumisión a mandatos externos</w:t>
      </w:r>
      <w:r w:rsidRPr="00BD58BC">
        <w:rPr>
          <w:lang w:val="es-CL"/>
        </w:rPr>
        <w:t xml:space="preserve"> —divinos, ideológicos o estatales—, a menudo vinculados a la superioridad del propio grupo y a la legitimación de la violencia o la imposición sobre otros. En la medida en que tales perspectivas han sido utilizadas históricamente para justificar la supremacía y la deshumanización, constituyen un contrapunto explícito a esta Declaración, que entiende el deber como </w:t>
      </w:r>
      <w:r w:rsidRPr="00BD58BC">
        <w:rPr>
          <w:b/>
          <w:bCs/>
          <w:lang w:val="es-CL"/>
        </w:rPr>
        <w:t>respuesta libre de amor</w:t>
      </w:r>
      <w:r w:rsidRPr="00BD58BC">
        <w:rPr>
          <w:lang w:val="es-CL"/>
        </w:rPr>
        <w:t xml:space="preserve"> y el ejercicio del poder como servicio, nunca como título de supremacía.</w:t>
      </w:r>
    </w:p>
    <w:p w14:paraId="0EE65A60" w14:textId="77777777" w:rsidR="007D0DF9" w:rsidRPr="007D0DF9" w:rsidRDefault="007D0DF9">
      <w:pPr>
        <w:rPr>
          <w:lang w:val="es-CL"/>
        </w:rPr>
      </w:pPr>
    </w:p>
    <w:sectPr w:rsidR="007D0DF9" w:rsidRPr="007D0DF9" w:rsidSect="004A43D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686E8" w14:textId="77777777" w:rsidR="00001F25" w:rsidRDefault="00001F25" w:rsidP="00BF6AB9">
      <w:pPr>
        <w:spacing w:after="0" w:line="240" w:lineRule="auto"/>
      </w:pPr>
      <w:r>
        <w:separator/>
      </w:r>
    </w:p>
  </w:endnote>
  <w:endnote w:type="continuationSeparator" w:id="0">
    <w:p w14:paraId="49117059" w14:textId="77777777" w:rsidR="00001F25" w:rsidRDefault="00001F25" w:rsidP="00BF6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CA1EA" w14:textId="77777777" w:rsidR="00001F25" w:rsidRDefault="00001F25" w:rsidP="00BF6AB9">
      <w:pPr>
        <w:spacing w:after="0" w:line="240" w:lineRule="auto"/>
      </w:pPr>
      <w:r>
        <w:separator/>
      </w:r>
    </w:p>
  </w:footnote>
  <w:footnote w:type="continuationSeparator" w:id="0">
    <w:p w14:paraId="01BE3688" w14:textId="77777777" w:rsidR="00001F25" w:rsidRDefault="00001F25" w:rsidP="00BF6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5BDC"/>
    <w:multiLevelType w:val="multilevel"/>
    <w:tmpl w:val="BF9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9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edit="readOnly" w:enforcement="1" w:cryptProviderType="rsaAES" w:cryptAlgorithmClass="hash" w:cryptAlgorithmType="typeAny" w:cryptAlgorithmSid="14" w:cryptSpinCount="100000" w:hash="9KxoDIKdWwB+58iUmqgcNAu0E1y5LWYHS6JMKMe4qMUlL5rEm3kvq5OHurk4uz+HhzugudtoRcYZcI/plP+MLg==" w:salt="wxh9L2BZKjNw/u+kiyoYKw=="/>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DF9"/>
    <w:rsid w:val="00001F25"/>
    <w:rsid w:val="000125F6"/>
    <w:rsid w:val="00063708"/>
    <w:rsid w:val="000C7660"/>
    <w:rsid w:val="0011104F"/>
    <w:rsid w:val="0013142F"/>
    <w:rsid w:val="00176323"/>
    <w:rsid w:val="001A5F67"/>
    <w:rsid w:val="004A43DC"/>
    <w:rsid w:val="00525B93"/>
    <w:rsid w:val="00640FA2"/>
    <w:rsid w:val="00712319"/>
    <w:rsid w:val="00756E12"/>
    <w:rsid w:val="007D0DF9"/>
    <w:rsid w:val="0098614F"/>
    <w:rsid w:val="00BF6AB9"/>
    <w:rsid w:val="00CC2945"/>
    <w:rsid w:val="00E31867"/>
    <w:rsid w:val="00F3413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2C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DF9"/>
    <w:pPr>
      <w:spacing w:after="200" w:line="276" w:lineRule="auto"/>
      <w:jc w:val="left"/>
    </w:pPr>
    <w:rPr>
      <w:rFonts w:eastAsiaTheme="minorEastAsia"/>
      <w:kern w:val="0"/>
      <w:lang w:val="en-US"/>
      <w14:ligatures w14:val="none"/>
    </w:rPr>
  </w:style>
  <w:style w:type="paragraph" w:styleId="Heading1">
    <w:name w:val="heading 1"/>
    <w:basedOn w:val="Normal"/>
    <w:next w:val="Normal"/>
    <w:link w:val="Heading1Char"/>
    <w:uiPriority w:val="9"/>
    <w:qFormat/>
    <w:rsid w:val="00712319"/>
    <w:pPr>
      <w:keepNext/>
      <w:keepLines/>
      <w:spacing w:before="24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2319"/>
    <w:pPr>
      <w:keepNext/>
      <w:keepLines/>
      <w:spacing w:before="240" w:after="12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2319"/>
    <w:pPr>
      <w:keepNext/>
      <w:keepLines/>
      <w:spacing w:before="24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0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D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D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D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D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231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12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231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12319"/>
    <w:pPr>
      <w:tabs>
        <w:tab w:val="center" w:pos="4252"/>
        <w:tab w:val="right" w:pos="8504"/>
      </w:tabs>
      <w:spacing w:line="240" w:lineRule="auto"/>
    </w:pPr>
  </w:style>
  <w:style w:type="character" w:customStyle="1" w:styleId="HeaderChar">
    <w:name w:val="Header Char"/>
    <w:basedOn w:val="DefaultParagraphFont"/>
    <w:link w:val="Header"/>
    <w:uiPriority w:val="99"/>
    <w:rsid w:val="00712319"/>
  </w:style>
  <w:style w:type="paragraph" w:styleId="Footer">
    <w:name w:val="footer"/>
    <w:basedOn w:val="Normal"/>
    <w:link w:val="FooterChar"/>
    <w:uiPriority w:val="99"/>
    <w:unhideWhenUsed/>
    <w:rsid w:val="00712319"/>
    <w:pPr>
      <w:tabs>
        <w:tab w:val="center" w:pos="4252"/>
        <w:tab w:val="right" w:pos="8504"/>
      </w:tabs>
      <w:spacing w:line="240" w:lineRule="auto"/>
    </w:pPr>
  </w:style>
  <w:style w:type="character" w:customStyle="1" w:styleId="FooterChar">
    <w:name w:val="Footer Char"/>
    <w:basedOn w:val="DefaultParagraphFont"/>
    <w:link w:val="Footer"/>
    <w:uiPriority w:val="99"/>
    <w:rsid w:val="00712319"/>
  </w:style>
  <w:style w:type="paragraph" w:styleId="ListParagraph">
    <w:name w:val="List Paragraph"/>
    <w:basedOn w:val="Normal"/>
    <w:uiPriority w:val="34"/>
    <w:qFormat/>
    <w:rsid w:val="00712319"/>
    <w:pPr>
      <w:spacing w:before="120" w:after="60"/>
      <w:ind w:left="720"/>
      <w:contextualSpacing/>
    </w:pPr>
  </w:style>
  <w:style w:type="character" w:customStyle="1" w:styleId="Heading4Char">
    <w:name w:val="Heading 4 Char"/>
    <w:basedOn w:val="DefaultParagraphFont"/>
    <w:link w:val="Heading4"/>
    <w:uiPriority w:val="9"/>
    <w:semiHidden/>
    <w:rsid w:val="007D0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DF9"/>
    <w:rPr>
      <w:rFonts w:eastAsiaTheme="majorEastAsia" w:cstheme="majorBidi"/>
      <w:color w:val="272727" w:themeColor="text1" w:themeTint="D8"/>
    </w:rPr>
  </w:style>
  <w:style w:type="paragraph" w:styleId="Title">
    <w:name w:val="Title"/>
    <w:basedOn w:val="Normal"/>
    <w:next w:val="Normal"/>
    <w:link w:val="TitleChar"/>
    <w:uiPriority w:val="10"/>
    <w:qFormat/>
    <w:rsid w:val="007D0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DF9"/>
    <w:pPr>
      <w:numPr>
        <w:ilvl w:val="1"/>
      </w:numPr>
      <w:spacing w:after="160"/>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D0DF9"/>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D0DF9"/>
    <w:pPr>
      <w:spacing w:before="160" w:after="160"/>
      <w:jc w:val="center"/>
    </w:pPr>
    <w:rPr>
      <w:i/>
      <w:iCs/>
      <w:color w:val="000000" w:themeColor="text1"/>
    </w:rPr>
  </w:style>
  <w:style w:type="character" w:customStyle="1" w:styleId="QuoteChar">
    <w:name w:val="Quote Char"/>
    <w:basedOn w:val="DefaultParagraphFont"/>
    <w:link w:val="Quote"/>
    <w:uiPriority w:val="29"/>
    <w:rsid w:val="007D0DF9"/>
    <w:rPr>
      <w:i/>
      <w:iCs/>
      <w:color w:val="000000" w:themeColor="text1"/>
    </w:rPr>
  </w:style>
  <w:style w:type="character" w:styleId="IntenseEmphasis">
    <w:name w:val="Intense Emphasis"/>
    <w:basedOn w:val="DefaultParagraphFont"/>
    <w:uiPriority w:val="21"/>
    <w:qFormat/>
    <w:rsid w:val="007D0DF9"/>
    <w:rPr>
      <w:i/>
      <w:iCs/>
      <w:color w:val="2F5496" w:themeColor="accent1" w:themeShade="BF"/>
    </w:rPr>
  </w:style>
  <w:style w:type="paragraph" w:styleId="IntenseQuote">
    <w:name w:val="Intense Quote"/>
    <w:basedOn w:val="Normal"/>
    <w:next w:val="Normal"/>
    <w:link w:val="IntenseQuoteChar"/>
    <w:uiPriority w:val="30"/>
    <w:qFormat/>
    <w:rsid w:val="007D0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DF9"/>
    <w:rPr>
      <w:i/>
      <w:iCs/>
      <w:color w:val="2F5496" w:themeColor="accent1" w:themeShade="BF"/>
    </w:rPr>
  </w:style>
  <w:style w:type="character" w:styleId="IntenseReference">
    <w:name w:val="Intense Reference"/>
    <w:basedOn w:val="DefaultParagraphFont"/>
    <w:uiPriority w:val="32"/>
    <w:qFormat/>
    <w:rsid w:val="007D0D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1896</Words>
  <Characters>10052</Characters>
  <Application>Microsoft Office Word</Application>
  <DocSecurity>8</DocSecurity>
  <Lines>189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2025-12-12T15:38:00Z</dcterms:created>
  <dcterms:modified xsi:type="dcterms:W3CDTF">2025-12-12T15:39:00Z</dcterms:modified>
  <cp:contentStatus/>
</cp:coreProperties>
</file>