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Relatorio De Reescrita Do ACBrMonitor Em C#/.NET</w:t>
      </w:r>
    </w:p>
    <w:p>
      <w:pPr>
        <w:pStyle w:val="Heading1"/>
      </w:pPr>
      <w:r>
        <w:t>Objetivo</w:t>
      </w:r>
    </w:p>
    <w:p>
      <w:r>
        <w:t>Este relatorio avalia a reescrita do ACBrMonitor em C#/.NET, criando um novo servico fiscal independente, moderno e desacoplado do PDV.</w:t>
      </w:r>
    </w:p>
    <w:p>
      <w:r>
        <w:t>O objetivo correto e:</w:t>
      </w:r>
    </w:p>
    <w:p>
      <w:pPr>
        <w:pStyle w:val="CodeBlock"/>
        <w:spacing w:before="80" w:after="160"/>
        <w:ind w:left="288"/>
      </w:pPr>
      <w:r>
        <w:rPr>
          <w:rFonts w:ascii="Consolas" w:hAnsi="Consolas"/>
          <w:sz w:val="18"/>
        </w:rPr>
        <w:t>Substituir o ACBrMonitor por um servico fiscal proprio em C#/.NET.</w:t>
      </w:r>
    </w:p>
    <w:p>
      <w:r>
        <w:t>Nao e apenas integrar com o ACBrMonitor existente. Tambem nao e colocar a regra fiscal dentro do PDV. A proposta e criar um novo componente fiscal, separado, que faca o papel que hoje o ACBrMonitor faz.</w:t>
      </w:r>
    </w:p>
    <w:p>
      <w:r>
        <w:t>Arquitetura desejada:</w:t>
      </w:r>
    </w:p>
    <w:p>
      <w:pPr>
        <w:pStyle w:val="CodeBlock"/>
        <w:spacing w:before="80" w:after="160"/>
        <w:ind w:left="288"/>
      </w:pPr>
      <w:r>
        <w:rPr>
          <w:rFonts w:ascii="Consolas" w:hAnsi="Consolas"/>
          <w:sz w:val="18"/>
        </w:rPr>
        <w:t>PDV WPF</w:t>
        <w:br/>
        <w:t xml:space="preserve">  |</w:t>
        <w:br/>
        <w:t xml:space="preserve">  v</w:t>
        <w:br/>
        <w:t>Servico Fiscal Tech One em C#/.NET</w:t>
        <w:br/>
        <w:t xml:space="preserve">  |</w:t>
        <w:br/>
        <w:t xml:space="preserve">  v</w:t>
        <w:br/>
        <w:t>SEFAZ / SAT / MFE / Provedores fiscais</w:t>
      </w:r>
    </w:p>
    <w:p>
      <w:pPr>
        <w:pStyle w:val="Heading1"/>
      </w:pPr>
      <w:r>
        <w:t>O Que Sera Reescrito</w:t>
      </w:r>
    </w:p>
    <w:p>
      <w:r>
        <w:t>O ACBrMonitor hoje funciona como um motor fiscal externo. Ele recebe comandos e executa operacoes fiscais, como emissao, cancelamento, inutilizacao, geracao de XML e DANFE.</w:t>
      </w:r>
    </w:p>
    <w:p>
      <w:r>
        <w:t>A reescrita em C# deve recriar essas responsabilidades em um servico proprio.</w:t>
      </w:r>
    </w:p>
    <w:p>
      <w:r>
        <w:t>Escopo funcional esperado:</w:t>
      </w:r>
    </w:p>
    <w:p>
      <w:pPr>
        <w:pStyle w:val="ListBullet"/>
      </w:pPr>
      <w:r>
        <w:t>emissao de NFC-e;</w:t>
      </w:r>
    </w:p>
    <w:p>
      <w:pPr>
        <w:pStyle w:val="ListBullet"/>
      </w:pPr>
      <w:r>
        <w:t>emissao de NF-e, se entrar no escopo;</w:t>
      </w:r>
    </w:p>
    <w:p>
      <w:pPr>
        <w:pStyle w:val="ListBullet"/>
      </w:pPr>
      <w:r>
        <w:t>cancelamento;</w:t>
      </w:r>
    </w:p>
    <w:p>
      <w:pPr>
        <w:pStyle w:val="ListBullet"/>
      </w:pPr>
      <w:r>
        <w:t>inutilizacao de numeracao;</w:t>
      </w:r>
    </w:p>
    <w:p>
      <w:pPr>
        <w:pStyle w:val="ListBullet"/>
      </w:pPr>
      <w:r>
        <w:t>contingencia offline;</w:t>
      </w:r>
    </w:p>
    <w:p>
      <w:pPr>
        <w:pStyle w:val="ListBullet"/>
      </w:pPr>
      <w:r>
        <w:t>transmissao posterior de contingencia;</w:t>
      </w:r>
    </w:p>
    <w:p>
      <w:pPr>
        <w:pStyle w:val="ListBullet"/>
      </w:pPr>
      <w:r>
        <w:t>consulta de status;</w:t>
      </w:r>
    </w:p>
    <w:p>
      <w:pPr>
        <w:pStyle w:val="ListBullet"/>
      </w:pPr>
      <w:r>
        <w:t>geracao e validacao de XML;</w:t>
      </w:r>
    </w:p>
    <w:p>
      <w:pPr>
        <w:pStyle w:val="ListBullet"/>
      </w:pPr>
      <w:r>
        <w:t>assinatura digital;</w:t>
      </w:r>
    </w:p>
    <w:p>
      <w:pPr>
        <w:pStyle w:val="ListBullet"/>
      </w:pPr>
      <w:r>
        <w:t>uso de certificado A1;</w:t>
      </w:r>
    </w:p>
    <w:p>
      <w:pPr>
        <w:pStyle w:val="ListBullet"/>
      </w:pPr>
      <w:r>
        <w:t>avaliacao posterior de certificado A3;</w:t>
      </w:r>
    </w:p>
    <w:p>
      <w:pPr>
        <w:pStyle w:val="ListBullet"/>
      </w:pPr>
      <w:r>
        <w:t>comunicacao com SEFAZ;</w:t>
      </w:r>
    </w:p>
    <w:p>
      <w:pPr>
        <w:pStyle w:val="ListBullet"/>
      </w:pPr>
      <w:r>
        <w:t>geracao de DANFE/PDF;</w:t>
      </w:r>
    </w:p>
    <w:p>
      <w:pPr>
        <w:pStyle w:val="ListBullet"/>
      </w:pPr>
      <w:r>
        <w:t>armazenamento de XML autorizado;</w:t>
      </w:r>
    </w:p>
    <w:p>
      <w:pPr>
        <w:pStyle w:val="ListBullet"/>
      </w:pPr>
      <w:r>
        <w:t>exportacao/download de XML por periodo;</w:t>
      </w:r>
    </w:p>
    <w:p>
      <w:pPr>
        <w:pStyle w:val="ListBullet"/>
      </w:pPr>
      <w:r>
        <w:t>logs fiscais;</w:t>
      </w:r>
    </w:p>
    <w:p>
      <w:pPr>
        <w:pStyle w:val="ListBullet"/>
      </w:pPr>
      <w:r>
        <w:t>auditoria de eventos;</w:t>
      </w:r>
    </w:p>
    <w:p>
      <w:pPr>
        <w:pStyle w:val="ListBullet"/>
      </w:pPr>
      <w:r>
        <w:t>tratamento de rejeicoes SEFAZ;</w:t>
      </w:r>
    </w:p>
    <w:p>
      <w:pPr>
        <w:pStyle w:val="ListBullet"/>
      </w:pPr>
      <w:r>
        <w:t>configuracao fiscal por empresa;</w:t>
      </w:r>
    </w:p>
    <w:p>
      <w:pPr>
        <w:pStyle w:val="ListBullet"/>
      </w:pPr>
      <w:r>
        <w:t>ambiente homologacao/producao;</w:t>
      </w:r>
    </w:p>
    <w:p>
      <w:pPr>
        <w:pStyle w:val="ListBullet"/>
      </w:pPr>
      <w:r>
        <w:t>serie, numero, CSC, id CSC e certificado por empresa.</w:t>
      </w:r>
    </w:p>
    <w:p>
      <w:pPr>
        <w:pStyle w:val="Heading1"/>
      </w:pPr>
      <w:r>
        <w:t>Importante Sobre Licenca</w:t>
      </w:r>
    </w:p>
    <w:p>
      <w:r>
        <w:t>O ACBr e open source, mas nao e recomendado copiar codigo fonte do ACBr para dentro do novo produto sem avaliacao juridica.</w:t>
      </w:r>
    </w:p>
    <w:p>
      <w:r>
        <w:t>A abordagem recomendada e uma **reescrita limpa**:</w:t>
      </w:r>
    </w:p>
    <w:p>
      <w:pPr>
        <w:pStyle w:val="ListBullet"/>
      </w:pPr>
      <w:r>
        <w:t>estudar comportamento e documentacao;</w:t>
      </w:r>
    </w:p>
    <w:p>
      <w:pPr>
        <w:pStyle w:val="ListBullet"/>
      </w:pPr>
      <w:r>
        <w:t>usar documentacao publica da SEFAZ;</w:t>
      </w:r>
    </w:p>
    <w:p>
      <w:pPr>
        <w:pStyle w:val="ListBullet"/>
      </w:pPr>
      <w:r>
        <w:t>usar manuais fiscais oficiais;</w:t>
      </w:r>
    </w:p>
    <w:p>
      <w:pPr>
        <w:pStyle w:val="ListBullet"/>
      </w:pPr>
      <w:r>
        <w:t>criar implementacao propria em C#;</w:t>
      </w:r>
    </w:p>
    <w:p>
      <w:pPr>
        <w:pStyle w:val="ListBullet"/>
      </w:pPr>
      <w:r>
        <w:t>nao copiar classes, funcoes ou trechos de codigo do ACBr;</w:t>
      </w:r>
    </w:p>
    <w:p>
      <w:pPr>
        <w:pStyle w:val="ListBullet"/>
      </w:pPr>
      <w:r>
        <w:t>usar o ACBrMonitor apenas como referencia funcional/comparativa durante testes.</w:t>
      </w:r>
    </w:p>
    <w:p>
      <w:r>
        <w:t>Em resumo:</w:t>
      </w:r>
    </w:p>
    <w:p>
      <w:pPr>
        <w:pStyle w:val="CodeBlock"/>
        <w:spacing w:before="80" w:after="160"/>
        <w:ind w:left="288"/>
      </w:pPr>
      <w:r>
        <w:rPr>
          <w:rFonts w:ascii="Consolas" w:hAnsi="Consolas"/>
          <w:sz w:val="18"/>
        </w:rPr>
        <w:t>Pode reescrever a funcionalidade.</w:t>
        <w:br/>
        <w:t>Nao e recomendado copiar o codigo.</w:t>
      </w:r>
    </w:p>
    <w:p>
      <w:pPr>
        <w:pStyle w:val="Heading1"/>
      </w:pPr>
      <w:r>
        <w:t>Tecnologia Recomendada</w:t>
      </w:r>
    </w:p>
    <w:p>
      <w:pPr>
        <w:pStyle w:val="Heading2"/>
      </w:pPr>
      <w:r>
        <w:t>Linguagem Principal</w:t>
      </w:r>
    </w:p>
    <w:p>
      <w:r>
        <w:t>Recomendacao: **C# com .NET 8 ou superior**.</w:t>
      </w:r>
    </w:p>
    <w:p>
      <w:r>
        <w:t>Motivos:</w:t>
      </w:r>
    </w:p>
    <w:p>
      <w:pPr>
        <w:pStyle w:val="ListBullet"/>
      </w:pPr>
      <w:r>
        <w:t>stack ja alinhada ao PDV WPF;</w:t>
      </w:r>
    </w:p>
    <w:p>
      <w:pPr>
        <w:pStyle w:val="ListBullet"/>
      </w:pPr>
      <w:r>
        <w:t>stack ja alinhada a retaguarda .NET;</w:t>
      </w:r>
    </w:p>
    <w:p>
      <w:pPr>
        <w:pStyle w:val="ListBullet"/>
      </w:pPr>
      <w:r>
        <w:t>bom suporte a APIs;</w:t>
      </w:r>
    </w:p>
    <w:p>
      <w:pPr>
        <w:pStyle w:val="ListBullet"/>
      </w:pPr>
      <w:r>
        <w:t>bom suporte a Windows Service;</w:t>
      </w:r>
    </w:p>
    <w:p>
      <w:pPr>
        <w:pStyle w:val="ListBullet"/>
      </w:pPr>
      <w:r>
        <w:t>bom suporte a Worker Service;</w:t>
      </w:r>
    </w:p>
    <w:p>
      <w:pPr>
        <w:pStyle w:val="ListBullet"/>
      </w:pPr>
      <w:r>
        <w:t>bom suporte a XML;</w:t>
      </w:r>
    </w:p>
    <w:p>
      <w:pPr>
        <w:pStyle w:val="ListBullet"/>
      </w:pPr>
      <w:r>
        <w:t>bom suporte a certificado digital;</w:t>
      </w:r>
    </w:p>
    <w:p>
      <w:pPr>
        <w:pStyle w:val="ListBullet"/>
      </w:pPr>
      <w:r>
        <w:t>bom suporte a criptografia;</w:t>
      </w:r>
    </w:p>
    <w:p>
      <w:pPr>
        <w:pStyle w:val="ListBullet"/>
      </w:pPr>
      <w:r>
        <w:t>boa manutencao pelo time atual;</w:t>
      </w:r>
    </w:p>
    <w:p>
      <w:pPr>
        <w:pStyle w:val="ListBullet"/>
      </w:pPr>
      <w:r>
        <w:t>boa base para logs, filas e observabilidade.</w:t>
      </w:r>
    </w:p>
    <w:p>
      <w:pPr>
        <w:pStyle w:val="Heading2"/>
      </w:pPr>
      <w:r>
        <w:t>Formato Do Novo Produto</w:t>
      </w:r>
    </w:p>
    <w:p>
      <w:r>
        <w:t>O novo ACBrMonitor em C# deve nascer como servico independente.</w:t>
      </w:r>
    </w:p>
    <w:p>
      <w:r>
        <w:t>Componentes sugeridos:</w:t>
      </w:r>
    </w:p>
    <w:p>
      <w:pPr>
        <w:pStyle w:val="CodeBlock"/>
        <w:spacing w:before="80" w:after="160"/>
        <w:ind w:left="288"/>
      </w:pPr>
      <w:r>
        <w:rPr>
          <w:rFonts w:ascii="Consolas" w:hAnsi="Consolas"/>
          <w:sz w:val="18"/>
        </w:rPr>
        <w:t>TechOne.Fiscal.Api</w:t>
        <w:br/>
        <w:t>TechOne.Fiscal.Worker</w:t>
        <w:br/>
        <w:t>TechOne.Fiscal.Domain</w:t>
        <w:br/>
        <w:t>TechOne.Fiscal.Infrastructure</w:t>
        <w:br/>
        <w:t>TechOne.Fiscal.Sefaz</w:t>
        <w:br/>
        <w:t>TechOne.Fiscal.Danfe</w:t>
        <w:br/>
        <w:t>TechOne.Fiscal.Admin</w:t>
      </w:r>
    </w:p>
    <w:p>
      <w:r>
        <w:t>Responsabilidades: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onsolas" w:hAnsi="Consolas"/>
                <w:sz w:val="19"/>
              </w:rPr>
              <w:t>Fiscal.Api</w:t>
            </w:r>
          </w:p>
        </w:tc>
        <w:tc>
          <w:tcPr>
            <w:tcW w:type="dxa" w:w="4968"/>
            <w:vAlign w:val="center"/>
          </w:tcPr>
          <w:p>
            <w:r>
              <w:t>API consumida por PDV, retaguarda e sistemas externos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onsolas" w:hAnsi="Consolas"/>
                <w:sz w:val="19"/>
              </w:rPr>
              <w:t>Fiscal.Worker</w:t>
            </w:r>
          </w:p>
        </w:tc>
        <w:tc>
          <w:tcPr>
            <w:tcW w:type="dxa" w:w="4968"/>
            <w:vAlign w:val="center"/>
          </w:tcPr>
          <w:p>
            <w:r>
              <w:t>fila, processamento, retry e contingencia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onsolas" w:hAnsi="Consolas"/>
                <w:sz w:val="19"/>
              </w:rPr>
              <w:t>Fiscal.Domain</w:t>
            </w:r>
          </w:p>
        </w:tc>
        <w:tc>
          <w:tcPr>
            <w:tcW w:type="dxa" w:w="4968"/>
            <w:vAlign w:val="center"/>
          </w:tcPr>
          <w:p>
            <w:r>
              <w:t>modelos fiscais, regras e validacoes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onsolas" w:hAnsi="Consolas"/>
                <w:sz w:val="19"/>
              </w:rPr>
              <w:t>Fiscal.Infrastructure</w:t>
            </w:r>
          </w:p>
        </w:tc>
        <w:tc>
          <w:tcPr>
            <w:tcW w:type="dxa" w:w="4968"/>
            <w:vAlign w:val="center"/>
          </w:tcPr>
          <w:p>
            <w:r>
              <w:t>banco, arquivos, certificados, storage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onsolas" w:hAnsi="Consolas"/>
                <w:sz w:val="19"/>
              </w:rPr>
              <w:t>Fiscal.Sefaz</w:t>
            </w:r>
          </w:p>
        </w:tc>
        <w:tc>
          <w:tcPr>
            <w:tcW w:type="dxa" w:w="4968"/>
            <w:vAlign w:val="center"/>
          </w:tcPr>
          <w:p>
            <w:r>
              <w:t>comunicacao com webservices da SEFAZ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onsolas" w:hAnsi="Consolas"/>
                <w:sz w:val="19"/>
              </w:rPr>
              <w:t>Fiscal.Danfe</w:t>
            </w:r>
          </w:p>
        </w:tc>
        <w:tc>
          <w:tcPr>
            <w:tcW w:type="dxa" w:w="4968"/>
            <w:vAlign w:val="center"/>
          </w:tcPr>
          <w:p>
            <w:r>
              <w:t>geracao de DANFE/PDF/impressao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onsolas" w:hAnsi="Consolas"/>
                <w:sz w:val="19"/>
              </w:rPr>
              <w:t>Fiscal.Admin</w:t>
            </w:r>
          </w:p>
        </w:tc>
        <w:tc>
          <w:tcPr>
            <w:tcW w:type="dxa" w:w="4968"/>
            <w:vAlign w:val="center"/>
          </w:tcPr>
          <w:p>
            <w:r>
              <w:t>painel de configuracao e diagnostico</w:t>
            </w:r>
          </w:p>
        </w:tc>
      </w:tr>
    </w:tbl>
    <w:p/>
    <w:p>
      <w:pPr>
        <w:pStyle w:val="Heading1"/>
      </w:pPr>
      <w:r>
        <w:t>Arquitetura Proposta</w:t>
      </w:r>
    </w:p>
    <w:p>
      <w:r>
        <w:t>Fluxo de emissao:</w:t>
      </w:r>
    </w:p>
    <w:p>
      <w:pPr>
        <w:pStyle w:val="CodeBlock"/>
        <w:spacing w:before="80" w:after="160"/>
        <w:ind w:left="288"/>
      </w:pPr>
      <w:r>
        <w:rPr>
          <w:rFonts w:ascii="Consolas" w:hAnsi="Consolas"/>
          <w:sz w:val="18"/>
        </w:rPr>
        <w:t>PDV envia venda</w:t>
        <w:br/>
        <w:t xml:space="preserve">  |</w:t>
        <w:br/>
        <w:t xml:space="preserve">  v</w:t>
        <w:br/>
        <w:t>Servico Fiscal recebe requisicao</w:t>
        <w:br/>
        <w:t xml:space="preserve">  |</w:t>
        <w:br/>
        <w:t xml:space="preserve">  v</w:t>
        <w:br/>
        <w:t>Valida dados fiscais</w:t>
        <w:br/>
        <w:t xml:space="preserve">  |</w:t>
        <w:br/>
        <w:t xml:space="preserve">  v</w:t>
        <w:br/>
        <w:t>Monta XML NFC-e/NF-e</w:t>
        <w:br/>
        <w:t xml:space="preserve">  |</w:t>
        <w:br/>
        <w:t xml:space="preserve">  v</w:t>
        <w:br/>
        <w:t>Assina XML com certificado</w:t>
        <w:br/>
        <w:t xml:space="preserve">  |</w:t>
        <w:br/>
        <w:t xml:space="preserve">  v</w:t>
        <w:br/>
        <w:t>Envia para SEFAZ</w:t>
        <w:br/>
        <w:t xml:space="preserve">  |</w:t>
        <w:br/>
        <w:t xml:space="preserve">  v</w:t>
        <w:br/>
        <w:t>Recebe autorizacao/rejeicao</w:t>
        <w:br/>
        <w:t xml:space="preserve">  |</w:t>
        <w:br/>
        <w:t xml:space="preserve">  v</w:t>
        <w:br/>
        <w:t>Armazena XML/protocolo</w:t>
        <w:br/>
        <w:t xml:space="preserve">  |</w:t>
        <w:br/>
        <w:t xml:space="preserve">  v</w:t>
        <w:br/>
        <w:t>Gera DANFE/PDF</w:t>
        <w:br/>
        <w:t xml:space="preserve">  |</w:t>
        <w:br/>
        <w:t xml:space="preserve">  v</w:t>
        <w:br/>
        <w:t>Retorna resultado ao PDV</w:t>
      </w:r>
    </w:p>
    <w:p>
      <w:r>
        <w:t>Fluxo de contingencia:</w:t>
      </w:r>
    </w:p>
    <w:p>
      <w:pPr>
        <w:pStyle w:val="CodeBlock"/>
        <w:spacing w:before="80" w:after="160"/>
        <w:ind w:left="288"/>
      </w:pPr>
      <w:r>
        <w:rPr>
          <w:rFonts w:ascii="Consolas" w:hAnsi="Consolas"/>
          <w:sz w:val="18"/>
        </w:rPr>
        <w:t>PDV solicita emissao</w:t>
        <w:br/>
        <w:t xml:space="preserve">  |</w:t>
        <w:br/>
        <w:t xml:space="preserve">  v</w:t>
        <w:br/>
        <w:t>Servico Fiscal identifica falha SEFAZ/internet</w:t>
        <w:br/>
        <w:t xml:space="preserve">  |</w:t>
        <w:br/>
        <w:t xml:space="preserve">  v</w:t>
        <w:br/>
        <w:t>Gera NFC-e em contingencia</w:t>
        <w:br/>
        <w:t xml:space="preserve">  |</w:t>
        <w:br/>
        <w:t xml:space="preserve">  v</w:t>
        <w:br/>
        <w:t>Armazena pendencia fiscal</w:t>
        <w:br/>
        <w:t xml:space="preserve">  |</w:t>
        <w:br/>
        <w:t xml:space="preserve">  v</w:t>
        <w:br/>
        <w:t>Imprime DANFE em contingencia</w:t>
        <w:br/>
        <w:t xml:space="preserve">  |</w:t>
        <w:br/>
        <w:t xml:space="preserve">  v</w:t>
        <w:br/>
        <w:t>Worker tenta transmitir depois</w:t>
      </w:r>
    </w:p>
    <w:p>
      <w:pPr>
        <w:pStyle w:val="Heading1"/>
      </w:pPr>
      <w:r>
        <w:t>Comparativo Com O ACBrMonitor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ACBrMonitor atual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Novo servico C#</w:t>
            </w:r>
          </w:p>
        </w:tc>
      </w:tr>
      <w:tr>
        <w:tc>
          <w:tcPr>
            <w:tcW w:type="dxa" w:w="3312"/>
            <w:vAlign w:val="center"/>
          </w:tcPr>
          <w:p>
            <w:r>
              <w:t>Tecnologia</w:t>
            </w:r>
          </w:p>
        </w:tc>
        <w:tc>
          <w:tcPr>
            <w:tcW w:type="dxa" w:w="3312"/>
            <w:vAlign w:val="center"/>
          </w:tcPr>
          <w:p>
            <w:r>
              <w:t>Delphi/Lazarus Object Pascal</w:t>
            </w:r>
          </w:p>
        </w:tc>
        <w:tc>
          <w:tcPr>
            <w:tcW w:type="dxa" w:w="3312"/>
            <w:vAlign w:val="center"/>
          </w:tcPr>
          <w:p>
            <w:r>
              <w:t>C#/.NET</w:t>
            </w:r>
          </w:p>
        </w:tc>
      </w:tr>
      <w:tr>
        <w:tc>
          <w:tcPr>
            <w:tcW w:type="dxa" w:w="3312"/>
            <w:vAlign w:val="center"/>
          </w:tcPr>
          <w:p>
            <w:r>
              <w:t>Operacao</w:t>
            </w:r>
          </w:p>
        </w:tc>
        <w:tc>
          <w:tcPr>
            <w:tcW w:type="dxa" w:w="3312"/>
            <w:vAlign w:val="center"/>
          </w:tcPr>
          <w:p>
            <w:r>
              <w:t>App externo com TXT/socket</w:t>
            </w:r>
          </w:p>
        </w:tc>
        <w:tc>
          <w:tcPr>
            <w:tcW w:type="dxa" w:w="3312"/>
            <w:vAlign w:val="center"/>
          </w:tcPr>
          <w:p>
            <w:r>
              <w:t>API/Worker/Service</w:t>
            </w:r>
          </w:p>
        </w:tc>
      </w:tr>
      <w:tr>
        <w:tc>
          <w:tcPr>
            <w:tcW w:type="dxa" w:w="3312"/>
            <w:vAlign w:val="center"/>
          </w:tcPr>
          <w:p>
            <w:r>
              <w:t>Integracao</w:t>
            </w:r>
          </w:p>
        </w:tc>
        <w:tc>
          <w:tcPr>
            <w:tcW w:type="dxa" w:w="3312"/>
            <w:vAlign w:val="center"/>
          </w:tcPr>
          <w:p>
            <w:r>
              <w:t>Arquivo texto, socket ou comandos</w:t>
            </w:r>
          </w:p>
        </w:tc>
        <w:tc>
          <w:tcPr>
            <w:tcW w:type="dxa" w:w="3312"/>
            <w:vAlign w:val="center"/>
          </w:tcPr>
          <w:p>
            <w:r>
              <w:t>REST/gRPC/fila</w:t>
            </w:r>
          </w:p>
        </w:tc>
      </w:tr>
      <w:tr>
        <w:tc>
          <w:tcPr>
            <w:tcW w:type="dxa" w:w="3312"/>
            <w:vAlign w:val="center"/>
          </w:tcPr>
          <w:p>
            <w:r>
              <w:t>Logs</w:t>
            </w:r>
          </w:p>
        </w:tc>
        <w:tc>
          <w:tcPr>
            <w:tcW w:type="dxa" w:w="3312"/>
            <w:vAlign w:val="center"/>
          </w:tcPr>
          <w:p>
            <w:r>
              <w:t>Arquivos e retorno do monitor</w:t>
            </w:r>
          </w:p>
        </w:tc>
        <w:tc>
          <w:tcPr>
            <w:tcW w:type="dxa" w:w="3312"/>
            <w:vAlign w:val="center"/>
          </w:tcPr>
          <w:p>
            <w:r>
              <w:t>Logs estruturados e auditoria</w:t>
            </w:r>
          </w:p>
        </w:tc>
      </w:tr>
      <w:tr>
        <w:tc>
          <w:tcPr>
            <w:tcW w:type="dxa" w:w="3312"/>
            <w:vAlign w:val="center"/>
          </w:tcPr>
          <w:p>
            <w:r>
              <w:t>Deploy</w:t>
            </w:r>
          </w:p>
        </w:tc>
        <w:tc>
          <w:tcPr>
            <w:tcW w:type="dxa" w:w="3312"/>
            <w:vAlign w:val="center"/>
          </w:tcPr>
          <w:p>
            <w:r>
              <w:t>Instalador/app local</w:t>
            </w:r>
          </w:p>
        </w:tc>
        <w:tc>
          <w:tcPr>
            <w:tcW w:type="dxa" w:w="3312"/>
            <w:vAlign w:val="center"/>
          </w:tcPr>
          <w:p>
            <w:r>
              <w:t>Servico Windows, container ou servidor</w:t>
            </w:r>
          </w:p>
        </w:tc>
      </w:tr>
      <w:tr>
        <w:tc>
          <w:tcPr>
            <w:tcW w:type="dxa" w:w="3312"/>
            <w:vAlign w:val="center"/>
          </w:tcPr>
          <w:p>
            <w:r>
              <w:t>Manutencao</w:t>
            </w:r>
          </w:p>
        </w:tc>
        <w:tc>
          <w:tcPr>
            <w:tcW w:type="dxa" w:w="3312"/>
            <w:vAlign w:val="center"/>
          </w:tcPr>
          <w:p>
            <w:r>
              <w:t>Depende do ecossistema ACBr</w:t>
            </w:r>
          </w:p>
        </w:tc>
        <w:tc>
          <w:tcPr>
            <w:tcW w:type="dxa" w:w="3312"/>
            <w:vAlign w:val="center"/>
          </w:tcPr>
          <w:p>
            <w:r>
              <w:t>Time Tech One</w:t>
            </w:r>
          </w:p>
        </w:tc>
      </w:tr>
      <w:tr>
        <w:tc>
          <w:tcPr>
            <w:tcW w:type="dxa" w:w="3312"/>
            <w:vAlign w:val="center"/>
          </w:tcPr>
          <w:p>
            <w:r>
              <w:t>Fiscal</w:t>
            </w:r>
          </w:p>
        </w:tc>
        <w:tc>
          <w:tcPr>
            <w:tcW w:type="dxa" w:w="3312"/>
            <w:vAlign w:val="center"/>
          </w:tcPr>
          <w:p>
            <w:r>
              <w:t>Ja maduro</w:t>
            </w:r>
          </w:p>
        </w:tc>
        <w:tc>
          <w:tcPr>
            <w:tcW w:type="dxa" w:w="3312"/>
            <w:vAlign w:val="center"/>
          </w:tcPr>
          <w:p>
            <w:r>
              <w:t>Precisa ser implementado e homologado</w:t>
            </w:r>
          </w:p>
        </w:tc>
      </w:tr>
      <w:tr>
        <w:tc>
          <w:tcPr>
            <w:tcW w:type="dxa" w:w="3312"/>
            <w:vAlign w:val="center"/>
          </w:tcPr>
          <w:p>
            <w:r>
              <w:t>Risco inicial</w:t>
            </w:r>
          </w:p>
        </w:tc>
        <w:tc>
          <w:tcPr>
            <w:tcW w:type="dxa" w:w="3312"/>
            <w:vAlign w:val="center"/>
          </w:tcPr>
          <w:p>
            <w:r>
              <w:t>Baixo, por ja existir</w:t>
            </w:r>
          </w:p>
        </w:tc>
        <w:tc>
          <w:tcPr>
            <w:tcW w:type="dxa" w:w="3312"/>
            <w:vAlign w:val="center"/>
          </w:tcPr>
          <w:p>
            <w:r>
              <w:t>Alto, por reescrita fiscal</w:t>
            </w:r>
          </w:p>
        </w:tc>
      </w:tr>
    </w:tbl>
    <w:p/>
    <w:p>
      <w:pPr>
        <w:pStyle w:val="Heading1"/>
      </w:pPr>
      <w:r>
        <w:t>Escopo Minimo Para MVP</w:t>
      </w:r>
    </w:p>
    <w:p>
      <w:r>
        <w:t>Para uma primeira versao utilizavel, o escopo deve ser limitado.</w:t>
      </w:r>
    </w:p>
    <w:p>
      <w:r>
        <w:t>Recomendacao de MVP:</w:t>
      </w:r>
    </w:p>
    <w:p>
      <w:pPr>
        <w:pStyle w:val="ListBullet"/>
      </w:pPr>
      <w:r>
        <w:t>NFC-e modelo 65;</w:t>
      </w:r>
    </w:p>
    <w:p>
      <w:pPr>
        <w:pStyle w:val="ListBullet"/>
      </w:pPr>
      <w:r>
        <w:t>certificado A1;</w:t>
      </w:r>
    </w:p>
    <w:p>
      <w:pPr>
        <w:pStyle w:val="ListBullet"/>
      </w:pPr>
      <w:r>
        <w:t>ambiente de homologacao e producao;</w:t>
      </w:r>
    </w:p>
    <w:p>
      <w:pPr>
        <w:pStyle w:val="ListBullet"/>
      </w:pPr>
      <w:r>
        <w:t>emissao normal;</w:t>
      </w:r>
    </w:p>
    <w:p>
      <w:pPr>
        <w:pStyle w:val="ListBullet"/>
      </w:pPr>
      <w:r>
        <w:t>cancelamento;</w:t>
      </w:r>
    </w:p>
    <w:p>
      <w:pPr>
        <w:pStyle w:val="ListBullet"/>
      </w:pPr>
      <w:r>
        <w:t>inutilizacao;</w:t>
      </w:r>
    </w:p>
    <w:p>
      <w:pPr>
        <w:pStyle w:val="ListBullet"/>
      </w:pPr>
      <w:r>
        <w:t>DANFE NFC-e;</w:t>
      </w:r>
    </w:p>
    <w:p>
      <w:pPr>
        <w:pStyle w:val="ListBullet"/>
      </w:pPr>
      <w:r>
        <w:t>XML autorizado;</w:t>
      </w:r>
    </w:p>
    <w:p>
      <w:pPr>
        <w:pStyle w:val="ListBullet"/>
      </w:pPr>
      <w:r>
        <w:t>consulta de status;</w:t>
      </w:r>
    </w:p>
    <w:p>
      <w:pPr>
        <w:pStyle w:val="ListBullet"/>
      </w:pPr>
      <w:r>
        <w:t>logs;</w:t>
      </w:r>
    </w:p>
    <w:p>
      <w:pPr>
        <w:pStyle w:val="ListBullet"/>
      </w:pPr>
      <w:r>
        <w:t>tratamento de rejeicoes mais comuns;</w:t>
      </w:r>
    </w:p>
    <w:p>
      <w:pPr>
        <w:pStyle w:val="ListBullet"/>
      </w:pPr>
      <w:r>
        <w:t>contingencia offline;</w:t>
      </w:r>
    </w:p>
    <w:p>
      <w:pPr>
        <w:pStyle w:val="ListBullet"/>
      </w:pPr>
      <w:r>
        <w:t>transmissao posterior de contingencia.</w:t>
      </w:r>
    </w:p>
    <w:p>
      <w:r>
        <w:t>Fora do MVP:</w:t>
      </w:r>
    </w:p>
    <w:p>
      <w:pPr>
        <w:pStyle w:val="ListBullet"/>
      </w:pPr>
      <w:r>
        <w:t>NF-e completa modelo 55;</w:t>
      </w:r>
    </w:p>
    <w:p>
      <w:pPr>
        <w:pStyle w:val="ListBullet"/>
      </w:pPr>
      <w:r>
        <w:t>SAT;</w:t>
      </w:r>
    </w:p>
    <w:p>
      <w:pPr>
        <w:pStyle w:val="ListBullet"/>
      </w:pPr>
      <w:r>
        <w:t>MFE;</w:t>
      </w:r>
    </w:p>
    <w:p>
      <w:pPr>
        <w:pStyle w:val="ListBullet"/>
      </w:pPr>
      <w:r>
        <w:t>NFS-e;</w:t>
      </w:r>
    </w:p>
    <w:p>
      <w:pPr>
        <w:pStyle w:val="ListBullet"/>
      </w:pPr>
      <w:r>
        <w:t>CT-e;</w:t>
      </w:r>
    </w:p>
    <w:p>
      <w:pPr>
        <w:pStyle w:val="ListBullet"/>
      </w:pPr>
      <w:r>
        <w:t>MDF-e;</w:t>
      </w:r>
    </w:p>
    <w:p>
      <w:pPr>
        <w:pStyle w:val="ListBullet"/>
      </w:pPr>
      <w:r>
        <w:t>certificado A3;</w:t>
      </w:r>
    </w:p>
    <w:p>
      <w:pPr>
        <w:pStyle w:val="ListBullet"/>
      </w:pPr>
      <w:r>
        <w:t>multiplos provedores municipais;</w:t>
      </w:r>
    </w:p>
    <w:p>
      <w:pPr>
        <w:pStyle w:val="ListBullet"/>
      </w:pPr>
      <w:r>
        <w:t>todos os cenarios de importacao/exportacao/combustivel/medicamento/veiculo.</w:t>
      </w:r>
    </w:p>
    <w:p>
      <w:pPr>
        <w:pStyle w:val="Heading1"/>
      </w:pPr>
      <w:r>
        <w:t>Estimativa De Tempo</w:t>
      </w:r>
    </w:p>
    <w:p>
      <w:pPr>
        <w:pStyle w:val="Heading2"/>
      </w:pPr>
      <w:r>
        <w:t>Cenario 1 - MVP NFC-e Em C# Para Homologacao</w:t>
      </w:r>
    </w:p>
    <w:p>
      <w:r>
        <w:t>Prazo estimado: **3 a 4 meses**.</w:t>
      </w:r>
    </w:p>
    <w:p>
      <w:r>
        <w:t>Entregas:</w:t>
      </w:r>
    </w:p>
    <w:p>
      <w:pPr>
        <w:pStyle w:val="ListBullet"/>
      </w:pPr>
      <w:r>
        <w:t>estrutura do servico fiscal;</w:t>
      </w:r>
    </w:p>
    <w:p>
      <w:pPr>
        <w:pStyle w:val="ListBullet"/>
      </w:pPr>
      <w:r>
        <w:t>API de emissao;</w:t>
      </w:r>
    </w:p>
    <w:p>
      <w:pPr>
        <w:pStyle w:val="ListBullet"/>
      </w:pPr>
      <w:r>
        <w:t>modelo base NFC-e;</w:t>
      </w:r>
    </w:p>
    <w:p>
      <w:pPr>
        <w:pStyle w:val="ListBullet"/>
      </w:pPr>
      <w:r>
        <w:t>geracao XML;</w:t>
      </w:r>
    </w:p>
    <w:p>
      <w:pPr>
        <w:pStyle w:val="ListBullet"/>
      </w:pPr>
      <w:r>
        <w:t>assinatura com certificado A1;</w:t>
      </w:r>
    </w:p>
    <w:p>
      <w:pPr>
        <w:pStyle w:val="ListBullet"/>
      </w:pPr>
      <w:r>
        <w:t>envio para ambiente de homologacao;</w:t>
      </w:r>
    </w:p>
    <w:p>
      <w:pPr>
        <w:pStyle w:val="ListBullet"/>
      </w:pPr>
      <w:r>
        <w:t>retorno de autorizacao/rejeicao;</w:t>
      </w:r>
    </w:p>
    <w:p>
      <w:pPr>
        <w:pStyle w:val="ListBullet"/>
      </w:pPr>
      <w:r>
        <w:t>armazenamento de XML;</w:t>
      </w:r>
    </w:p>
    <w:p>
      <w:pPr>
        <w:pStyle w:val="ListBullet"/>
      </w:pPr>
      <w:r>
        <w:t>DANFE simples;</w:t>
      </w:r>
    </w:p>
    <w:p>
      <w:pPr>
        <w:pStyle w:val="ListBullet"/>
      </w:pPr>
      <w:r>
        <w:t>logs basicos;</w:t>
      </w:r>
    </w:p>
    <w:p>
      <w:pPr>
        <w:pStyle w:val="ListBullet"/>
      </w:pPr>
      <w:r>
        <w:t>primeiros testes com SEFAZ homologacao.</w:t>
      </w:r>
    </w:p>
    <w:p>
      <w:r>
        <w:t>Risco: medio/alto.</w:t>
      </w:r>
    </w:p>
    <w:p>
      <w:pPr>
        <w:pStyle w:val="Heading2"/>
      </w:pPr>
      <w:r>
        <w:t>Cenario 2 - MVP NFC-e Pronto Para Piloto Em Producao</w:t>
      </w:r>
    </w:p>
    <w:p>
      <w:r>
        <w:t>Prazo estimado: **6 a 9 meses**.</w:t>
      </w:r>
    </w:p>
    <w:p>
      <w:r>
        <w:t>Entregas:</w:t>
      </w:r>
    </w:p>
    <w:p>
      <w:pPr>
        <w:pStyle w:val="ListBullet"/>
      </w:pPr>
      <w:r>
        <w:t>emissao NFC-e em producao;</w:t>
      </w:r>
    </w:p>
    <w:p>
      <w:pPr>
        <w:pStyle w:val="ListBullet"/>
      </w:pPr>
      <w:r>
        <w:t>cancelamento;</w:t>
      </w:r>
    </w:p>
    <w:p>
      <w:pPr>
        <w:pStyle w:val="ListBullet"/>
      </w:pPr>
      <w:r>
        <w:t>inutilizacao;</w:t>
      </w:r>
    </w:p>
    <w:p>
      <w:pPr>
        <w:pStyle w:val="ListBullet"/>
      </w:pPr>
      <w:r>
        <w:t>contingencia;</w:t>
      </w:r>
    </w:p>
    <w:p>
      <w:pPr>
        <w:pStyle w:val="ListBullet"/>
      </w:pPr>
      <w:r>
        <w:t>transmissao posterior;</w:t>
      </w:r>
    </w:p>
    <w:p>
      <w:pPr>
        <w:pStyle w:val="ListBullet"/>
      </w:pPr>
      <w:r>
        <w:t>DANFE adequado;</w:t>
      </w:r>
    </w:p>
    <w:p>
      <w:pPr>
        <w:pStyle w:val="ListBullet"/>
      </w:pPr>
      <w:r>
        <w:t>tratamento de rejeicoes comuns;</w:t>
      </w:r>
    </w:p>
    <w:p>
      <w:pPr>
        <w:pStyle w:val="ListBullet"/>
      </w:pPr>
      <w:r>
        <w:t>auditoria;</w:t>
      </w:r>
    </w:p>
    <w:p>
      <w:pPr>
        <w:pStyle w:val="ListBullet"/>
      </w:pPr>
      <w:r>
        <w:t>painel de acompanhamento;</w:t>
      </w:r>
    </w:p>
    <w:p>
      <w:pPr>
        <w:pStyle w:val="ListBullet"/>
      </w:pPr>
      <w:r>
        <w:t>configuracao por empresa;</w:t>
      </w:r>
    </w:p>
    <w:p>
      <w:pPr>
        <w:pStyle w:val="ListBullet"/>
      </w:pPr>
      <w:r>
        <w:t>testes manuais e automatizados;</w:t>
      </w:r>
    </w:p>
    <w:p>
      <w:pPr>
        <w:pStyle w:val="ListBullet"/>
      </w:pPr>
      <w:r>
        <w:t>piloto controlado com poucos clientes.</w:t>
      </w:r>
    </w:p>
    <w:p>
      <w:r>
        <w:t>Risco: alto.</w:t>
      </w:r>
    </w:p>
    <w:p>
      <w:pPr>
        <w:pStyle w:val="Heading2"/>
      </w:pPr>
      <w:r>
        <w:t>Cenario 3 - Substituto Robusto Do ACBrMonitor Para NFC-e</w:t>
      </w:r>
    </w:p>
    <w:p>
      <w:r>
        <w:t>Prazo estimado: **9 a 12 meses**.</w:t>
      </w:r>
    </w:p>
    <w:p>
      <w:r>
        <w:t>Entregas:</w:t>
      </w:r>
    </w:p>
    <w:p>
      <w:pPr>
        <w:pStyle w:val="ListBullet"/>
      </w:pPr>
      <w:r>
        <w:t>NFC-e madura;</w:t>
      </w:r>
    </w:p>
    <w:p>
      <w:pPr>
        <w:pStyle w:val="ListBullet"/>
      </w:pPr>
      <w:r>
        <w:t>operacao multiempresa;</w:t>
      </w:r>
    </w:p>
    <w:p>
      <w:pPr>
        <w:pStyle w:val="ListBullet"/>
      </w:pPr>
      <w:r>
        <w:t>logs e suporte;</w:t>
      </w:r>
    </w:p>
    <w:p>
      <w:pPr>
        <w:pStyle w:val="ListBullet"/>
      </w:pPr>
      <w:r>
        <w:t>contingencia robusta;</w:t>
      </w:r>
    </w:p>
    <w:p>
      <w:pPr>
        <w:pStyle w:val="ListBullet"/>
      </w:pPr>
      <w:r>
        <w:t>compatibilidade com varios estados;</w:t>
      </w:r>
    </w:p>
    <w:p>
      <w:pPr>
        <w:pStyle w:val="ListBullet"/>
      </w:pPr>
      <w:r>
        <w:t>validacoes fiscais mais completas;</w:t>
      </w:r>
    </w:p>
    <w:p>
      <w:pPr>
        <w:pStyle w:val="ListBullet"/>
      </w:pPr>
      <w:r>
        <w:t>monitoramento;</w:t>
      </w:r>
    </w:p>
    <w:p>
      <w:pPr>
        <w:pStyle w:val="ListBullet"/>
      </w:pPr>
      <w:r>
        <w:t>suporte a atualizacoes fiscais;</w:t>
      </w:r>
    </w:p>
    <w:p>
      <w:pPr>
        <w:pStyle w:val="ListBullet"/>
      </w:pPr>
      <w:r>
        <w:t>documentacao operacional;</w:t>
      </w:r>
    </w:p>
    <w:p>
      <w:pPr>
        <w:pStyle w:val="ListBullet"/>
      </w:pPr>
      <w:r>
        <w:t>processo de homologacao interna.</w:t>
      </w:r>
    </w:p>
    <w:p>
      <w:r>
        <w:t>Risco: alto.</w:t>
      </w:r>
    </w:p>
    <w:p>
      <w:pPr>
        <w:pStyle w:val="Heading2"/>
      </w:pPr>
      <w:r>
        <w:t>Cenario 4 - Substituto Amplo Do ACBrMonitor</w:t>
      </w:r>
    </w:p>
    <w:p>
      <w:r>
        <w:t>Prazo estimado: **18 a 30 meses ou mais**.</w:t>
      </w:r>
    </w:p>
    <w:p>
      <w:r>
        <w:t>Escopo:</w:t>
      </w:r>
    </w:p>
    <w:p>
      <w:pPr>
        <w:pStyle w:val="ListBullet"/>
      </w:pPr>
      <w:r>
        <w:t>NFC-e;</w:t>
      </w:r>
    </w:p>
    <w:p>
      <w:pPr>
        <w:pStyle w:val="ListBullet"/>
      </w:pPr>
      <w:r>
        <w:t>NF-e;</w:t>
      </w:r>
    </w:p>
    <w:p>
      <w:pPr>
        <w:pStyle w:val="ListBullet"/>
      </w:pPr>
      <w:r>
        <w:t>SAT;</w:t>
      </w:r>
    </w:p>
    <w:p>
      <w:pPr>
        <w:pStyle w:val="ListBullet"/>
      </w:pPr>
      <w:r>
        <w:t>MFE;</w:t>
      </w:r>
    </w:p>
    <w:p>
      <w:pPr>
        <w:pStyle w:val="ListBullet"/>
      </w:pPr>
      <w:r>
        <w:t>NFS-e;</w:t>
      </w:r>
    </w:p>
    <w:p>
      <w:pPr>
        <w:pStyle w:val="ListBullet"/>
      </w:pPr>
      <w:r>
        <w:t>CT-e;</w:t>
      </w:r>
    </w:p>
    <w:p>
      <w:pPr>
        <w:pStyle w:val="ListBullet"/>
      </w:pPr>
      <w:r>
        <w:t>MDF-e;</w:t>
      </w:r>
    </w:p>
    <w:p>
      <w:pPr>
        <w:pStyle w:val="ListBullet"/>
      </w:pPr>
      <w:r>
        <w:t>distribuicao de documentos fiscais;</w:t>
      </w:r>
    </w:p>
    <w:p>
      <w:pPr>
        <w:pStyle w:val="ListBullet"/>
      </w:pPr>
      <w:r>
        <w:t>certificado A1 e A3;</w:t>
      </w:r>
    </w:p>
    <w:p>
      <w:pPr>
        <w:pStyle w:val="ListBullet"/>
      </w:pPr>
      <w:r>
        <w:t>multiplas UFs;</w:t>
      </w:r>
    </w:p>
    <w:p>
      <w:pPr>
        <w:pStyle w:val="ListBullet"/>
      </w:pPr>
      <w:r>
        <w:t>multiplos provedores;</w:t>
      </w:r>
    </w:p>
    <w:p>
      <w:pPr>
        <w:pStyle w:val="ListBullet"/>
      </w:pPr>
      <w:r>
        <w:t>rotinas fiscais avancadas.</w:t>
      </w:r>
    </w:p>
    <w:p>
      <w:r>
        <w:t>Risco: muito alto.</w:t>
      </w:r>
    </w:p>
    <w:p>
      <w:pPr>
        <w:pStyle w:val="Heading1"/>
      </w:pPr>
      <w:r>
        <w:t>Estimativa Por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Descricao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Prazo</w:t>
            </w:r>
          </w:p>
        </w:tc>
      </w:tr>
      <w:tr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Discovery fiscal e desenho tecnico</w:t>
            </w:r>
          </w:p>
        </w:tc>
        <w:tc>
          <w:tcPr>
            <w:tcW w:type="dxa" w:w="3312"/>
            <w:vAlign w:val="center"/>
          </w:tcPr>
          <w:p>
            <w:r>
              <w:t>2 a 4 semanas</w:t>
            </w:r>
          </w:p>
        </w:tc>
      </w:tr>
      <w:tr>
        <w:tc>
          <w:tcPr>
            <w:tcW w:type="dxa" w:w="3312"/>
            <w:vAlign w:val="center"/>
          </w:tcPr>
          <w:p>
            <w:r>
              <w:t>2</w:t>
            </w:r>
          </w:p>
        </w:tc>
        <w:tc>
          <w:tcPr>
            <w:tcW w:type="dxa" w:w="3312"/>
            <w:vAlign w:val="center"/>
          </w:tcPr>
          <w:p>
            <w:r>
              <w:t>Arquitetura do servico fiscal C#</w:t>
            </w:r>
          </w:p>
        </w:tc>
        <w:tc>
          <w:tcPr>
            <w:tcW w:type="dxa" w:w="3312"/>
            <w:vAlign w:val="center"/>
          </w:tcPr>
          <w:p>
            <w:r>
              <w:t>2 a 3 semanas</w:t>
            </w:r>
          </w:p>
        </w:tc>
      </w:tr>
      <w:tr>
        <w:tc>
          <w:tcPr>
            <w:tcW w:type="dxa" w:w="3312"/>
            <w:vAlign w:val="center"/>
          </w:tcPr>
          <w:p>
            <w:r>
              <w:t>3</w:t>
            </w:r>
          </w:p>
        </w:tc>
        <w:tc>
          <w:tcPr>
            <w:tcW w:type="dxa" w:w="3312"/>
            <w:vAlign w:val="center"/>
          </w:tcPr>
          <w:p>
            <w:r>
              <w:t>Modelagem NFC-e e XML base</w:t>
            </w:r>
          </w:p>
        </w:tc>
        <w:tc>
          <w:tcPr>
            <w:tcW w:type="dxa" w:w="3312"/>
            <w:vAlign w:val="center"/>
          </w:tcPr>
          <w:p>
            <w:r>
              <w:t>4 a 6 semanas</w:t>
            </w:r>
          </w:p>
        </w:tc>
      </w:tr>
      <w:tr>
        <w:tc>
          <w:tcPr>
            <w:tcW w:type="dxa" w:w="3312"/>
            <w:vAlign w:val="center"/>
          </w:tcPr>
          <w:p>
            <w:r>
              <w:t>4</w:t>
            </w:r>
          </w:p>
        </w:tc>
        <w:tc>
          <w:tcPr>
            <w:tcW w:type="dxa" w:w="3312"/>
            <w:vAlign w:val="center"/>
          </w:tcPr>
          <w:p>
            <w:r>
              <w:t>Assinatura digital e certificado A1</w:t>
            </w:r>
          </w:p>
        </w:tc>
        <w:tc>
          <w:tcPr>
            <w:tcW w:type="dxa" w:w="3312"/>
            <w:vAlign w:val="center"/>
          </w:tcPr>
          <w:p>
            <w:r>
              <w:t>3 a 5 semanas</w:t>
            </w:r>
          </w:p>
        </w:tc>
      </w:tr>
      <w:tr>
        <w:tc>
          <w:tcPr>
            <w:tcW w:type="dxa" w:w="3312"/>
            <w:vAlign w:val="center"/>
          </w:tcPr>
          <w:p>
            <w:r>
              <w:t>5</w:t>
            </w:r>
          </w:p>
        </w:tc>
        <w:tc>
          <w:tcPr>
            <w:tcW w:type="dxa" w:w="3312"/>
            <w:vAlign w:val="center"/>
          </w:tcPr>
          <w:p>
            <w:r>
              <w:t>Comunicacao SEFAZ homologacao</w:t>
            </w:r>
          </w:p>
        </w:tc>
        <w:tc>
          <w:tcPr>
            <w:tcW w:type="dxa" w:w="3312"/>
            <w:vAlign w:val="center"/>
          </w:tcPr>
          <w:p>
            <w:r>
              <w:t>4 a 6 semanas</w:t>
            </w:r>
          </w:p>
        </w:tc>
      </w:tr>
      <w:tr>
        <w:tc>
          <w:tcPr>
            <w:tcW w:type="dxa" w:w="3312"/>
            <w:vAlign w:val="center"/>
          </w:tcPr>
          <w:p>
            <w:r>
              <w:t>6</w:t>
            </w:r>
          </w:p>
        </w:tc>
        <w:tc>
          <w:tcPr>
            <w:tcW w:type="dxa" w:w="3312"/>
            <w:vAlign w:val="center"/>
          </w:tcPr>
          <w:p>
            <w:r>
              <w:t>DANFE NFC-e</w:t>
            </w:r>
          </w:p>
        </w:tc>
        <w:tc>
          <w:tcPr>
            <w:tcW w:type="dxa" w:w="3312"/>
            <w:vAlign w:val="center"/>
          </w:tcPr>
          <w:p>
            <w:r>
              <w:t>3 a 5 semanas</w:t>
            </w:r>
          </w:p>
        </w:tc>
      </w:tr>
      <w:tr>
        <w:tc>
          <w:tcPr>
            <w:tcW w:type="dxa" w:w="3312"/>
            <w:vAlign w:val="center"/>
          </w:tcPr>
          <w:p>
            <w:r>
              <w:t>7</w:t>
            </w:r>
          </w:p>
        </w:tc>
        <w:tc>
          <w:tcPr>
            <w:tcW w:type="dxa" w:w="3312"/>
            <w:vAlign w:val="center"/>
          </w:tcPr>
          <w:p>
            <w:r>
              <w:t>Cancelamento e inutilizacao</w:t>
            </w:r>
          </w:p>
        </w:tc>
        <w:tc>
          <w:tcPr>
            <w:tcW w:type="dxa" w:w="3312"/>
            <w:vAlign w:val="center"/>
          </w:tcPr>
          <w:p>
            <w:r>
              <w:t>3 a 5 semanas</w:t>
            </w:r>
          </w:p>
        </w:tc>
      </w:tr>
      <w:tr>
        <w:tc>
          <w:tcPr>
            <w:tcW w:type="dxa" w:w="3312"/>
            <w:vAlign w:val="center"/>
          </w:tcPr>
          <w:p>
            <w:r>
              <w:t>8</w:t>
            </w:r>
          </w:p>
        </w:tc>
        <w:tc>
          <w:tcPr>
            <w:tcW w:type="dxa" w:w="3312"/>
            <w:vAlign w:val="center"/>
          </w:tcPr>
          <w:p>
            <w:r>
              <w:t>Contingencia e transmissao posterior</w:t>
            </w:r>
          </w:p>
        </w:tc>
        <w:tc>
          <w:tcPr>
            <w:tcW w:type="dxa" w:w="3312"/>
            <w:vAlign w:val="center"/>
          </w:tcPr>
          <w:p>
            <w:r>
              <w:t>4 a 8 semanas</w:t>
            </w:r>
          </w:p>
        </w:tc>
      </w:tr>
      <w:tr>
        <w:tc>
          <w:tcPr>
            <w:tcW w:type="dxa" w:w="3312"/>
            <w:vAlign w:val="center"/>
          </w:tcPr>
          <w:p>
            <w:r>
              <w:t>9</w:t>
            </w:r>
          </w:p>
        </w:tc>
        <w:tc>
          <w:tcPr>
            <w:tcW w:type="dxa" w:w="3312"/>
            <w:vAlign w:val="center"/>
          </w:tcPr>
          <w:p>
            <w:r>
              <w:t>Integracao com PDV</w:t>
            </w:r>
          </w:p>
        </w:tc>
        <w:tc>
          <w:tcPr>
            <w:tcW w:type="dxa" w:w="3312"/>
            <w:vAlign w:val="center"/>
          </w:tcPr>
          <w:p>
            <w:r>
              <w:t>3 a 5 semanas</w:t>
            </w:r>
          </w:p>
        </w:tc>
      </w:tr>
      <w:tr>
        <w:tc>
          <w:tcPr>
            <w:tcW w:type="dxa" w:w="3312"/>
            <w:vAlign w:val="center"/>
          </w:tcPr>
          <w:p>
            <w:r>
              <w:t>10</w:t>
            </w:r>
          </w:p>
        </w:tc>
        <w:tc>
          <w:tcPr>
            <w:tcW w:type="dxa" w:w="3312"/>
            <w:vAlign w:val="center"/>
          </w:tcPr>
          <w:p>
            <w:r>
              <w:t>Testes, homologacao e piloto</w:t>
            </w:r>
          </w:p>
        </w:tc>
        <w:tc>
          <w:tcPr>
            <w:tcW w:type="dxa" w:w="3312"/>
            <w:vAlign w:val="center"/>
          </w:tcPr>
          <w:p>
            <w:r>
              <w:t>6 a 10 semanas</w:t>
            </w:r>
          </w:p>
        </w:tc>
      </w:tr>
    </w:tbl>
    <w:p/>
    <w:p>
      <w:r>
        <w:t>As fases podem ter alguma paralelizacao, mas o caminho critico fiscal reduz bastante o ganho de paralelismo.</w:t>
      </w:r>
    </w:p>
    <w:p>
      <w:pPr>
        <w:pStyle w:val="Heading1"/>
      </w:pPr>
      <w:r>
        <w:t>Equipe Recomendada</w:t>
      </w:r>
    </w:p>
    <w:p>
      <w:r>
        <w:t>Para reescrever o ACBrMonitor em C# com qualidade:</w:t>
      </w:r>
    </w:p>
    <w:p>
      <w:pPr>
        <w:pStyle w:val="ListBullet"/>
      </w:pPr>
      <w:r>
        <w:t>1 arquiteto/backend senior C#;</w:t>
      </w:r>
    </w:p>
    <w:p>
      <w:pPr>
        <w:pStyle w:val="ListBullet"/>
      </w:pPr>
      <w:r>
        <w:t>1 desenvolvedor C# senior focado em fiscal/XML/SEFAZ;</w:t>
      </w:r>
    </w:p>
    <w:p>
      <w:pPr>
        <w:pStyle w:val="ListBullet"/>
      </w:pPr>
      <w:r>
        <w:t>1 desenvolvedor C# pleno para API, banco e worker;</w:t>
      </w:r>
    </w:p>
    <w:p>
      <w:pPr>
        <w:pStyle w:val="ListBullet"/>
      </w:pPr>
      <w:r>
        <w:t>1 desenvolvedor PDV para integracao;</w:t>
      </w:r>
    </w:p>
    <w:p>
      <w:pPr>
        <w:pStyle w:val="ListBullet"/>
      </w:pPr>
      <w:r>
        <w:t>1 QA fiscal;</w:t>
      </w:r>
    </w:p>
    <w:p>
      <w:pPr>
        <w:pStyle w:val="ListBullet"/>
      </w:pPr>
      <w:r>
        <w:t>1 pessoa com conhecimento fiscal/contabil;</w:t>
      </w:r>
    </w:p>
    <w:p>
      <w:pPr>
        <w:pStyle w:val="ListBullet"/>
      </w:pPr>
      <w:r>
        <w:t>apoio DevOps para instalacao, logs, certificados e deploy.</w:t>
      </w:r>
    </w:p>
    <w:p>
      <w:r>
        <w:t>Nao recomendado:</w:t>
      </w:r>
    </w:p>
    <w:p>
      <w:pPr>
        <w:pStyle w:val="ListBullet"/>
      </w:pPr>
      <w:r>
        <w:t>deixar estagiarios responsaveis pelo nucleo fiscal;</w:t>
      </w:r>
    </w:p>
    <w:p>
      <w:pPr>
        <w:pStyle w:val="ListBullet"/>
      </w:pPr>
      <w:r>
        <w:t>iniciar com NF-e, NFC-e, SAT, MFE e NFS-e ao mesmo tempo;</w:t>
      </w:r>
    </w:p>
    <w:p>
      <w:pPr>
        <w:pStyle w:val="ListBullet"/>
      </w:pPr>
      <w:r>
        <w:t>copiar codigo do ACBr diretamente;</w:t>
      </w:r>
    </w:p>
    <w:p>
      <w:pPr>
        <w:pStyle w:val="ListBullet"/>
      </w:pPr>
      <w:r>
        <w:t>colocar regra fiscal dentro do PDV.</w:t>
      </w:r>
    </w:p>
    <w:p>
      <w:r>
        <w:t>Estagiarios podem apoiar em:</w:t>
      </w:r>
    </w:p>
    <w:p>
      <w:pPr>
        <w:pStyle w:val="ListBullet"/>
      </w:pPr>
      <w:r>
        <w:t>telas administrativas;</w:t>
      </w:r>
    </w:p>
    <w:p>
      <w:pPr>
        <w:pStyle w:val="ListBullet"/>
      </w:pPr>
      <w:r>
        <w:t>documentacao;</w:t>
      </w:r>
    </w:p>
    <w:p>
      <w:pPr>
        <w:pStyle w:val="ListBullet"/>
      </w:pPr>
      <w:r>
        <w:t>scripts de teste;</w:t>
      </w:r>
    </w:p>
    <w:p>
      <w:pPr>
        <w:pStyle w:val="ListBullet"/>
      </w:pPr>
      <w:r>
        <w:t>validacao manual;</w:t>
      </w:r>
    </w:p>
    <w:p>
      <w:pPr>
        <w:pStyle w:val="ListBullet"/>
      </w:pPr>
      <w:r>
        <w:t>logs;</w:t>
      </w:r>
    </w:p>
    <w:p>
      <w:pPr>
        <w:pStyle w:val="ListBullet"/>
      </w:pPr>
      <w:r>
        <w:t>consulta de XML;</w:t>
      </w:r>
    </w:p>
    <w:p>
      <w:pPr>
        <w:pStyle w:val="ListBullet"/>
      </w:pPr>
      <w:r>
        <w:t>painel de acompanhamento.</w:t>
      </w:r>
    </w:p>
    <w:p>
      <w:pPr>
        <w:pStyle w:val="Heading1"/>
      </w:pPr>
      <w:r>
        <w:t>Principais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4968"/>
            <w:vAlign w:val="center"/>
          </w:tcPr>
          <w:p>
            <w:r>
              <w:t>Rejeicoes SEFAZ por XML incorreto</w:t>
            </w:r>
          </w:p>
        </w:tc>
        <w:tc>
          <w:tcPr>
            <w:tcW w:type="dxa" w:w="4968"/>
            <w:vAlign w:val="center"/>
          </w:tcPr>
          <w:p>
            <w:r>
              <w:t>Alto</w:t>
            </w:r>
          </w:p>
        </w:tc>
      </w:tr>
      <w:tr>
        <w:tc>
          <w:tcPr>
            <w:tcW w:type="dxa" w:w="4968"/>
            <w:vAlign w:val="center"/>
          </w:tcPr>
          <w:p>
            <w:r>
              <w:t>Assinatura digital incorreta</w:t>
            </w:r>
          </w:p>
        </w:tc>
        <w:tc>
          <w:tcPr>
            <w:tcW w:type="dxa" w:w="4968"/>
            <w:vAlign w:val="center"/>
          </w:tcPr>
          <w:p>
            <w:r>
              <w:t>Alto</w:t>
            </w:r>
          </w:p>
        </w:tc>
      </w:tr>
      <w:tr>
        <w:tc>
          <w:tcPr>
            <w:tcW w:type="dxa" w:w="4968"/>
            <w:vAlign w:val="center"/>
          </w:tcPr>
          <w:p>
            <w:r>
              <w:t>Mudancas de nota tecnica</w:t>
            </w:r>
          </w:p>
        </w:tc>
        <w:tc>
          <w:tcPr>
            <w:tcW w:type="dxa" w:w="4968"/>
            <w:vAlign w:val="center"/>
          </w:tcPr>
          <w:p>
            <w:r>
              <w:t>Alto</w:t>
            </w:r>
          </w:p>
        </w:tc>
      </w:tr>
      <w:tr>
        <w:tc>
          <w:tcPr>
            <w:tcW w:type="dxa" w:w="4968"/>
            <w:vAlign w:val="center"/>
          </w:tcPr>
          <w:p>
            <w:r>
              <w:t>Diferencas por UF</w:t>
            </w:r>
          </w:p>
        </w:tc>
        <w:tc>
          <w:tcPr>
            <w:tcW w:type="dxa" w:w="4968"/>
            <w:vAlign w:val="center"/>
          </w:tcPr>
          <w:p>
            <w:r>
              <w:t>Alto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Contingencia mal implementada</w:t>
            </w:r>
          </w:p>
        </w:tc>
        <w:tc>
          <w:tcPr>
            <w:tcW w:type="dxa" w:w="4968"/>
            <w:vAlign w:val="center"/>
          </w:tcPr>
          <w:p>
            <w:r>
              <w:t>Alto</w:t>
            </w:r>
          </w:p>
        </w:tc>
      </w:tr>
      <w:tr>
        <w:tc>
          <w:tcPr>
            <w:tcW w:type="dxa" w:w="4968"/>
            <w:vAlign w:val="center"/>
          </w:tcPr>
          <w:p>
            <w:r>
              <w:t>DANFE fora do padrao</w:t>
            </w:r>
          </w:p>
        </w:tc>
        <w:tc>
          <w:tcPr>
            <w:tcW w:type="dxa" w:w="4968"/>
            <w:vAlign w:val="center"/>
          </w:tcPr>
          <w:p>
            <w:r>
              <w:t>Medio/alto</w:t>
            </w:r>
          </w:p>
        </w:tc>
      </w:tr>
      <w:tr>
        <w:tc>
          <w:tcPr>
            <w:tcW w:type="dxa" w:w="4968"/>
            <w:vAlign w:val="center"/>
          </w:tcPr>
          <w:p>
            <w:r>
              <w:t>Certificado A3</w:t>
            </w:r>
          </w:p>
        </w:tc>
        <w:tc>
          <w:tcPr>
            <w:tcW w:type="dxa" w:w="4968"/>
            <w:vAlign w:val="center"/>
          </w:tcPr>
          <w:p>
            <w:r>
              <w:t>Alto</w:t>
            </w:r>
          </w:p>
        </w:tc>
      </w:tr>
      <w:tr>
        <w:tc>
          <w:tcPr>
            <w:tcW w:type="dxa" w:w="4968"/>
            <w:vAlign w:val="center"/>
          </w:tcPr>
          <w:p>
            <w:r>
              <w:t>Falta de especialista fiscal</w:t>
            </w:r>
          </w:p>
        </w:tc>
        <w:tc>
          <w:tcPr>
            <w:tcW w:type="dxa" w:w="4968"/>
            <w:vAlign w:val="center"/>
          </w:tcPr>
          <w:p>
            <w:r>
              <w:t>Alto</w:t>
            </w:r>
          </w:p>
        </w:tc>
      </w:tr>
      <w:tr>
        <w:tc>
          <w:tcPr>
            <w:tcW w:type="dxa" w:w="4968"/>
            <w:vAlign w:val="center"/>
          </w:tcPr>
          <w:p>
            <w:r>
              <w:t>Copia indevida de codigo ACBr</w:t>
            </w:r>
          </w:p>
        </w:tc>
        <w:tc>
          <w:tcPr>
            <w:tcW w:type="dxa" w:w="4968"/>
            <w:vAlign w:val="center"/>
          </w:tcPr>
          <w:p>
            <w:r>
              <w:t>Alto</w:t>
            </w:r>
          </w:p>
        </w:tc>
      </w:tr>
      <w:tr>
        <w:tc>
          <w:tcPr>
            <w:tcW w:type="dxa" w:w="4968"/>
            <w:vAlign w:val="center"/>
          </w:tcPr>
          <w:p>
            <w:r>
              <w:t>Subestimar escopo fiscal</w:t>
            </w:r>
          </w:p>
        </w:tc>
        <w:tc>
          <w:tcPr>
            <w:tcW w:type="dxa" w:w="4968"/>
            <w:vAlign w:val="center"/>
          </w:tcPr>
          <w:p>
            <w:r>
              <w:t>Muito alto</w:t>
            </w:r>
          </w:p>
        </w:tc>
      </w:tr>
    </w:tbl>
    <w:p/>
    <w:p>
      <w:pPr>
        <w:pStyle w:val="Heading1"/>
      </w:pPr>
      <w:r>
        <w:t>Decisao Tecnica Recomendada</w:t>
      </w:r>
    </w:p>
    <w:p>
      <w:r>
        <w:t>Se a decisao for realmente reescrever o ACBrMonitor, a recomendacao e:</w:t>
      </w:r>
    </w:p>
    <w:p>
      <w:pPr>
        <w:pStyle w:val="ListNumber"/>
      </w:pPr>
      <w:r>
        <w:t xml:space="preserve">criar um novo repositorio/solucao para </w:t>
      </w:r>
      <w:r>
        <w:rPr>
          <w:rFonts w:ascii="Consolas" w:hAnsi="Consolas"/>
          <w:sz w:val="19"/>
        </w:rPr>
        <w:t>TechOne.Fiscal</w:t>
      </w:r>
      <w:r>
        <w:t>;</w:t>
      </w:r>
    </w:p>
    <w:p>
      <w:pPr>
        <w:pStyle w:val="ListNumber"/>
      </w:pPr>
      <w:r>
        <w:t>implementar primeiro somente NFC-e;</w:t>
      </w:r>
    </w:p>
    <w:p>
      <w:pPr>
        <w:pStyle w:val="ListNumber"/>
      </w:pPr>
      <w:r>
        <w:t>trabalhar com C#/.NET 8+;</w:t>
      </w:r>
    </w:p>
    <w:p>
      <w:pPr>
        <w:pStyle w:val="ListNumber"/>
      </w:pPr>
      <w:r>
        <w:t>usar API + Worker + banco fiscal proprio;</w:t>
      </w:r>
    </w:p>
    <w:p>
      <w:pPr>
        <w:pStyle w:val="ListNumber"/>
      </w:pPr>
      <w:r>
        <w:t>manter o PDV apenas como consumidor;</w:t>
      </w:r>
    </w:p>
    <w:p>
      <w:pPr>
        <w:pStyle w:val="ListNumber"/>
      </w:pPr>
      <w:r>
        <w:t>usar ACBrMonitor apenas como referencia de comportamento e comparacao em homologacao;</w:t>
      </w:r>
    </w:p>
    <w:p>
      <w:pPr>
        <w:pStyle w:val="ListNumber"/>
      </w:pPr>
      <w:r>
        <w:t>nao copiar codigo do ACBr;</w:t>
      </w:r>
    </w:p>
    <w:p>
      <w:pPr>
        <w:pStyle w:val="ListNumber"/>
      </w:pPr>
      <w:r>
        <w:t>validar tudo em ambiente de homologacao antes de qualquer piloto;</w:t>
      </w:r>
    </w:p>
    <w:p>
      <w:pPr>
        <w:pStyle w:val="ListNumber"/>
      </w:pPr>
      <w:r>
        <w:t>so depois expandir para NF-e, SAT, MFE e outros documentos.</w:t>
      </w:r>
    </w:p>
    <w:p>
      <w:pPr>
        <w:pStyle w:val="Heading1"/>
      </w:pPr>
      <w:r>
        <w:t>Resumo Executivo</w:t>
      </w:r>
    </w:p>
    <w:p>
      <w:r>
        <w:t>Reescrever o ACBrMonitor em C# e possivel, mas e um projeto fiscal grande e de alto risco.</w:t>
      </w:r>
    </w:p>
    <w:p>
      <w:r>
        <w:t>Estimativa objetiva: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Prazo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Prova de conceito NFC-e em C#</w:t>
            </w:r>
          </w:p>
        </w:tc>
        <w:tc>
          <w:tcPr>
            <w:tcW w:type="dxa" w:w="4968"/>
            <w:vAlign w:val="center"/>
          </w:tcPr>
          <w:p>
            <w:r>
              <w:t>2 a 3 meses</w:t>
            </w:r>
          </w:p>
        </w:tc>
      </w:tr>
      <w:tr>
        <w:tc>
          <w:tcPr>
            <w:tcW w:type="dxa" w:w="4968"/>
            <w:vAlign w:val="center"/>
          </w:tcPr>
          <w:p>
            <w:r>
              <w:t>MVP NFC-e homologacao</w:t>
            </w:r>
          </w:p>
        </w:tc>
        <w:tc>
          <w:tcPr>
            <w:tcW w:type="dxa" w:w="4968"/>
            <w:vAlign w:val="center"/>
          </w:tcPr>
          <w:p>
            <w:r>
              <w:t>3 a 4 meses</w:t>
            </w:r>
          </w:p>
        </w:tc>
      </w:tr>
      <w:tr>
        <w:tc>
          <w:tcPr>
            <w:tcW w:type="dxa" w:w="4968"/>
            <w:vAlign w:val="center"/>
          </w:tcPr>
          <w:p>
            <w:r>
              <w:t>Piloto NFC-e producao</w:t>
            </w:r>
          </w:p>
        </w:tc>
        <w:tc>
          <w:tcPr>
            <w:tcW w:type="dxa" w:w="4968"/>
            <w:vAlign w:val="center"/>
          </w:tcPr>
          <w:p>
            <w:r>
              <w:t>6 a 9 meses</w:t>
            </w:r>
          </w:p>
        </w:tc>
      </w:tr>
      <w:tr>
        <w:tc>
          <w:tcPr>
            <w:tcW w:type="dxa" w:w="4968"/>
            <w:vAlign w:val="center"/>
          </w:tcPr>
          <w:p>
            <w:r>
              <w:t>NFC-e robusta substituindo ACBrMonitor</w:t>
            </w:r>
          </w:p>
        </w:tc>
        <w:tc>
          <w:tcPr>
            <w:tcW w:type="dxa" w:w="4968"/>
            <w:vAlign w:val="center"/>
          </w:tcPr>
          <w:p>
            <w:r>
              <w:t>9 a 12 meses</w:t>
            </w:r>
          </w:p>
        </w:tc>
      </w:tr>
      <w:tr>
        <w:tc>
          <w:tcPr>
            <w:tcW w:type="dxa" w:w="4968"/>
            <w:vAlign w:val="center"/>
          </w:tcPr>
          <w:p>
            <w:r>
              <w:t>Substituto amplo do ACBrMonitor</w:t>
            </w:r>
          </w:p>
        </w:tc>
        <w:tc>
          <w:tcPr>
            <w:tcW w:type="dxa" w:w="4968"/>
            <w:vAlign w:val="center"/>
          </w:tcPr>
          <w:p>
            <w:r>
              <w:t>18 a 30 meses ou mais</w:t>
            </w:r>
          </w:p>
        </w:tc>
      </w:tr>
    </w:tbl>
    <w:p/>
    <w:p>
      <w:r>
        <w:t>Conclusao: a linguagem mais indicada e **C#/.NET**, mas o projeto deve ser tratado como um **novo servico fiscal independente**, nao como parte do PDV. A reescrita deve comecar pequena, por NFC-e, com foco em homologacao, assinatura digital, XML, SEFAZ, DANFE, cancelamento, inutilizacao e contingencia.</w:t>
      </w:r>
    </w:p>
    <w:p>
      <w:pPr>
        <w:pStyle w:val="Heading1"/>
      </w:pPr>
      <w:r>
        <w:t>Fontes Consultadas</w:t>
      </w:r>
    </w:p>
    <w:p>
      <w:pPr>
        <w:pStyle w:val="ListBullet"/>
      </w:pPr>
      <w:r>
        <w:t>Documentacao ACBrMonitor - apresentacao: https://acbr.sourceforge.io/ACBrMonitor/Apresentacao.html</w:t>
      </w:r>
    </w:p>
    <w:p>
      <w:pPr>
        <w:pStyle w:val="ListBullet"/>
      </w:pPr>
      <w:r>
        <w:t>Documentacao ACBrMonitor - SVN/codigo fonte: https://acbr.sourceforge.io/ACBrMonitor/ComousaroSVN.html</w:t>
      </w:r>
    </w:p>
    <w:p>
      <w:pPr>
        <w:pStyle w:val="ListBullet"/>
      </w:pPr>
      <w:r>
        <w:t>Documentacao ACBrMonitor - compilacao: https://acbr.sourceforge.io/ACBrMonitor/ComocompilaroACBrMonitor.html</w:t>
      </w:r>
    </w:p>
    <w:p>
      <w:pPr>
        <w:pStyle w:val="ListBullet"/>
      </w:pPr>
      <w:r>
        <w:t>Documentacao ACBrMonitor - licenca: https://acbr.sourceforge.io/ACBrMonitor/Licenca.html</w:t>
      </w:r>
    </w:p>
    <w:p>
      <w:pPr>
        <w:pStyle w:val="ListBullet"/>
      </w:pPr>
      <w:r>
        <w:t>Codigo oficial ACBr no SourceForge: https://sourceforge.net/p/acbr/code/HEAD/tree/trunk2/</w:t>
      </w:r>
    </w:p>
    <w:p>
      <w:pPr>
        <w:pStyle w:val="ListBullet"/>
      </w:pPr>
      <w:r>
        <w:t>ACBr API oficial: https://www.acbr.api.br/</w:t>
      </w:r>
    </w:p>
    <w:p>
      <w:pPr>
        <w:pStyle w:val="ListBullet"/>
      </w:pPr>
      <w:r>
        <w:t>Documentacao ACBr API: https://dev.acbr.api.br/docs/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Relatorio de reescrita do ACBrMonitor em C#/.NET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  <w:style w:type="character" w:customStyle="1" w:styleId="InlineCode">
    <w:name w:val="InlineCode"/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