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检查说明</w:t>
      </w:r>
    </w:p>
    <w:p>
      <w:pPr>
        <w:spacing w:line="360" w:lineRule="auto" w:after="0"/>
        <w:ind w:firstLineChars="200" w:firstLine="0"/>
      </w:pPr>
      <w:r>
        <w:rPr>
          <w:rFonts w:ascii="Times New Roman" w:hAnsi="Times New Roman" w:eastAsia="宋体"/>
          <w:color w:val="000000"/>
          <w:sz w:val="21"/>
        </w:rPr>
        <w:t>本说明核对支撑材料中《结果汇总.xlsx》、“图片”目录与“程序”目录的结果是否一致，并给出复现方式与结论的适用范围。结果汇总收录论文的 37 张结果表，数值均来自程序目录 05_results/ 下的结果文件。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1 材料组成与复现方式</w:t>
      </w:r>
    </w:p>
    <w:p>
      <w:pPr>
        <w:spacing w:line="360" w:lineRule="auto" w:after="0"/>
        <w:ind w:firstLineChars="200" w:firstLine="0"/>
      </w:pPr>
      <w:r>
        <w:rPr>
          <w:rFonts w:ascii="Times New Roman" w:hAnsi="Times New Roman" w:eastAsia="宋体"/>
          <w:color w:val="000000"/>
          <w:sz w:val="21"/>
        </w:rPr>
        <w:t>支撑材料由检查说明、结果汇总、程序和图片四部分组成。程序目录包含 60 个 Python 程序、单元测试、附件登记表、处理后数据、各问结果文件与运行日志；图片目录按论文图号存放 29 张论文用图，文件名前缀 fig_01 至 fig_29 即图号。</w:t>
      </w:r>
    </w:p>
    <w:p>
      <w:pPr>
        <w:spacing w:line="360" w:lineRule="auto" w:after="0"/>
        <w:ind w:firstLineChars="200" w:firstLine="0"/>
      </w:pPr>
      <w:r>
        <w:rPr>
          <w:rFonts w:ascii="Times New Roman" w:hAnsi="Times New Roman" w:eastAsia="宋体"/>
          <w:color w:val="000000"/>
          <w:sz w:val="21"/>
        </w:rPr>
        <w:t>原始附件约 0.55 GB，超过支撑材料 50 MB 的上限，未随程序打包，放置方法见 程序/02_data/raw/数据放置说明.md。放入附件后运行 run.py，依次执行全流程 34 个步骤、附件登记审计与 4 个论文补充程序（指标相关系数、附件概况、补充数据图、流程图），最后运行单元测试，共 39 个步骤；不放附件时运行 run.py --check，只核对随附结果文件是否齐全并运行单元测试。</w:t>
      </w:r>
    </w:p>
    <w:p>
      <w:pPr>
        <w:spacing w:line="360" w:lineRule="auto" w:after="0"/>
        <w:ind w:firstLineChars="200" w:firstLine="0"/>
      </w:pPr>
      <w:r>
        <w:rPr>
          <w:rFonts w:ascii="Times New Roman" w:hAnsi="Times New Roman" w:eastAsia="宋体"/>
          <w:color w:val="000000"/>
          <w:sz w:val="21"/>
        </w:rPr>
        <w:t>打包完成后，在另一目录中放入原始附件、删去全部随附结果，从头运行 run.py。39 个步骤均正常结束，28 项单元测试全部通过，用时约 4 分钟。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2 各问结果核对</w:t>
      </w:r>
    </w:p>
    <w:p>
      <w:pPr>
        <w:spacing w:line="360" w:lineRule="auto" w:after="0"/>
        <w:ind w:firstLineChars="200" w:firstLine="0"/>
      </w:pPr>
      <w:r>
        <w:rPr>
          <w:rFonts w:ascii="Times New Roman" w:hAnsi="Times New Roman" w:eastAsia="宋体"/>
          <w:color w:val="000000"/>
          <w:sz w:val="21"/>
        </w:rPr>
        <w:t>问题一的质量评分覆盖 A1 至 A3 共 272,505 条记录。22 项指标统一方向后按 A1 的第 1 与第 99 百分位归一化，扩展集与抽样集的域级质量分相差不超过 0.002。冲突仲裁在 9 个人工核验样本上 6 条同向、0 条反向，仲裁后各域质量分的变化不超过 0.001，基线质量 Q0 不受影响。配比模型在 1M 检验集上的 MAE 为 0.306（均值基准 0.619），13 个验证域全部改善，在 60M、1B 上的秩相关为 0.898、0.823。</w:t>
      </w:r>
    </w:p>
    <w:p>
      <w:pPr>
        <w:spacing w:line="360" w:lineRule="auto" w:after="0"/>
        <w:ind w:firstLineChars="200" w:firstLine="0"/>
      </w:pPr>
      <w:r>
        <w:rPr>
          <w:rFonts w:ascii="Times New Roman" w:hAnsi="Times New Roman" w:eastAsia="宋体"/>
          <w:color w:val="000000"/>
          <w:sz w:val="21"/>
        </w:rPr>
        <w:t>问题二的经典标度律在 B1 的 1,176 个检查点上拟合，E = 1.690，α = 0.340，β = 0.280。逐一留出 8 条轨迹的平均 MAE 为 1.08×10⁻⁴，B4、B5 跨族验证的 MAE 为 0.227、0.171。质量项按 BIC 选取随规模衰减的形式，B7 新增 90 点的 MAE 由 0.045 降至 0.032。</w:t>
      </w:r>
    </w:p>
    <w:p>
      <w:pPr>
        <w:spacing w:line="360" w:lineRule="auto" w:after="0"/>
        <w:ind w:firstLineChars="200" w:firstLine="0"/>
      </w:pPr>
      <w:r>
        <w:rPr>
          <w:rFonts w:ascii="Times New Roman" w:hAnsi="Times New Roman" w:eastAsia="宋体"/>
          <w:color w:val="000000"/>
          <w:sz w:val="21"/>
        </w:rPr>
        <w:t>问题三由临界方程一维求根得到开始投入质量的临界预算：指数型 7.72×10¹⁸，幂函数型 2.38×10¹⁹，对数型在 1.44×10¹⁸ 处跳变。三个解析阈值都落在 65 点预算网格数值识别的区间内；θN = θD = 0 时，数值解与闭式解的相对误差不超过 3×10⁻¹³。</w:t>
      </w:r>
    </w:p>
    <w:p>
      <w:pPr>
        <w:spacing w:line="360" w:lineRule="auto" w:after="0"/>
        <w:ind w:firstLineChars="200" w:firstLine="0"/>
      </w:pPr>
      <w:r>
        <w:rPr>
          <w:rFonts w:ascii="Times New Roman" w:hAnsi="Times New Roman" w:eastAsia="宋体"/>
          <w:color w:val="000000"/>
          <w:sz w:val="21"/>
        </w:rPr>
        <w:t>问题四对 C8 的 1,958 个 JSON 逐任务聚合，与 C1 匹配 1,901 个模型，秩相关 0.997。55 个匹配模型的平均得分提升 10.26 分，其中规模贡献 7.03 分，非规模贡献 3.21 分。前沿预测在 2024 年 32 个模型上的时间外推 MAE 为 7.43（基准 11.34），4 个滚动起点的误差为 −8.3 至 −21.0 分，预测整体偏低。</w:t>
      </w:r>
    </w:p>
    <w:p>
      <w:pPr>
        <w:keepNext/>
        <w:spacing w:before="120"/>
        <w:ind w:firstLine="0"/>
        <w:jc w:val="center"/>
      </w:pPr>
      <w:r>
        <w:rPr>
          <w:rFonts w:ascii="Times New Roman" w:hAnsi="Times New Roman" w:eastAsia="宋体"/>
          <w:color w:val="000000"/>
          <w:sz w:val="18"/>
        </w:rPr>
        <w:t>表 1　各问主要结果、检验与结果文件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"/>
            <w:tcBorders>
              <w:top w:val="single" w:sz="12" w:space="0" w:color="000000"/>
              <w:bottom w:val="single" w:sz="6" w:space="0" w:color="000000"/>
              <w:left w:val="none" w:sz="0"/>
              <w:right w:val="none" w:sz="0"/>
            </w:tcBorders>
            <w:shd w:val="clear" w:fill="FFFFFF"/>
          </w:tcPr>
          <w:p>
            <w:pPr>
              <w:spacing w:before="50" w:after="5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问题</w:t>
            </w:r>
          </w:p>
        </w:tc>
        <w:tc>
          <w:tcPr>
            <w:tcW w:type="dxa" w:w="2835"/>
            <w:tcBorders>
              <w:top w:val="single" w:sz="12" w:space="0" w:color="000000"/>
              <w:bottom w:val="single" w:sz="6" w:space="0" w:color="000000"/>
              <w:left w:val="none" w:sz="0"/>
              <w:right w:val="none" w:sz="0"/>
            </w:tcBorders>
            <w:shd w:val="clear" w:fill="FFFFFF"/>
          </w:tcPr>
          <w:p>
            <w:pPr>
              <w:spacing w:before="50" w:after="5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主要结果</w:t>
            </w:r>
          </w:p>
        </w:tc>
        <w:tc>
          <w:tcPr>
            <w:tcW w:type="dxa" w:w="2608"/>
            <w:tcBorders>
              <w:top w:val="single" w:sz="12" w:space="0" w:color="000000"/>
              <w:bottom w:val="single" w:sz="6" w:space="0" w:color="000000"/>
              <w:left w:val="none" w:sz="0"/>
              <w:right w:val="none" w:sz="0"/>
            </w:tcBorders>
            <w:shd w:val="clear" w:fill="FFFFFF"/>
          </w:tcPr>
          <w:p>
            <w:pPr>
              <w:spacing w:before="50" w:after="5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检验</w:t>
            </w:r>
          </w:p>
        </w:tc>
        <w:tc>
          <w:tcPr>
            <w:tcW w:type="dxa" w:w="2721"/>
            <w:tcBorders>
              <w:top w:val="single" w:sz="12" w:space="0" w:color="000000"/>
              <w:bottom w:val="single" w:sz="6" w:space="0" w:color="000000"/>
              <w:left w:val="none" w:sz="0"/>
              <w:right w:val="none" w:sz="0"/>
            </w:tcBorders>
            <w:shd w:val="clear" w:fill="FFFFFF"/>
          </w:tcPr>
          <w:p>
            <w:pPr>
              <w:spacing w:before="50" w:after="5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主要结果文件</w:t>
            </w:r>
          </w:p>
        </w:tc>
      </w:tr>
      <w:tr>
        <w:tc>
          <w:tcPr>
            <w:tcW w:type="dxa" w:w="907"/>
            <w:tcBorders>
              <w:top w:val="none" w:sz="0"/>
              <w:bottom w:val="none" w:sz="0"/>
              <w:left w:val="none" w:sz="0"/>
              <w:right w:val="none" w:sz="0"/>
            </w:tcBorders>
            <w:shd w:val="clear" w:fill="FFFFFF"/>
          </w:tcPr>
          <w:p>
            <w:pPr>
              <w:spacing w:before="50" w:after="5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问题一</w:t>
            </w:r>
          </w:p>
        </w:tc>
        <w:tc>
          <w:tcPr>
            <w:tcW w:type="dxa" w:w="2835"/>
            <w:tcBorders>
              <w:top w:val="none" w:sz="0"/>
              <w:bottom w:val="none" w:sz="0"/>
              <w:left w:val="none" w:sz="0"/>
              <w:right w:val="none" w:sz="0"/>
            </w:tcBorders>
            <w:shd w:val="clear" w:fill="FFFFFF"/>
          </w:tcPr>
          <w:p>
            <w:pPr>
              <w:spacing w:before="50" w:after="5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arxiv、github 域质量分 0.767、0.603；配比模型 1M 检验集 MAE 0.306</w:t>
            </w:r>
          </w:p>
        </w:tc>
        <w:tc>
          <w:tcPr>
            <w:tcW w:type="dxa" w:w="2608"/>
            <w:tcBorders>
              <w:top w:val="none" w:sz="0"/>
              <w:bottom w:val="none" w:sz="0"/>
              <w:left w:val="none" w:sz="0"/>
              <w:right w:val="none" w:sz="0"/>
            </w:tcBorders>
            <w:shd w:val="clear" w:fill="FFFFFF"/>
          </w:tcPr>
          <w:p>
            <w:pPr>
              <w:spacing w:before="50" w:after="5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扩展集差异 ≤ 0.002；仲裁 6 同向 0 反向；60M、1B 秩相关 0.898、0.823</w:t>
            </w:r>
          </w:p>
        </w:tc>
        <w:tc>
          <w:tcPr>
            <w:tcW w:type="dxa" w:w="2721"/>
            <w:tcBorders>
              <w:top w:val="none" w:sz="0"/>
              <w:bottom w:val="none" w:sz="0"/>
              <w:left w:val="none" w:sz="0"/>
              <w:right w:val="none" w:sz="0"/>
            </w:tcBorders>
            <w:shd w:val="clear" w:fill="FFFFFF"/>
          </w:tcPr>
          <w:p>
            <w:pPr>
              <w:spacing w:before="50" w:after="5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q1_quality_baseline.json、q1_conflict_resolution.json、q1_mixture_baseline_results.json、q1_cross_scale_rank.json</w:t>
            </w:r>
          </w:p>
        </w:tc>
      </w:tr>
      <w:tr>
        <w:tc>
          <w:tcPr>
            <w:tcW w:type="dxa" w:w="907"/>
            <w:tcBorders>
              <w:top w:val="none" w:sz="0"/>
              <w:bottom w:val="none" w:sz="0"/>
              <w:left w:val="none" w:sz="0"/>
              <w:right w:val="none" w:sz="0"/>
            </w:tcBorders>
            <w:shd w:val="clear" w:fill="FFFFFF"/>
          </w:tcPr>
          <w:p>
            <w:pPr>
              <w:spacing w:before="50" w:after="5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问题二</w:t>
            </w:r>
          </w:p>
        </w:tc>
        <w:tc>
          <w:tcPr>
            <w:tcW w:type="dxa" w:w="2835"/>
            <w:tcBorders>
              <w:top w:val="none" w:sz="0"/>
              <w:bottom w:val="none" w:sz="0"/>
              <w:left w:val="none" w:sz="0"/>
              <w:right w:val="none" w:sz="0"/>
            </w:tcBorders>
            <w:shd w:val="clear" w:fill="FFFFFF"/>
          </w:tcPr>
          <w:p>
            <w:pPr>
              <w:spacing w:before="50" w:after="5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 = 1.690，α = 0.340，β = 0.280；质量项随规模衰减</w:t>
            </w:r>
          </w:p>
        </w:tc>
        <w:tc>
          <w:tcPr>
            <w:tcW w:type="dxa" w:w="2608"/>
            <w:tcBorders>
              <w:top w:val="none" w:sz="0"/>
              <w:bottom w:val="none" w:sz="0"/>
              <w:left w:val="none" w:sz="0"/>
              <w:right w:val="none" w:sz="0"/>
            </w:tcBorders>
            <w:shd w:val="clear" w:fill="FFFFFF"/>
          </w:tcPr>
          <w:p>
            <w:pPr>
              <w:spacing w:before="50" w:after="5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轨迹留出 MAE 1.08×10⁻⁴；跨族 MAE 0.227、0.171；B7 新增点 MAE 0.032</w:t>
            </w:r>
          </w:p>
        </w:tc>
        <w:tc>
          <w:tcPr>
            <w:tcW w:type="dxa" w:w="2721"/>
            <w:tcBorders>
              <w:top w:val="none" w:sz="0"/>
              <w:bottom w:val="none" w:sz="0"/>
              <w:left w:val="none" w:sz="0"/>
              <w:right w:val="none" w:sz="0"/>
            </w:tcBorders>
            <w:shd w:val="clear" w:fill="FFFFFF"/>
          </w:tcPr>
          <w:p>
            <w:pPr>
              <w:spacing w:before="50" w:after="5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q2_classical_validation.json、q2_B1_trajectory_holdout.json、q2_elasticity_substitution.json</w:t>
            </w:r>
          </w:p>
        </w:tc>
      </w:tr>
      <w:tr>
        <w:tc>
          <w:tcPr>
            <w:tcW w:type="dxa" w:w="907"/>
            <w:tcBorders>
              <w:top w:val="none" w:sz="0"/>
              <w:bottom w:val="none" w:sz="0"/>
              <w:left w:val="none" w:sz="0"/>
              <w:right w:val="none" w:sz="0"/>
            </w:tcBorders>
            <w:shd w:val="clear" w:fill="FFFFFF"/>
          </w:tcPr>
          <w:p>
            <w:pPr>
              <w:spacing w:before="50" w:after="5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问题三</w:t>
            </w:r>
          </w:p>
        </w:tc>
        <w:tc>
          <w:tcPr>
            <w:tcW w:type="dxa" w:w="2835"/>
            <w:tcBorders>
              <w:top w:val="none" w:sz="0"/>
              <w:bottom w:val="none" w:sz="0"/>
              <w:left w:val="none" w:sz="0"/>
              <w:right w:val="none" w:sz="0"/>
            </w:tcBorders>
            <w:shd w:val="clear" w:fill="FFFFFF"/>
          </w:tcPr>
          <w:p>
            <w:pPr>
              <w:spacing w:before="50" w:after="5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临界预算 7.72×10¹⁸（指数型）、2.38×10¹⁹（幂函数型）；对数型跳变点 1.44×10¹⁸</w:t>
            </w:r>
          </w:p>
        </w:tc>
        <w:tc>
          <w:tcPr>
            <w:tcW w:type="dxa" w:w="2608"/>
            <w:tcBorders>
              <w:top w:val="none" w:sz="0"/>
              <w:bottom w:val="none" w:sz="0"/>
              <w:left w:val="none" w:sz="0"/>
              <w:right w:val="none" w:sz="0"/>
            </w:tcBorders>
            <w:shd w:val="clear" w:fill="FFFFFF"/>
          </w:tcPr>
          <w:p>
            <w:pPr>
              <w:spacing w:before="50" w:after="5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闭式解相对误差 ≤ 3×10⁻¹³；解析阈值落在数值区间内</w:t>
            </w:r>
          </w:p>
        </w:tc>
        <w:tc>
          <w:tcPr>
            <w:tcW w:type="dxa" w:w="2721"/>
            <w:tcBorders>
              <w:top w:val="none" w:sz="0"/>
              <w:bottom w:val="none" w:sz="0"/>
              <w:left w:val="none" w:sz="0"/>
              <w:right w:val="none" w:sz="0"/>
            </w:tcBorders>
            <w:shd w:val="clear" w:fill="FFFFFF"/>
          </w:tcPr>
          <w:p>
            <w:pPr>
              <w:spacing w:before="50" w:after="5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q3_structural_transition.json、q3_q0_sensitivity.json</w:t>
            </w:r>
          </w:p>
        </w:tc>
      </w:tr>
      <w:tr>
        <w:tc>
          <w:tcPr>
            <w:tcW w:type="dxa" w:w="907"/>
            <w:tcBorders>
              <w:top w:val="none" w:sz="0"/>
              <w:bottom w:val="single" w:sz="12" w:space="0" w:color="000000"/>
              <w:left w:val="none" w:sz="0"/>
              <w:right w:val="none" w:sz="0"/>
            </w:tcBorders>
            <w:shd w:val="clear" w:fill="FFFFFF"/>
          </w:tcPr>
          <w:p>
            <w:pPr>
              <w:spacing w:before="50" w:after="5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问题四</w:t>
            </w:r>
          </w:p>
        </w:tc>
        <w:tc>
          <w:tcPr>
            <w:tcW w:type="dxa" w:w="2835"/>
            <w:tcBorders>
              <w:top w:val="none" w:sz="0"/>
              <w:bottom w:val="single" w:sz="12" w:space="0" w:color="000000"/>
              <w:left w:val="none" w:sz="0"/>
              <w:right w:val="none" w:sz="0"/>
            </w:tcBorders>
            <w:shd w:val="clear" w:fill="FFFFFF"/>
          </w:tcPr>
          <w:p>
            <w:pPr>
              <w:spacing w:before="50" w:after="5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规模贡献 7.03 分，非规模贡献 3.21 分；12 个月前沿 44.6 分</w:t>
            </w:r>
          </w:p>
        </w:tc>
        <w:tc>
          <w:tcPr>
            <w:tcW w:type="dxa" w:w="2608"/>
            <w:tcBorders>
              <w:top w:val="none" w:sz="0"/>
              <w:bottom w:val="single" w:sz="12" w:space="0" w:color="000000"/>
              <w:left w:val="none" w:sz="0"/>
              <w:right w:val="none" w:sz="0"/>
            </w:tcBorders>
            <w:shd w:val="clear" w:fill="FFFFFF"/>
          </w:tcPr>
          <w:p>
            <w:pPr>
              <w:spacing w:before="50" w:after="5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时间外推 MAE 7.43（基准 11.34）；滚动回测误差 −8.3 至 −21.0 分</w:t>
            </w:r>
          </w:p>
        </w:tc>
        <w:tc>
          <w:tcPr>
            <w:tcW w:type="dxa" w:w="2721"/>
            <w:tcBorders>
              <w:top w:val="none" w:sz="0"/>
              <w:bottom w:val="single" w:sz="12" w:space="0" w:color="000000"/>
              <w:left w:val="none" w:sz="0"/>
              <w:right w:val="none" w:sz="0"/>
            </w:tcBorders>
            <w:shd w:val="clear" w:fill="FFFFFF"/>
          </w:tcPr>
          <w:p>
            <w:pPr>
              <w:spacing w:before="50" w:after="5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q4_contribution_uncertainty.json、q4_frontier_dynamics.json</w:t>
            </w:r>
          </w:p>
        </w:tc>
      </w:tr>
    </w:tbl>
    <w:p>
      <w:pPr>
        <w:spacing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3 结果文件核对与结论范围</w:t>
      </w:r>
    </w:p>
    <w:p>
      <w:pPr>
        <w:spacing w:line="360" w:lineRule="auto" w:after="0"/>
        <w:ind w:firstLineChars="200" w:firstLine="0"/>
      </w:pPr>
      <w:r>
        <w:rPr>
          <w:rFonts w:ascii="Times New Roman" w:hAnsi="Times New Roman" w:eastAsia="宋体"/>
          <w:color w:val="000000"/>
          <w:sz w:val="21"/>
        </w:rPr>
        <w:t>结果汇总的 37 张表由程序从论文定稿直接读取生成，表号、表头与数值与论文一致；论文表 38 为 AI 工具使用披露，不属于计算结果，未收录。图片目录中的 29 张图与论文图 1 至图 29 一一对应，清单见结果汇总的“图片清单”工作表。论文附录收录的程序与程序目录中的同名文件逐字一致。论文中的 04_代码、03_结果文件、02_结果图 三个目录名沿用整理阶段的命名，分别对应本支撑材料的 程序、程序/05_results、图片。</w:t>
      </w:r>
    </w:p>
    <w:p>
      <w:pPr>
        <w:spacing w:line="360" w:lineRule="auto" w:after="0"/>
        <w:ind w:firstLineChars="200" w:firstLine="0"/>
      </w:pPr>
      <w:r>
        <w:rPr>
          <w:rFonts w:ascii="Times New Roman" w:hAnsi="Times New Roman" w:eastAsia="宋体"/>
          <w:color w:val="000000"/>
          <w:sz w:val="21"/>
        </w:rPr>
        <w:t>结论的适用范围如下。质量项参数由 B6 半合成数据校准，11 个配比领域缺少可靠的质量映射；百亿参数以上缺少实测 Loss，相应结果属于外推，论文表中已标注。问题三的最优配置以问题一的参考配比为前提。问题四的 95% 区间只包含参数抽样的不确定性，不包含模型形式本身的误差，实际预测误差可能更大。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