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22D09" w14:textId="77777777" w:rsidR="009C21D6" w:rsidRDefault="009C21D6" w:rsidP="007347CA">
      <w:pPr>
        <w:spacing w:after="60"/>
        <w:jc w:val="center"/>
        <w:rPr>
          <w:rFonts w:ascii="Times New Roman" w:hAnsi="Times New Roman" w:cs="Times New Roman"/>
          <w:b/>
          <w:bCs/>
          <w:sz w:val="28"/>
          <w:szCs w:val="28"/>
          <w:lang w:val="en-IN"/>
        </w:rPr>
      </w:pPr>
    </w:p>
    <w:p w14:paraId="13280D8A" w14:textId="77777777" w:rsidR="009C21D6" w:rsidRDefault="009C21D6" w:rsidP="007347CA">
      <w:pPr>
        <w:spacing w:after="60"/>
        <w:jc w:val="center"/>
        <w:rPr>
          <w:rFonts w:ascii="Times New Roman" w:hAnsi="Times New Roman" w:cs="Times New Roman"/>
          <w:b/>
          <w:bCs/>
          <w:sz w:val="28"/>
          <w:szCs w:val="28"/>
          <w:lang w:val="en-IN"/>
        </w:rPr>
      </w:pPr>
    </w:p>
    <w:p w14:paraId="3ADDB706" w14:textId="77777777" w:rsidR="009C21D6" w:rsidRDefault="009C21D6" w:rsidP="007347CA">
      <w:pPr>
        <w:spacing w:after="60"/>
        <w:jc w:val="center"/>
        <w:rPr>
          <w:rFonts w:ascii="Times New Roman" w:hAnsi="Times New Roman" w:cs="Times New Roman"/>
          <w:b/>
          <w:bCs/>
          <w:sz w:val="28"/>
          <w:szCs w:val="28"/>
          <w:lang w:val="en-IN"/>
        </w:rPr>
      </w:pPr>
    </w:p>
    <w:p w14:paraId="6A4BFC88" w14:textId="77777777" w:rsidR="009C21D6" w:rsidRDefault="009C21D6" w:rsidP="007347CA">
      <w:pPr>
        <w:spacing w:after="60"/>
        <w:jc w:val="center"/>
        <w:rPr>
          <w:rFonts w:ascii="Times New Roman" w:hAnsi="Times New Roman" w:cs="Times New Roman"/>
          <w:b/>
          <w:bCs/>
          <w:sz w:val="28"/>
          <w:szCs w:val="28"/>
          <w:lang w:val="en-IN"/>
        </w:rPr>
      </w:pPr>
    </w:p>
    <w:p w14:paraId="7D090F38" w14:textId="77777777" w:rsidR="009C21D6" w:rsidRDefault="009C21D6" w:rsidP="007347CA">
      <w:pPr>
        <w:spacing w:after="60"/>
        <w:jc w:val="center"/>
        <w:rPr>
          <w:rFonts w:ascii="Times New Roman" w:hAnsi="Times New Roman" w:cs="Times New Roman"/>
          <w:b/>
          <w:bCs/>
          <w:sz w:val="28"/>
          <w:szCs w:val="28"/>
          <w:lang w:val="en-IN"/>
        </w:rPr>
      </w:pPr>
    </w:p>
    <w:p w14:paraId="2D256807" w14:textId="77777777" w:rsidR="009C21D6" w:rsidRDefault="009C21D6" w:rsidP="007347CA">
      <w:pPr>
        <w:spacing w:after="60"/>
        <w:jc w:val="center"/>
        <w:rPr>
          <w:rFonts w:ascii="Times New Roman" w:hAnsi="Times New Roman" w:cs="Times New Roman"/>
          <w:b/>
          <w:bCs/>
          <w:sz w:val="28"/>
          <w:szCs w:val="28"/>
          <w:lang w:val="en-IN"/>
        </w:rPr>
      </w:pPr>
    </w:p>
    <w:p w14:paraId="243F7C22" w14:textId="77777777" w:rsidR="009C21D6" w:rsidRDefault="009C21D6" w:rsidP="007347CA">
      <w:pPr>
        <w:spacing w:after="60"/>
        <w:jc w:val="center"/>
        <w:rPr>
          <w:rFonts w:ascii="Times New Roman" w:hAnsi="Times New Roman" w:cs="Times New Roman"/>
          <w:b/>
          <w:bCs/>
          <w:sz w:val="28"/>
          <w:szCs w:val="28"/>
          <w:lang w:val="en-IN"/>
        </w:rPr>
      </w:pPr>
    </w:p>
    <w:p w14:paraId="70A1E9B9" w14:textId="77777777" w:rsidR="009C21D6" w:rsidRDefault="009C21D6" w:rsidP="007347CA">
      <w:pPr>
        <w:spacing w:after="60"/>
        <w:jc w:val="center"/>
        <w:rPr>
          <w:rFonts w:ascii="Times New Roman" w:hAnsi="Times New Roman" w:cs="Times New Roman"/>
          <w:b/>
          <w:bCs/>
          <w:sz w:val="28"/>
          <w:szCs w:val="28"/>
          <w:lang w:val="en-IN"/>
        </w:rPr>
      </w:pPr>
    </w:p>
    <w:p w14:paraId="5254E18B" w14:textId="77777777" w:rsidR="009C21D6" w:rsidRDefault="009C21D6" w:rsidP="007347CA">
      <w:pPr>
        <w:spacing w:after="60"/>
        <w:jc w:val="center"/>
        <w:rPr>
          <w:rFonts w:ascii="Times New Roman" w:hAnsi="Times New Roman" w:cs="Times New Roman"/>
          <w:b/>
          <w:bCs/>
          <w:sz w:val="28"/>
          <w:szCs w:val="28"/>
          <w:lang w:val="en-IN"/>
        </w:rPr>
      </w:pPr>
    </w:p>
    <w:p w14:paraId="278C0A25" w14:textId="77777777" w:rsidR="009C21D6" w:rsidRDefault="009C21D6" w:rsidP="007347CA">
      <w:pPr>
        <w:spacing w:after="60"/>
        <w:jc w:val="center"/>
        <w:rPr>
          <w:rFonts w:ascii="Times New Roman" w:hAnsi="Times New Roman" w:cs="Times New Roman"/>
          <w:b/>
          <w:bCs/>
          <w:sz w:val="28"/>
          <w:szCs w:val="28"/>
          <w:lang w:val="en-IN"/>
        </w:rPr>
      </w:pPr>
    </w:p>
    <w:p w14:paraId="7F1225B3" w14:textId="77777777" w:rsidR="00B87285" w:rsidRDefault="00B87285" w:rsidP="007347CA">
      <w:pPr>
        <w:spacing w:after="60"/>
        <w:jc w:val="center"/>
        <w:rPr>
          <w:rFonts w:ascii="Times New Roman" w:hAnsi="Times New Roman" w:cs="Times New Roman"/>
          <w:b/>
          <w:bCs/>
          <w:sz w:val="32"/>
          <w:szCs w:val="32"/>
          <w:lang w:val="en-IN"/>
        </w:rPr>
      </w:pPr>
    </w:p>
    <w:p w14:paraId="240B443D" w14:textId="77777777" w:rsidR="00B87285" w:rsidRDefault="00B87285" w:rsidP="007347CA">
      <w:pPr>
        <w:spacing w:after="60"/>
        <w:jc w:val="center"/>
        <w:rPr>
          <w:rFonts w:ascii="Times New Roman" w:hAnsi="Times New Roman" w:cs="Times New Roman"/>
          <w:b/>
          <w:bCs/>
          <w:sz w:val="32"/>
          <w:szCs w:val="32"/>
          <w:lang w:val="en-IN"/>
        </w:rPr>
      </w:pPr>
    </w:p>
    <w:p w14:paraId="0D915548" w14:textId="77777777" w:rsidR="00B87285" w:rsidRDefault="00B87285" w:rsidP="007347CA">
      <w:pPr>
        <w:spacing w:after="60"/>
        <w:jc w:val="center"/>
        <w:rPr>
          <w:rFonts w:ascii="Times New Roman" w:hAnsi="Times New Roman" w:cs="Times New Roman"/>
          <w:b/>
          <w:bCs/>
          <w:sz w:val="32"/>
          <w:szCs w:val="32"/>
          <w:lang w:val="en-IN"/>
        </w:rPr>
      </w:pPr>
    </w:p>
    <w:p w14:paraId="3C46CCFF" w14:textId="5F45A329" w:rsidR="003E68A4" w:rsidRPr="009C21D6" w:rsidRDefault="003E68A4" w:rsidP="007347CA">
      <w:pPr>
        <w:spacing w:after="60"/>
        <w:jc w:val="center"/>
        <w:rPr>
          <w:rFonts w:ascii="Times New Roman" w:hAnsi="Times New Roman" w:cs="Times New Roman"/>
          <w:b/>
          <w:bCs/>
          <w:sz w:val="32"/>
          <w:szCs w:val="32"/>
          <w:lang w:val="en-IN"/>
        </w:rPr>
      </w:pPr>
      <w:r w:rsidRPr="009C21D6">
        <w:rPr>
          <w:rFonts w:ascii="Times New Roman" w:hAnsi="Times New Roman" w:cs="Times New Roman"/>
          <w:b/>
          <w:bCs/>
          <w:sz w:val="32"/>
          <w:szCs w:val="32"/>
          <w:lang w:val="en-IN"/>
        </w:rPr>
        <w:t>Experimental Design and Evaluation Metric Formulation</w:t>
      </w:r>
    </w:p>
    <w:p w14:paraId="03331BEC" w14:textId="77777777" w:rsidR="003E68A4" w:rsidRPr="009C21D6" w:rsidRDefault="003E68A4" w:rsidP="007347CA">
      <w:pPr>
        <w:spacing w:after="60"/>
        <w:jc w:val="center"/>
        <w:rPr>
          <w:rFonts w:ascii="Times New Roman" w:hAnsi="Times New Roman" w:cs="Times New Roman"/>
          <w:sz w:val="28"/>
          <w:szCs w:val="28"/>
          <w:lang w:val="en-IN"/>
        </w:rPr>
      </w:pPr>
      <w:r w:rsidRPr="009C21D6">
        <w:rPr>
          <w:rFonts w:ascii="Times New Roman" w:hAnsi="Times New Roman" w:cs="Times New Roman"/>
          <w:b/>
          <w:bCs/>
          <w:sz w:val="28"/>
          <w:szCs w:val="28"/>
          <w:lang w:val="en-IN"/>
        </w:rPr>
        <w:t>Project Title:</w:t>
      </w:r>
      <w:r w:rsidRPr="009C21D6">
        <w:rPr>
          <w:rFonts w:ascii="Times New Roman" w:hAnsi="Times New Roman" w:cs="Times New Roman"/>
          <w:sz w:val="28"/>
          <w:szCs w:val="28"/>
          <w:lang w:val="en-IN"/>
        </w:rPr>
        <w:t xml:space="preserve"> Carbon Emission Prediction and Sustainability </w:t>
      </w:r>
      <w:proofErr w:type="spellStart"/>
      <w:r w:rsidRPr="009C21D6">
        <w:rPr>
          <w:rFonts w:ascii="Times New Roman" w:hAnsi="Times New Roman" w:cs="Times New Roman"/>
          <w:sz w:val="28"/>
          <w:szCs w:val="28"/>
          <w:lang w:val="en-IN"/>
        </w:rPr>
        <w:t>Modeling</w:t>
      </w:r>
      <w:proofErr w:type="spellEnd"/>
      <w:r w:rsidRPr="009C21D6">
        <w:rPr>
          <w:rFonts w:ascii="Times New Roman" w:hAnsi="Times New Roman" w:cs="Times New Roman"/>
          <w:sz w:val="28"/>
          <w:szCs w:val="28"/>
          <w:lang w:val="en-IN"/>
        </w:rPr>
        <w:t xml:space="preserve"> Framework</w:t>
      </w:r>
    </w:p>
    <w:p w14:paraId="5AC2D292" w14:textId="77777777" w:rsidR="003E68A4" w:rsidRPr="009C21D6" w:rsidRDefault="003E68A4" w:rsidP="007347CA">
      <w:pPr>
        <w:spacing w:after="60"/>
        <w:jc w:val="center"/>
        <w:rPr>
          <w:rFonts w:ascii="Times New Roman" w:hAnsi="Times New Roman" w:cs="Times New Roman"/>
          <w:sz w:val="28"/>
          <w:szCs w:val="28"/>
          <w:lang w:val="en-IN"/>
        </w:rPr>
      </w:pPr>
      <w:r w:rsidRPr="009C21D6">
        <w:rPr>
          <w:rFonts w:ascii="Times New Roman" w:hAnsi="Times New Roman" w:cs="Times New Roman"/>
          <w:b/>
          <w:bCs/>
          <w:sz w:val="28"/>
          <w:szCs w:val="28"/>
          <w:lang w:val="en-IN"/>
        </w:rPr>
        <w:t>Internship:</w:t>
      </w:r>
      <w:r w:rsidRPr="009C21D6">
        <w:rPr>
          <w:rFonts w:ascii="Times New Roman" w:hAnsi="Times New Roman" w:cs="Times New Roman"/>
          <w:sz w:val="28"/>
          <w:szCs w:val="28"/>
          <w:lang w:val="en-IN"/>
        </w:rPr>
        <w:t xml:space="preserve"> Virtual Machine Learning Implementation Intern</w:t>
      </w:r>
    </w:p>
    <w:p w14:paraId="7F1520D3" w14:textId="77777777" w:rsidR="003E68A4" w:rsidRPr="009C21D6" w:rsidRDefault="003E68A4" w:rsidP="007347CA">
      <w:pPr>
        <w:spacing w:after="60"/>
        <w:jc w:val="center"/>
        <w:rPr>
          <w:rFonts w:ascii="Times New Roman" w:hAnsi="Times New Roman" w:cs="Times New Roman"/>
          <w:sz w:val="28"/>
          <w:szCs w:val="28"/>
          <w:lang w:val="en-IN"/>
        </w:rPr>
      </w:pPr>
      <w:r w:rsidRPr="009C21D6">
        <w:rPr>
          <w:rFonts w:ascii="Times New Roman" w:hAnsi="Times New Roman" w:cs="Times New Roman"/>
          <w:b/>
          <w:bCs/>
          <w:sz w:val="28"/>
          <w:szCs w:val="28"/>
          <w:lang w:val="en-IN"/>
        </w:rPr>
        <w:t>Tools and Libraries:</w:t>
      </w:r>
      <w:r w:rsidRPr="009C21D6">
        <w:rPr>
          <w:rFonts w:ascii="Times New Roman" w:hAnsi="Times New Roman" w:cs="Times New Roman"/>
          <w:sz w:val="28"/>
          <w:szCs w:val="28"/>
          <w:lang w:val="en-IN"/>
        </w:rPr>
        <w:t xml:space="preserve"> Python, Pandas, NumPy, Scikit-learn, Matplotlib and Seaborn</w:t>
      </w:r>
    </w:p>
    <w:p w14:paraId="1140676A" w14:textId="77777777" w:rsidR="009C21D6" w:rsidRDefault="009C21D6" w:rsidP="007347CA">
      <w:pPr>
        <w:spacing w:after="60"/>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6899442C" w14:textId="2B770D27"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lastRenderedPageBreak/>
        <w:t>1. Introduction and Objective</w:t>
      </w:r>
    </w:p>
    <w:p w14:paraId="5AD9403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objective of this task is to establish and implement a systematic experimental design for evaluating machine learning models developed for annual country-level CO₂ emission prediction. The experiment aims to assess predictive accuracy, generalization across countries, temporal performance, model stability and prediction errors using appropriate evaluation metrics and validation strategies.</w:t>
      </w:r>
    </w:p>
    <w:p w14:paraId="5B80B3C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Three regression algorithms, Linear Regression, Random Forest Regression and Gradient Boosting Regression, are evaluated using the prepared country-year dataset. Additional experiments include five-fold country-grouped cross-validation, expanding-window rolling-origin evaluation and comparison with a persistence forecasting baseline.</w:t>
      </w:r>
    </w:p>
    <w:p w14:paraId="737EA00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evaluation uses Mean Absolute Error (MAE), Root Mean Squared Error (RMSE) and the coefficient of determination (R²). Error analysis, risk assessment and documentation procedures are included to support reproducibility and responsible interpretation of results.</w:t>
      </w:r>
    </w:p>
    <w:p w14:paraId="50E870F5" w14:textId="77777777" w:rsidR="0059265E" w:rsidRDefault="0059265E" w:rsidP="007347CA">
      <w:pPr>
        <w:spacing w:after="60"/>
        <w:jc w:val="both"/>
        <w:rPr>
          <w:rFonts w:ascii="Times New Roman" w:hAnsi="Times New Roman" w:cs="Times New Roman"/>
          <w:b/>
          <w:bCs/>
          <w:color w:val="1F497D" w:themeColor="text2"/>
          <w:sz w:val="32"/>
          <w:szCs w:val="32"/>
          <w:lang w:val="en-IN"/>
        </w:rPr>
      </w:pPr>
    </w:p>
    <w:p w14:paraId="5BCF1818" w14:textId="54B8CEF5"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t>2. Dataset and Experimental Scope</w:t>
      </w:r>
    </w:p>
    <w:p w14:paraId="51EB2749" w14:textId="77777777" w:rsidR="00845740" w:rsidRDefault="00845740" w:rsidP="007347CA">
      <w:pPr>
        <w:spacing w:after="60"/>
        <w:jc w:val="both"/>
        <w:rPr>
          <w:rFonts w:ascii="Times New Roman" w:hAnsi="Times New Roman" w:cs="Times New Roman"/>
          <w:sz w:val="24"/>
          <w:szCs w:val="24"/>
        </w:rPr>
      </w:pPr>
      <w:r w:rsidRPr="00845740">
        <w:rPr>
          <w:rFonts w:ascii="Times New Roman" w:hAnsi="Times New Roman" w:cs="Times New Roman"/>
          <w:sz w:val="24"/>
          <w:szCs w:val="24"/>
        </w:rPr>
        <w:t>The experiment uses the processed modeling dataset prepared from the Our World in Data CO₂ [7] and Energy [8] datasets, merged using country and year.</w:t>
      </w:r>
    </w:p>
    <w:p w14:paraId="4530EC69" w14:textId="566A9536"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dataset contains:</w:t>
      </w:r>
    </w:p>
    <w:tbl>
      <w:tblPr>
        <w:tblW w:w="68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3981"/>
      </w:tblGrid>
      <w:tr w:rsidR="003E68A4" w:rsidRPr="009C21D6" w14:paraId="7B9C8EF5" w14:textId="77777777" w:rsidTr="00944A15">
        <w:trPr>
          <w:trHeight w:val="20"/>
          <w:tblCellSpacing w:w="15" w:type="dxa"/>
        </w:trPr>
        <w:tc>
          <w:tcPr>
            <w:tcW w:w="0" w:type="auto"/>
            <w:vAlign w:val="center"/>
            <w:hideMark/>
          </w:tcPr>
          <w:p w14:paraId="00EA6039"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Attribute</w:t>
            </w:r>
          </w:p>
        </w:tc>
        <w:tc>
          <w:tcPr>
            <w:tcW w:w="0" w:type="auto"/>
            <w:vAlign w:val="center"/>
            <w:hideMark/>
          </w:tcPr>
          <w:p w14:paraId="3A7A29A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Value</w:t>
            </w:r>
          </w:p>
        </w:tc>
      </w:tr>
      <w:tr w:rsidR="003E68A4" w:rsidRPr="009C21D6" w14:paraId="23C4BCAB" w14:textId="77777777" w:rsidTr="00944A15">
        <w:trPr>
          <w:trHeight w:val="20"/>
          <w:tblCellSpacing w:w="15" w:type="dxa"/>
        </w:trPr>
        <w:tc>
          <w:tcPr>
            <w:tcW w:w="0" w:type="auto"/>
            <w:vAlign w:val="center"/>
            <w:hideMark/>
          </w:tcPr>
          <w:p w14:paraId="40254783"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Countries</w:t>
            </w:r>
          </w:p>
        </w:tc>
        <w:tc>
          <w:tcPr>
            <w:tcW w:w="0" w:type="auto"/>
            <w:vAlign w:val="center"/>
            <w:hideMark/>
          </w:tcPr>
          <w:p w14:paraId="713545D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79</w:t>
            </w:r>
          </w:p>
        </w:tc>
      </w:tr>
      <w:tr w:rsidR="003E68A4" w:rsidRPr="009C21D6" w14:paraId="786F2954" w14:textId="77777777" w:rsidTr="00944A15">
        <w:trPr>
          <w:trHeight w:val="20"/>
          <w:tblCellSpacing w:w="15" w:type="dxa"/>
        </w:trPr>
        <w:tc>
          <w:tcPr>
            <w:tcW w:w="0" w:type="auto"/>
            <w:vAlign w:val="center"/>
            <w:hideMark/>
          </w:tcPr>
          <w:p w14:paraId="4D86C044"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Period</w:t>
            </w:r>
          </w:p>
        </w:tc>
        <w:tc>
          <w:tcPr>
            <w:tcW w:w="0" w:type="auto"/>
            <w:vAlign w:val="center"/>
            <w:hideMark/>
          </w:tcPr>
          <w:p w14:paraId="458AC9D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2000–2022</w:t>
            </w:r>
          </w:p>
        </w:tc>
      </w:tr>
      <w:tr w:rsidR="003E68A4" w:rsidRPr="009C21D6" w14:paraId="215A04DC" w14:textId="77777777" w:rsidTr="00944A15">
        <w:trPr>
          <w:trHeight w:val="20"/>
          <w:tblCellSpacing w:w="15" w:type="dxa"/>
        </w:trPr>
        <w:tc>
          <w:tcPr>
            <w:tcW w:w="0" w:type="auto"/>
            <w:vAlign w:val="center"/>
            <w:hideMark/>
          </w:tcPr>
          <w:p w14:paraId="5B9179FE"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Observations</w:t>
            </w:r>
          </w:p>
        </w:tc>
        <w:tc>
          <w:tcPr>
            <w:tcW w:w="0" w:type="auto"/>
            <w:vAlign w:val="center"/>
            <w:hideMark/>
          </w:tcPr>
          <w:p w14:paraId="7701F67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1,817</w:t>
            </w:r>
          </w:p>
        </w:tc>
      </w:tr>
      <w:tr w:rsidR="003E68A4" w:rsidRPr="009C21D6" w14:paraId="24536F49" w14:textId="77777777" w:rsidTr="00944A15">
        <w:trPr>
          <w:trHeight w:val="20"/>
          <w:tblCellSpacing w:w="15" w:type="dxa"/>
        </w:trPr>
        <w:tc>
          <w:tcPr>
            <w:tcW w:w="0" w:type="auto"/>
            <w:vAlign w:val="center"/>
            <w:hideMark/>
          </w:tcPr>
          <w:p w14:paraId="157931AF"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Predictive features</w:t>
            </w:r>
          </w:p>
        </w:tc>
        <w:tc>
          <w:tcPr>
            <w:tcW w:w="0" w:type="auto"/>
            <w:vAlign w:val="center"/>
            <w:hideMark/>
          </w:tcPr>
          <w:p w14:paraId="6573BE2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13</w:t>
            </w:r>
          </w:p>
        </w:tc>
      </w:tr>
      <w:tr w:rsidR="003E68A4" w:rsidRPr="009C21D6" w14:paraId="7058B39A" w14:textId="77777777" w:rsidTr="00944A15">
        <w:trPr>
          <w:trHeight w:val="20"/>
          <w:tblCellSpacing w:w="15" w:type="dxa"/>
        </w:trPr>
        <w:tc>
          <w:tcPr>
            <w:tcW w:w="0" w:type="auto"/>
            <w:vAlign w:val="center"/>
            <w:hideMark/>
          </w:tcPr>
          <w:p w14:paraId="2FE0FA12"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Target</w:t>
            </w:r>
          </w:p>
        </w:tc>
        <w:tc>
          <w:tcPr>
            <w:tcW w:w="0" w:type="auto"/>
            <w:vAlign w:val="center"/>
            <w:hideMark/>
          </w:tcPr>
          <w:p w14:paraId="64E6410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Annual CO₂ emissions (co2)</w:t>
            </w:r>
          </w:p>
        </w:tc>
      </w:tr>
      <w:tr w:rsidR="003E68A4" w:rsidRPr="009C21D6" w14:paraId="1EB97A1E" w14:textId="77777777" w:rsidTr="00944A15">
        <w:trPr>
          <w:trHeight w:val="20"/>
          <w:tblCellSpacing w:w="15" w:type="dxa"/>
        </w:trPr>
        <w:tc>
          <w:tcPr>
            <w:tcW w:w="0" w:type="auto"/>
            <w:vAlign w:val="center"/>
            <w:hideMark/>
          </w:tcPr>
          <w:p w14:paraId="15EF1EE6"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Target unit</w:t>
            </w:r>
          </w:p>
        </w:tc>
        <w:tc>
          <w:tcPr>
            <w:tcW w:w="0" w:type="auto"/>
            <w:vAlign w:val="center"/>
            <w:hideMark/>
          </w:tcPr>
          <w:p w14:paraId="11810C1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Million tonnes (Mt)</w:t>
            </w:r>
          </w:p>
        </w:tc>
      </w:tr>
    </w:tbl>
    <w:p w14:paraId="4C8E875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predictive features include year, population, GDP, primary energy consumption, fossil-fuel share, renewable-energy indicators, electricity-generation indicators, GDP per capita and energy consumption per capita.</w:t>
      </w:r>
    </w:p>
    <w:p w14:paraId="12EC2360"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experiments cover two distinct prediction tasks:</w:t>
      </w:r>
    </w:p>
    <w:p w14:paraId="0815E7E1" w14:textId="77777777" w:rsidR="003E68A4" w:rsidRPr="009C21D6" w:rsidRDefault="003E68A4" w:rsidP="007347CA">
      <w:pPr>
        <w:numPr>
          <w:ilvl w:val="0"/>
          <w:numId w:val="36"/>
        </w:num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Primary regression:</w:t>
      </w:r>
      <w:r w:rsidRPr="009C21D6">
        <w:rPr>
          <w:rFonts w:ascii="Times New Roman" w:hAnsi="Times New Roman" w:cs="Times New Roman"/>
          <w:sz w:val="24"/>
          <w:szCs w:val="24"/>
          <w:lang w:val="en-IN"/>
        </w:rPr>
        <w:t xml:space="preserve"> Estimate annual CO₂ emissions using contemporaneous socioeconomic and energy-related indicators.</w:t>
      </w:r>
    </w:p>
    <w:p w14:paraId="4B6D5996" w14:textId="77777777" w:rsidR="003E68A4" w:rsidRPr="009C21D6" w:rsidRDefault="003E68A4" w:rsidP="007347CA">
      <w:pPr>
        <w:numPr>
          <w:ilvl w:val="0"/>
          <w:numId w:val="36"/>
        </w:num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Time-series forecasting:</w:t>
      </w:r>
      <w:r w:rsidRPr="009C21D6">
        <w:rPr>
          <w:rFonts w:ascii="Times New Roman" w:hAnsi="Times New Roman" w:cs="Times New Roman"/>
          <w:sz w:val="24"/>
          <w:szCs w:val="24"/>
          <w:lang w:val="en-IN"/>
        </w:rPr>
        <w:t xml:space="preserve"> Estimate subsequent annual emissions using historical country-specific CO₂ lag features and observed socioeconomic and energy-related predictors.</w:t>
      </w:r>
    </w:p>
    <w:p w14:paraId="3D12A7D5"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These tasks are evaluated separately because they use different input structures and validation strategies.</w:t>
      </w:r>
    </w:p>
    <w:p w14:paraId="07765273" w14:textId="77777777" w:rsidR="00DC637D" w:rsidRDefault="00DC637D" w:rsidP="007347CA">
      <w:pPr>
        <w:spacing w:after="60"/>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0FBD7624" w14:textId="25E2C398"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lastRenderedPageBreak/>
        <w:t>3. Evaluation Metrics and Rationale</w:t>
      </w:r>
    </w:p>
    <w:p w14:paraId="7269FBC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target variable is continuous, making regression evaluation metrics appropriate. Classification measures such as accuracy, precision, recall and F1-score are not used because the implemented models predict numerical emission values rather than discrete classes. Scikit-learn provides the regression metrics used in this experiment [4].</w:t>
      </w:r>
    </w:p>
    <w:p w14:paraId="55D15DD3" w14:textId="77777777" w:rsidR="00DE6447" w:rsidRDefault="00DE6447" w:rsidP="007347CA">
      <w:pPr>
        <w:spacing w:after="60"/>
        <w:jc w:val="both"/>
        <w:rPr>
          <w:rFonts w:ascii="Times New Roman" w:hAnsi="Times New Roman" w:cs="Times New Roman"/>
          <w:b/>
          <w:bCs/>
          <w:sz w:val="24"/>
          <w:szCs w:val="24"/>
          <w:lang w:val="en-IN"/>
        </w:rPr>
      </w:pPr>
    </w:p>
    <w:p w14:paraId="66EDAE34" w14:textId="5BEE08B8"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3.1 Mean Absolute Error (MAE)</w:t>
      </w:r>
    </w:p>
    <w:p w14:paraId="4740ECB6"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MAE measures the average absolute difference between actual and predicted emissions.</w:t>
      </w:r>
    </w:p>
    <w:p w14:paraId="20C5EA9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Rationale:</w:t>
      </w:r>
      <w:r w:rsidRPr="009C21D6">
        <w:rPr>
          <w:rFonts w:ascii="Times New Roman" w:hAnsi="Times New Roman" w:cs="Times New Roman"/>
          <w:sz w:val="24"/>
          <w:szCs w:val="24"/>
          <w:lang w:val="en-IN"/>
        </w:rPr>
        <w:t xml:space="preserve"> MAE provides an interpretable measure of the typical prediction error in million tonnes, without squaring the errors. Lower MAE indicates smaller average absolute deviations.</w:t>
      </w:r>
    </w:p>
    <w:p w14:paraId="69D4B3EF" w14:textId="77777777" w:rsidR="00DE6447" w:rsidRDefault="00DE6447" w:rsidP="007347CA">
      <w:pPr>
        <w:spacing w:after="60"/>
        <w:jc w:val="both"/>
        <w:rPr>
          <w:rFonts w:ascii="Times New Roman" w:hAnsi="Times New Roman" w:cs="Times New Roman"/>
          <w:b/>
          <w:bCs/>
          <w:sz w:val="24"/>
          <w:szCs w:val="24"/>
          <w:lang w:val="en-IN"/>
        </w:rPr>
      </w:pPr>
    </w:p>
    <w:p w14:paraId="63C49E75" w14:textId="5C093F78"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3.2 Root Mean Squared Error (RMSE)</w:t>
      </w:r>
    </w:p>
    <w:p w14:paraId="08FFC9E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RMSE is the square root of the average squared difference between actual and predicted values.</w:t>
      </w:r>
    </w:p>
    <w:p w14:paraId="57F206E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Rationale:</w:t>
      </w:r>
      <w:r w:rsidRPr="009C21D6">
        <w:rPr>
          <w:rFonts w:ascii="Times New Roman" w:hAnsi="Times New Roman" w:cs="Times New Roman"/>
          <w:sz w:val="24"/>
          <w:szCs w:val="24"/>
          <w:lang w:val="en-IN"/>
        </w:rPr>
        <w:t xml:space="preserve"> RMSE penalizes large errors more heavily than MAE. It is selected as the primary model-selection metric for the regression experiment because large emission-prediction errors are important to identify and assess. Lower RMSE indicates better performance under this criterion.</w:t>
      </w:r>
    </w:p>
    <w:p w14:paraId="67537D96" w14:textId="77777777" w:rsidR="00DE6447" w:rsidRDefault="00DE6447" w:rsidP="007347CA">
      <w:pPr>
        <w:spacing w:after="60"/>
        <w:jc w:val="both"/>
        <w:rPr>
          <w:rFonts w:ascii="Times New Roman" w:hAnsi="Times New Roman" w:cs="Times New Roman"/>
          <w:b/>
          <w:bCs/>
          <w:sz w:val="24"/>
          <w:szCs w:val="24"/>
          <w:lang w:val="en-IN"/>
        </w:rPr>
      </w:pPr>
    </w:p>
    <w:p w14:paraId="7B0081AB" w14:textId="2007D3C2"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3.3 Coefficient of Determination (R²)</w:t>
      </w:r>
    </w:p>
    <w:p w14:paraId="3CE1102E" w14:textId="487AD6C1" w:rsidR="00DE6447" w:rsidRDefault="008668E0" w:rsidP="007347CA">
      <w:pPr>
        <w:spacing w:after="60"/>
        <w:jc w:val="both"/>
        <w:rPr>
          <w:rFonts w:ascii="Times New Roman" w:hAnsi="Times New Roman" w:cs="Times New Roman"/>
          <w:sz w:val="24"/>
          <w:szCs w:val="24"/>
        </w:rPr>
      </w:pPr>
      <w:r w:rsidRPr="008668E0">
        <w:rPr>
          <w:rFonts w:ascii="Times New Roman" w:hAnsi="Times New Roman" w:cs="Times New Roman"/>
          <w:sz w:val="24"/>
          <w:szCs w:val="24"/>
        </w:rPr>
        <w:t>R² is the coefficient of determination, comparing the model's squared prediction errors with the variation in the observed target values. Higher values generally indicate better predictive fit, while negative values indicate performance worse than the mean-based reference for the evaluated data. It should be interpreted alongside MAE and RMSE.</w:t>
      </w:r>
    </w:p>
    <w:p w14:paraId="71B81A88" w14:textId="77777777" w:rsidR="008668E0" w:rsidRDefault="008668E0" w:rsidP="007347CA">
      <w:pPr>
        <w:spacing w:after="60"/>
        <w:jc w:val="both"/>
        <w:rPr>
          <w:rFonts w:ascii="Times New Roman" w:hAnsi="Times New Roman" w:cs="Times New Roman"/>
          <w:b/>
          <w:bCs/>
          <w:sz w:val="24"/>
          <w:szCs w:val="24"/>
          <w:lang w:val="en-IN"/>
        </w:rPr>
      </w:pPr>
    </w:p>
    <w:p w14:paraId="7D7F6B60" w14:textId="0905C19B"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3.4 Evaluation Criteria</w:t>
      </w:r>
    </w:p>
    <w:p w14:paraId="1C4745F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models are assessed using the following criteria:</w:t>
      </w:r>
    </w:p>
    <w:p w14:paraId="75544449"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Lower MAE and RMSE indicate smaller prediction errors.</w:t>
      </w:r>
    </w:p>
    <w:p w14:paraId="3CCC94C3"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Higher R² indicates greater explained variation.</w:t>
      </w:r>
    </w:p>
    <w:p w14:paraId="0F73DA94"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Smaller variation in cross-validation metrics indicates more consistent performance across folds or validation periods.</w:t>
      </w:r>
    </w:p>
    <w:p w14:paraId="6A951C28"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Performance relative to a simple persistence baseline indicates whether the more complex forecasting model provides additional predictive value.</w:t>
      </w:r>
    </w:p>
    <w:p w14:paraId="756613C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metrics are interpreted together rather than treating any single measure as a complete assessment of model quality.</w:t>
      </w:r>
    </w:p>
    <w:p w14:paraId="48993E8A" w14:textId="77777777" w:rsidR="00DC637D" w:rsidRDefault="00DC637D" w:rsidP="007347CA">
      <w:pPr>
        <w:spacing w:after="60"/>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6812A78A" w14:textId="6145AA0A"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lastRenderedPageBreak/>
        <w:t>4. Experimental Design</w:t>
      </w:r>
    </w:p>
    <w:p w14:paraId="2EB253F1" w14:textId="7777777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4.1 Primary Regression Experiment</w:t>
      </w:r>
    </w:p>
    <w:p w14:paraId="0A4B133B"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The original regression experiment uses a random 70/15/15 training, validation and test split, with </w:t>
      </w:r>
      <w:proofErr w:type="spellStart"/>
      <w:r w:rsidRPr="009C21D6">
        <w:rPr>
          <w:rFonts w:ascii="Times New Roman" w:hAnsi="Times New Roman" w:cs="Times New Roman"/>
          <w:sz w:val="24"/>
          <w:szCs w:val="24"/>
          <w:lang w:val="en-IN"/>
        </w:rPr>
        <w:t>random_state</w:t>
      </w:r>
      <w:proofErr w:type="spellEnd"/>
      <w:r w:rsidRPr="009C21D6">
        <w:rPr>
          <w:rFonts w:ascii="Times New Roman" w:hAnsi="Times New Roman" w:cs="Times New Roman"/>
          <w:sz w:val="24"/>
          <w:szCs w:val="24"/>
          <w:lang w:val="en-IN"/>
        </w:rPr>
        <w:t>=42.</w:t>
      </w:r>
    </w:p>
    <w:p w14:paraId="08822B4E" w14:textId="77777777" w:rsidR="00246CBB" w:rsidRPr="009C21D6" w:rsidRDefault="00246CBB" w:rsidP="007347CA">
      <w:pPr>
        <w:spacing w:after="60"/>
        <w:jc w:val="both"/>
        <w:rPr>
          <w:rFonts w:ascii="Times New Roman" w:hAnsi="Times New Roman" w:cs="Times New Roman"/>
          <w:sz w:val="24"/>
          <w:szCs w:val="24"/>
          <w:lang w:val="en-IN"/>
        </w:rPr>
      </w:pPr>
    </w:p>
    <w:tbl>
      <w:tblPr>
        <w:tblW w:w="72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726"/>
        <w:gridCol w:w="2307"/>
      </w:tblGrid>
      <w:tr w:rsidR="003E68A4" w:rsidRPr="009C21D6" w14:paraId="43C5005C" w14:textId="77777777" w:rsidTr="006D0DE6">
        <w:trPr>
          <w:trHeight w:val="397"/>
          <w:tblCellSpacing w:w="15" w:type="dxa"/>
        </w:trPr>
        <w:tc>
          <w:tcPr>
            <w:tcW w:w="0" w:type="auto"/>
            <w:vAlign w:val="center"/>
            <w:hideMark/>
          </w:tcPr>
          <w:p w14:paraId="7D2D6744"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Subset</w:t>
            </w:r>
          </w:p>
        </w:tc>
        <w:tc>
          <w:tcPr>
            <w:tcW w:w="0" w:type="auto"/>
            <w:vAlign w:val="center"/>
            <w:hideMark/>
          </w:tcPr>
          <w:p w14:paraId="51DF9BAE"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Observations</w:t>
            </w:r>
          </w:p>
        </w:tc>
        <w:tc>
          <w:tcPr>
            <w:tcW w:w="0" w:type="auto"/>
            <w:vAlign w:val="center"/>
            <w:hideMark/>
          </w:tcPr>
          <w:p w14:paraId="0A64455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Proportion</w:t>
            </w:r>
          </w:p>
        </w:tc>
      </w:tr>
      <w:tr w:rsidR="003E68A4" w:rsidRPr="009C21D6" w14:paraId="479F8170" w14:textId="77777777" w:rsidTr="006D0DE6">
        <w:trPr>
          <w:trHeight w:val="397"/>
          <w:tblCellSpacing w:w="15" w:type="dxa"/>
        </w:trPr>
        <w:tc>
          <w:tcPr>
            <w:tcW w:w="0" w:type="auto"/>
            <w:vAlign w:val="center"/>
            <w:hideMark/>
          </w:tcPr>
          <w:p w14:paraId="77AB9685"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Training</w:t>
            </w:r>
          </w:p>
        </w:tc>
        <w:tc>
          <w:tcPr>
            <w:tcW w:w="0" w:type="auto"/>
            <w:vAlign w:val="center"/>
            <w:hideMark/>
          </w:tcPr>
          <w:p w14:paraId="0CBA690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1,271</w:t>
            </w:r>
          </w:p>
        </w:tc>
        <w:tc>
          <w:tcPr>
            <w:tcW w:w="0" w:type="auto"/>
            <w:vAlign w:val="center"/>
            <w:hideMark/>
          </w:tcPr>
          <w:p w14:paraId="665AE21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70%</w:t>
            </w:r>
          </w:p>
        </w:tc>
      </w:tr>
      <w:tr w:rsidR="003E68A4" w:rsidRPr="009C21D6" w14:paraId="267D69FA" w14:textId="77777777" w:rsidTr="006D0DE6">
        <w:trPr>
          <w:trHeight w:val="397"/>
          <w:tblCellSpacing w:w="15" w:type="dxa"/>
        </w:trPr>
        <w:tc>
          <w:tcPr>
            <w:tcW w:w="0" w:type="auto"/>
            <w:vAlign w:val="center"/>
            <w:hideMark/>
          </w:tcPr>
          <w:p w14:paraId="4D3588AB"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Validation</w:t>
            </w:r>
          </w:p>
        </w:tc>
        <w:tc>
          <w:tcPr>
            <w:tcW w:w="0" w:type="auto"/>
            <w:vAlign w:val="center"/>
            <w:hideMark/>
          </w:tcPr>
          <w:p w14:paraId="19C8DFF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273</w:t>
            </w:r>
          </w:p>
        </w:tc>
        <w:tc>
          <w:tcPr>
            <w:tcW w:w="0" w:type="auto"/>
            <w:vAlign w:val="center"/>
            <w:hideMark/>
          </w:tcPr>
          <w:p w14:paraId="4A43CF8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15%</w:t>
            </w:r>
          </w:p>
        </w:tc>
      </w:tr>
      <w:tr w:rsidR="003E68A4" w:rsidRPr="009C21D6" w14:paraId="59A6B519" w14:textId="77777777" w:rsidTr="006D0DE6">
        <w:trPr>
          <w:trHeight w:val="397"/>
          <w:tblCellSpacing w:w="15" w:type="dxa"/>
        </w:trPr>
        <w:tc>
          <w:tcPr>
            <w:tcW w:w="0" w:type="auto"/>
            <w:vAlign w:val="center"/>
            <w:hideMark/>
          </w:tcPr>
          <w:p w14:paraId="34575FEE"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Test</w:t>
            </w:r>
          </w:p>
        </w:tc>
        <w:tc>
          <w:tcPr>
            <w:tcW w:w="0" w:type="auto"/>
            <w:vAlign w:val="center"/>
            <w:hideMark/>
          </w:tcPr>
          <w:p w14:paraId="17080B9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273</w:t>
            </w:r>
          </w:p>
        </w:tc>
        <w:tc>
          <w:tcPr>
            <w:tcW w:w="0" w:type="auto"/>
            <w:vAlign w:val="center"/>
            <w:hideMark/>
          </w:tcPr>
          <w:p w14:paraId="2AB0BF4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15%</w:t>
            </w:r>
          </w:p>
        </w:tc>
      </w:tr>
    </w:tbl>
    <w:p w14:paraId="7F235AE8" w14:textId="77777777" w:rsidR="009E4D0B" w:rsidRDefault="009E4D0B" w:rsidP="007347CA">
      <w:pPr>
        <w:spacing w:after="60"/>
        <w:jc w:val="both"/>
        <w:rPr>
          <w:rFonts w:ascii="Times New Roman" w:hAnsi="Times New Roman" w:cs="Times New Roman"/>
          <w:sz w:val="24"/>
          <w:szCs w:val="24"/>
          <w:lang w:val="en-IN"/>
        </w:rPr>
      </w:pPr>
    </w:p>
    <w:p w14:paraId="6B7E63A9" w14:textId="50F26BEE"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training subset is used to fit the models, the validation subset to compare and select them, and the test subset for final evaluation. Keeping the test set separate from model selection helps avoid optimistic estimates caused by repeatedly tuning models against test results [5].</w:t>
      </w:r>
    </w:p>
    <w:p w14:paraId="6AC2339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 compares:</w:t>
      </w:r>
    </w:p>
    <w:p w14:paraId="374228F5" w14:textId="77777777" w:rsidR="003E68A4" w:rsidRPr="009C21D6" w:rsidRDefault="003E68A4" w:rsidP="007347CA">
      <w:pPr>
        <w:numPr>
          <w:ilvl w:val="0"/>
          <w:numId w:val="38"/>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Linear Regression with </w:t>
      </w:r>
      <w:proofErr w:type="spellStart"/>
      <w:r w:rsidRPr="009C21D6">
        <w:rPr>
          <w:rFonts w:ascii="Times New Roman" w:hAnsi="Times New Roman" w:cs="Times New Roman"/>
          <w:sz w:val="24"/>
          <w:szCs w:val="24"/>
          <w:lang w:val="en-IN"/>
        </w:rPr>
        <w:t>StandardScaler</w:t>
      </w:r>
      <w:proofErr w:type="spellEnd"/>
      <w:r w:rsidRPr="009C21D6">
        <w:rPr>
          <w:rFonts w:ascii="Times New Roman" w:hAnsi="Times New Roman" w:cs="Times New Roman"/>
          <w:sz w:val="24"/>
          <w:szCs w:val="24"/>
          <w:lang w:val="en-IN"/>
        </w:rPr>
        <w:t xml:space="preserve"> preprocessing.</w:t>
      </w:r>
    </w:p>
    <w:p w14:paraId="002A1793" w14:textId="77777777" w:rsidR="003E68A4" w:rsidRPr="009C21D6" w:rsidRDefault="003E68A4" w:rsidP="007347CA">
      <w:pPr>
        <w:numPr>
          <w:ilvl w:val="0"/>
          <w:numId w:val="38"/>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Random Forest Regression with 300 estimators.</w:t>
      </w:r>
    </w:p>
    <w:p w14:paraId="69D70A56" w14:textId="77777777" w:rsidR="003E68A4" w:rsidRPr="009C21D6" w:rsidRDefault="003E68A4" w:rsidP="007347CA">
      <w:pPr>
        <w:numPr>
          <w:ilvl w:val="0"/>
          <w:numId w:val="38"/>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 Regression with 200 estimators, learning rate 0.05 and maximum tree depth 3.</w:t>
      </w:r>
    </w:p>
    <w:p w14:paraId="79B47E53"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All models use the same predictive features and data partitions. The Linear Regression scaler is fitted using training data, while the tree-based models use unscaled features. Preprocessing is fitted within the training data to prevent information leakage from validation or test observations [6].</w:t>
      </w:r>
    </w:p>
    <w:p w14:paraId="184A2834" w14:textId="77777777" w:rsidR="00C02119" w:rsidRDefault="00C02119" w:rsidP="007347CA">
      <w:pPr>
        <w:spacing w:after="60"/>
        <w:jc w:val="both"/>
        <w:rPr>
          <w:rFonts w:ascii="Times New Roman" w:hAnsi="Times New Roman" w:cs="Times New Roman"/>
          <w:b/>
          <w:bCs/>
          <w:sz w:val="24"/>
          <w:szCs w:val="24"/>
          <w:lang w:val="en-IN"/>
        </w:rPr>
      </w:pPr>
    </w:p>
    <w:p w14:paraId="1C5F32C3" w14:textId="7C8869A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4.2 Five-Fold Country-Grouped Cross-Validation</w:t>
      </w:r>
    </w:p>
    <w:p w14:paraId="0B2B1904"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A five-fold </w:t>
      </w:r>
      <w:proofErr w:type="spellStart"/>
      <w:r w:rsidRPr="009C21D6">
        <w:rPr>
          <w:rFonts w:ascii="Times New Roman" w:hAnsi="Times New Roman" w:cs="Times New Roman"/>
          <w:sz w:val="24"/>
          <w:szCs w:val="24"/>
          <w:lang w:val="en-IN"/>
        </w:rPr>
        <w:t>GroupKFold</w:t>
      </w:r>
      <w:proofErr w:type="spellEnd"/>
      <w:r w:rsidRPr="009C21D6">
        <w:rPr>
          <w:rFonts w:ascii="Times New Roman" w:hAnsi="Times New Roman" w:cs="Times New Roman"/>
          <w:sz w:val="24"/>
          <w:szCs w:val="24"/>
          <w:lang w:val="en-IN"/>
        </w:rPr>
        <w:t xml:space="preserve"> experiment is conducted on the original training subset of 1,271 observations. Country is used as the grouping variable. In </w:t>
      </w:r>
      <w:proofErr w:type="spellStart"/>
      <w:r w:rsidRPr="009C21D6">
        <w:rPr>
          <w:rFonts w:ascii="Times New Roman" w:hAnsi="Times New Roman" w:cs="Times New Roman"/>
          <w:sz w:val="24"/>
          <w:szCs w:val="24"/>
          <w:lang w:val="en-IN"/>
        </w:rPr>
        <w:t>GroupKFold</w:t>
      </w:r>
      <w:proofErr w:type="spellEnd"/>
      <w:r w:rsidRPr="009C21D6">
        <w:rPr>
          <w:rFonts w:ascii="Times New Roman" w:hAnsi="Times New Roman" w:cs="Times New Roman"/>
          <w:sz w:val="24"/>
          <w:szCs w:val="24"/>
          <w:lang w:val="en-IN"/>
        </w:rPr>
        <w:t>, groups are kept separate between training and validation within each fold, and each group is used once for validation across the folds [1].</w:t>
      </w:r>
    </w:p>
    <w:p w14:paraId="0F6B6E7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 includes all 79 countries represented in the original training subset. Each fold uses approximately 1,014–1,026 training observations and 245–257 validation observations, with 63–64 training countries and 15–16 validation countries. The recorded country overlap is zero in every fold.</w:t>
      </w:r>
    </w:p>
    <w:p w14:paraId="2778C38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Each of the three regression algorithms is independently fitted and evaluated in all five folds. MAE, RMSE and R² are calculated for each validation fold. The results are summarized using fold-level means and standard deviations, alongside pooled out-of-fold metrics.</w:t>
      </w:r>
    </w:p>
    <w:p w14:paraId="5EF23A7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This experiment assesses generalization to countries excluded from individual training folds. It does not enforce chronological ordering and is therefore distinct from future-year forecasting evaluation.</w:t>
      </w:r>
    </w:p>
    <w:p w14:paraId="7D360AD0" w14:textId="77777777" w:rsidR="00F80121" w:rsidRDefault="00F80121" w:rsidP="007347CA">
      <w:pPr>
        <w:spacing w:after="60"/>
        <w:jc w:val="both"/>
        <w:rPr>
          <w:rFonts w:ascii="Times New Roman" w:hAnsi="Times New Roman" w:cs="Times New Roman"/>
          <w:b/>
          <w:bCs/>
          <w:sz w:val="24"/>
          <w:szCs w:val="24"/>
          <w:lang w:val="en-IN"/>
        </w:rPr>
      </w:pPr>
    </w:p>
    <w:p w14:paraId="0DBA671D" w14:textId="5DAE27B4"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4.3 Expanding-Window Rolling-Origin Evaluation</w:t>
      </w:r>
    </w:p>
    <w:p w14:paraId="431282A0"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A separate rolling-origin experiment evaluates the lag-based Gradient Boosting forecasting model across five successive one-year validation periods, from 2012 to 2016.</w:t>
      </w:r>
    </w:p>
    <w:p w14:paraId="382A0BB8"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lastRenderedPageBreak/>
        <w:t>The training window expands with each fold, and only observations earlier than the validation year are used for model fitting. This follows the rolling-origin principle of evaluating forecasts at successive time points using prior observations [2].</w:t>
      </w:r>
    </w:p>
    <w:p w14:paraId="1B39F9A9" w14:textId="77777777" w:rsidR="00065A15" w:rsidRPr="009C21D6" w:rsidRDefault="00065A15" w:rsidP="007347CA">
      <w:pPr>
        <w:spacing w:after="60"/>
        <w:jc w:val="both"/>
        <w:rPr>
          <w:rFonts w:ascii="Times New Roman" w:hAnsi="Times New Roman" w:cs="Times New Roman"/>
          <w:sz w:val="24"/>
          <w:szCs w:val="24"/>
          <w:lang w:val="en-IN"/>
        </w:rPr>
      </w:pPr>
    </w:p>
    <w:tbl>
      <w:tblPr>
        <w:tblW w:w="1048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3"/>
        <w:gridCol w:w="2856"/>
        <w:gridCol w:w="2789"/>
        <w:gridCol w:w="3923"/>
      </w:tblGrid>
      <w:tr w:rsidR="003E68A4" w:rsidRPr="009C21D6" w14:paraId="77726F8D" w14:textId="77777777" w:rsidTr="006D0DE6">
        <w:trPr>
          <w:trHeight w:val="397"/>
          <w:tblCellSpacing w:w="15" w:type="dxa"/>
        </w:trPr>
        <w:tc>
          <w:tcPr>
            <w:tcW w:w="0" w:type="auto"/>
            <w:vAlign w:val="center"/>
            <w:hideMark/>
          </w:tcPr>
          <w:p w14:paraId="40105248"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Fold</w:t>
            </w:r>
          </w:p>
        </w:tc>
        <w:tc>
          <w:tcPr>
            <w:tcW w:w="0" w:type="auto"/>
            <w:vAlign w:val="center"/>
            <w:hideMark/>
          </w:tcPr>
          <w:p w14:paraId="4D31761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Training period</w:t>
            </w:r>
          </w:p>
        </w:tc>
        <w:tc>
          <w:tcPr>
            <w:tcW w:w="0" w:type="auto"/>
            <w:vAlign w:val="center"/>
            <w:hideMark/>
          </w:tcPr>
          <w:p w14:paraId="7D8C1357"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Validation year</w:t>
            </w:r>
          </w:p>
        </w:tc>
        <w:tc>
          <w:tcPr>
            <w:tcW w:w="0" w:type="auto"/>
            <w:vAlign w:val="center"/>
            <w:hideMark/>
          </w:tcPr>
          <w:p w14:paraId="01CED949"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Training observations</w:t>
            </w:r>
          </w:p>
        </w:tc>
      </w:tr>
      <w:tr w:rsidR="003E68A4" w:rsidRPr="009C21D6" w14:paraId="43453736" w14:textId="77777777" w:rsidTr="006D0DE6">
        <w:trPr>
          <w:trHeight w:val="397"/>
          <w:tblCellSpacing w:w="15" w:type="dxa"/>
        </w:trPr>
        <w:tc>
          <w:tcPr>
            <w:tcW w:w="0" w:type="auto"/>
            <w:vAlign w:val="center"/>
            <w:hideMark/>
          </w:tcPr>
          <w:p w14:paraId="7C2E709A"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1</w:t>
            </w:r>
          </w:p>
        </w:tc>
        <w:tc>
          <w:tcPr>
            <w:tcW w:w="0" w:type="auto"/>
            <w:vAlign w:val="center"/>
            <w:hideMark/>
          </w:tcPr>
          <w:p w14:paraId="1CA2C8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2003–2011</w:t>
            </w:r>
          </w:p>
        </w:tc>
        <w:tc>
          <w:tcPr>
            <w:tcW w:w="0" w:type="auto"/>
            <w:vAlign w:val="center"/>
            <w:hideMark/>
          </w:tcPr>
          <w:p w14:paraId="2C03AF4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2012</w:t>
            </w:r>
          </w:p>
        </w:tc>
        <w:tc>
          <w:tcPr>
            <w:tcW w:w="0" w:type="auto"/>
            <w:vAlign w:val="center"/>
            <w:hideMark/>
          </w:tcPr>
          <w:p w14:paraId="2467F59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711</w:t>
            </w:r>
          </w:p>
        </w:tc>
      </w:tr>
      <w:tr w:rsidR="003E68A4" w:rsidRPr="009C21D6" w14:paraId="73675EC4" w14:textId="77777777" w:rsidTr="006D0DE6">
        <w:trPr>
          <w:trHeight w:val="397"/>
          <w:tblCellSpacing w:w="15" w:type="dxa"/>
        </w:trPr>
        <w:tc>
          <w:tcPr>
            <w:tcW w:w="0" w:type="auto"/>
            <w:vAlign w:val="center"/>
            <w:hideMark/>
          </w:tcPr>
          <w:p w14:paraId="5163E38A"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2</w:t>
            </w:r>
          </w:p>
        </w:tc>
        <w:tc>
          <w:tcPr>
            <w:tcW w:w="0" w:type="auto"/>
            <w:vAlign w:val="center"/>
            <w:hideMark/>
          </w:tcPr>
          <w:p w14:paraId="001D059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2003–2012</w:t>
            </w:r>
          </w:p>
        </w:tc>
        <w:tc>
          <w:tcPr>
            <w:tcW w:w="0" w:type="auto"/>
            <w:vAlign w:val="center"/>
            <w:hideMark/>
          </w:tcPr>
          <w:p w14:paraId="746B5CB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2013</w:t>
            </w:r>
          </w:p>
        </w:tc>
        <w:tc>
          <w:tcPr>
            <w:tcW w:w="0" w:type="auto"/>
            <w:vAlign w:val="center"/>
            <w:hideMark/>
          </w:tcPr>
          <w:p w14:paraId="55D1F9C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790</w:t>
            </w:r>
          </w:p>
        </w:tc>
      </w:tr>
      <w:tr w:rsidR="003E68A4" w:rsidRPr="009C21D6" w14:paraId="3801A640" w14:textId="77777777" w:rsidTr="006D0DE6">
        <w:trPr>
          <w:trHeight w:val="397"/>
          <w:tblCellSpacing w:w="15" w:type="dxa"/>
        </w:trPr>
        <w:tc>
          <w:tcPr>
            <w:tcW w:w="0" w:type="auto"/>
            <w:vAlign w:val="center"/>
            <w:hideMark/>
          </w:tcPr>
          <w:p w14:paraId="5FAB767E"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3</w:t>
            </w:r>
          </w:p>
        </w:tc>
        <w:tc>
          <w:tcPr>
            <w:tcW w:w="0" w:type="auto"/>
            <w:vAlign w:val="center"/>
            <w:hideMark/>
          </w:tcPr>
          <w:p w14:paraId="4FEDB23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2003–2013</w:t>
            </w:r>
          </w:p>
        </w:tc>
        <w:tc>
          <w:tcPr>
            <w:tcW w:w="0" w:type="auto"/>
            <w:vAlign w:val="center"/>
            <w:hideMark/>
          </w:tcPr>
          <w:p w14:paraId="6CD9C34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2014</w:t>
            </w:r>
          </w:p>
        </w:tc>
        <w:tc>
          <w:tcPr>
            <w:tcW w:w="0" w:type="auto"/>
            <w:vAlign w:val="center"/>
            <w:hideMark/>
          </w:tcPr>
          <w:p w14:paraId="7925BE4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869</w:t>
            </w:r>
          </w:p>
        </w:tc>
      </w:tr>
      <w:tr w:rsidR="003E68A4" w:rsidRPr="009C21D6" w14:paraId="1CB76021" w14:textId="77777777" w:rsidTr="006D0DE6">
        <w:trPr>
          <w:trHeight w:val="397"/>
          <w:tblCellSpacing w:w="15" w:type="dxa"/>
        </w:trPr>
        <w:tc>
          <w:tcPr>
            <w:tcW w:w="0" w:type="auto"/>
            <w:vAlign w:val="center"/>
            <w:hideMark/>
          </w:tcPr>
          <w:p w14:paraId="3253B3DA"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4</w:t>
            </w:r>
          </w:p>
        </w:tc>
        <w:tc>
          <w:tcPr>
            <w:tcW w:w="0" w:type="auto"/>
            <w:vAlign w:val="center"/>
            <w:hideMark/>
          </w:tcPr>
          <w:p w14:paraId="50277A6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2003–2014</w:t>
            </w:r>
          </w:p>
        </w:tc>
        <w:tc>
          <w:tcPr>
            <w:tcW w:w="0" w:type="auto"/>
            <w:vAlign w:val="center"/>
            <w:hideMark/>
          </w:tcPr>
          <w:p w14:paraId="1590855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2015</w:t>
            </w:r>
          </w:p>
        </w:tc>
        <w:tc>
          <w:tcPr>
            <w:tcW w:w="0" w:type="auto"/>
            <w:vAlign w:val="center"/>
            <w:hideMark/>
          </w:tcPr>
          <w:p w14:paraId="6457F0A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948</w:t>
            </w:r>
          </w:p>
        </w:tc>
      </w:tr>
      <w:tr w:rsidR="003E68A4" w:rsidRPr="009C21D6" w14:paraId="1DEB7B99" w14:textId="77777777" w:rsidTr="006D0DE6">
        <w:trPr>
          <w:trHeight w:val="397"/>
          <w:tblCellSpacing w:w="15" w:type="dxa"/>
        </w:trPr>
        <w:tc>
          <w:tcPr>
            <w:tcW w:w="0" w:type="auto"/>
            <w:vAlign w:val="center"/>
            <w:hideMark/>
          </w:tcPr>
          <w:p w14:paraId="41EF8D55"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5</w:t>
            </w:r>
          </w:p>
        </w:tc>
        <w:tc>
          <w:tcPr>
            <w:tcW w:w="0" w:type="auto"/>
            <w:vAlign w:val="center"/>
            <w:hideMark/>
          </w:tcPr>
          <w:p w14:paraId="1E0DCA5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2003–2015</w:t>
            </w:r>
          </w:p>
        </w:tc>
        <w:tc>
          <w:tcPr>
            <w:tcW w:w="0" w:type="auto"/>
            <w:vAlign w:val="center"/>
            <w:hideMark/>
          </w:tcPr>
          <w:p w14:paraId="1217A0D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2016</w:t>
            </w:r>
          </w:p>
        </w:tc>
        <w:tc>
          <w:tcPr>
            <w:tcW w:w="0" w:type="auto"/>
            <w:vAlign w:val="center"/>
            <w:hideMark/>
          </w:tcPr>
          <w:p w14:paraId="2F81B43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1,027</w:t>
            </w:r>
          </w:p>
        </w:tc>
      </w:tr>
    </w:tbl>
    <w:p w14:paraId="53BEA347" w14:textId="77777777" w:rsidR="00457175" w:rsidRDefault="00457175" w:rsidP="007347CA">
      <w:pPr>
        <w:spacing w:after="60"/>
        <w:jc w:val="both"/>
        <w:rPr>
          <w:rFonts w:ascii="Times New Roman" w:hAnsi="Times New Roman" w:cs="Times New Roman"/>
          <w:sz w:val="24"/>
          <w:szCs w:val="24"/>
          <w:lang w:val="en-IN"/>
        </w:rPr>
      </w:pPr>
    </w:p>
    <w:p w14:paraId="6DF15959" w14:textId="21E11A6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forecasting model uses the year, socioeconomic and energy-related predictors, and three country-specific CO₂ lag features. Its configuration is 300 estimators, learning rate 0.05, maximum depth 3 and random state 42.</w:t>
      </w:r>
    </w:p>
    <w:p w14:paraId="5EFD9115"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At each validation year, the socioeconomic and energy-related predictors for that year are observed inputs, while CO₂ lag features are based on preceding observed emissions. Accordingly, this experiment evaluates conditional one-year-ahead predictions rather than fully prospective forecasts with unknown future predictors.</w:t>
      </w:r>
    </w:p>
    <w:p w14:paraId="5902AC64" w14:textId="77777777" w:rsidR="00080006" w:rsidRDefault="00080006" w:rsidP="007347CA">
      <w:pPr>
        <w:spacing w:after="60"/>
        <w:jc w:val="both"/>
        <w:rPr>
          <w:rFonts w:ascii="Times New Roman" w:hAnsi="Times New Roman" w:cs="Times New Roman"/>
          <w:b/>
          <w:bCs/>
          <w:sz w:val="24"/>
          <w:szCs w:val="24"/>
          <w:lang w:val="en-IN"/>
        </w:rPr>
      </w:pPr>
    </w:p>
    <w:p w14:paraId="40B3C63E" w14:textId="3DEA1A60"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4.4 Persistence Baseline</w:t>
      </w:r>
    </w:p>
    <w:p w14:paraId="4BC91CC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forecasting model is compared with a persistence baseline, which predicts the next year's emissions using the previous year's observed emissions. This is a simple naïve forecasting method commonly used as a benchmark against more complex models [3].</w:t>
      </w:r>
    </w:p>
    <w:p w14:paraId="7D61D97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baseline is evaluated on the same rolling-origin validation observations and the same final chronological test observations as Gradient Boosting. MAE, RMSE and R² are calculated for both approaches.</w:t>
      </w:r>
    </w:p>
    <w:p w14:paraId="2DE11FB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original forecasting test period comprises the available observations from 2021 and 2022. The Gradient Boosting model is trained on observations through 2016, and its test predictions use observed same-year socioeconomic and energy-related predictors alongside historical CO₂ lags. The persistence baseline uses the previous year's observed CO₂ value.</w:t>
      </w:r>
    </w:p>
    <w:p w14:paraId="3089CB9A"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test comparison is descriptive and is not used to retune or select the original regression model.</w:t>
      </w:r>
    </w:p>
    <w:p w14:paraId="16539C4C" w14:textId="72833749" w:rsidR="00845740" w:rsidRPr="009C21D6" w:rsidRDefault="00845740" w:rsidP="007347CA">
      <w:pPr>
        <w:spacing w:after="60"/>
        <w:jc w:val="both"/>
        <w:rPr>
          <w:rFonts w:ascii="Times New Roman" w:hAnsi="Times New Roman" w:cs="Times New Roman"/>
          <w:sz w:val="24"/>
          <w:szCs w:val="24"/>
          <w:lang w:val="en-IN"/>
        </w:rPr>
      </w:pPr>
      <w:r w:rsidRPr="00845740">
        <w:rPr>
          <w:rFonts w:ascii="Times New Roman" w:hAnsi="Times New Roman" w:cs="Times New Roman"/>
          <w:sz w:val="24"/>
          <w:szCs w:val="24"/>
        </w:rPr>
        <w:t>The predictions are evaluated sequentially: the 2021 prediction uses observed historical emissions through 2020, and the 2022 prediction uses the observed 2021 emissions as its latest CO₂ lag. Therefore, the test metrics represent sequential one-year-ahead conditional predictions rather than a single forecast of both years made at the end of 2020.</w:t>
      </w:r>
    </w:p>
    <w:p w14:paraId="545408B5" w14:textId="77777777" w:rsidR="00DC637D" w:rsidRDefault="00DC637D" w:rsidP="007347CA">
      <w:pPr>
        <w:spacing w:after="60"/>
        <w:rPr>
          <w:rFonts w:ascii="Times New Roman" w:hAnsi="Times New Roman" w:cs="Times New Roman"/>
          <w:b/>
          <w:bCs/>
          <w:sz w:val="32"/>
          <w:szCs w:val="32"/>
          <w:lang w:val="en-IN"/>
        </w:rPr>
      </w:pPr>
      <w:r>
        <w:rPr>
          <w:rFonts w:ascii="Times New Roman" w:hAnsi="Times New Roman" w:cs="Times New Roman"/>
          <w:b/>
          <w:bCs/>
          <w:sz w:val="32"/>
          <w:szCs w:val="32"/>
          <w:lang w:val="en-IN"/>
        </w:rPr>
        <w:br w:type="page"/>
      </w:r>
    </w:p>
    <w:p w14:paraId="3154A7EA" w14:textId="3A01061B" w:rsidR="003E68A4" w:rsidRPr="00C61F1E" w:rsidRDefault="003E68A4" w:rsidP="007347CA">
      <w:pPr>
        <w:spacing w:after="60"/>
        <w:jc w:val="both"/>
        <w:rPr>
          <w:rFonts w:ascii="Times New Roman" w:hAnsi="Times New Roman" w:cs="Times New Roman"/>
          <w:b/>
          <w:bCs/>
          <w:color w:val="1F497D" w:themeColor="text2"/>
          <w:sz w:val="32"/>
          <w:szCs w:val="32"/>
          <w:lang w:val="en-IN"/>
        </w:rPr>
      </w:pPr>
      <w:r w:rsidRPr="00C61F1E">
        <w:rPr>
          <w:rFonts w:ascii="Times New Roman" w:hAnsi="Times New Roman" w:cs="Times New Roman"/>
          <w:b/>
          <w:bCs/>
          <w:color w:val="1F497D" w:themeColor="text2"/>
          <w:sz w:val="32"/>
          <w:szCs w:val="32"/>
          <w:lang w:val="en-IN"/>
        </w:rPr>
        <w:lastRenderedPageBreak/>
        <w:t>5. Experimental Results</w:t>
      </w:r>
    </w:p>
    <w:p w14:paraId="17BA951A" w14:textId="7777777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5.1 Primary Regression Validation</w:t>
      </w:r>
    </w:p>
    <w:p w14:paraId="3E69C371" w14:textId="3D33C1AF" w:rsidR="00812B63"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original random-split regression experiment produced the following validation results:</w:t>
      </w:r>
    </w:p>
    <w:tbl>
      <w:tblPr>
        <w:tblW w:w="7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2"/>
        <w:gridCol w:w="1805"/>
        <w:gridCol w:w="2013"/>
        <w:gridCol w:w="1154"/>
      </w:tblGrid>
      <w:tr w:rsidR="003E68A4" w:rsidRPr="009C21D6" w14:paraId="7F4C32FB" w14:textId="77777777" w:rsidTr="006D0DE6">
        <w:trPr>
          <w:trHeight w:val="20"/>
          <w:tblCellSpacing w:w="15" w:type="dxa"/>
        </w:trPr>
        <w:tc>
          <w:tcPr>
            <w:tcW w:w="0" w:type="auto"/>
            <w:vAlign w:val="center"/>
            <w:hideMark/>
          </w:tcPr>
          <w:p w14:paraId="731C465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Model</w:t>
            </w:r>
          </w:p>
        </w:tc>
        <w:tc>
          <w:tcPr>
            <w:tcW w:w="0" w:type="auto"/>
            <w:vAlign w:val="center"/>
            <w:hideMark/>
          </w:tcPr>
          <w:p w14:paraId="1EC38EE3"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MAE (Mt)</w:t>
            </w:r>
          </w:p>
        </w:tc>
        <w:tc>
          <w:tcPr>
            <w:tcW w:w="0" w:type="auto"/>
            <w:vAlign w:val="center"/>
            <w:hideMark/>
          </w:tcPr>
          <w:p w14:paraId="4F4D6A1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RMSE (Mt)</w:t>
            </w:r>
          </w:p>
        </w:tc>
        <w:tc>
          <w:tcPr>
            <w:tcW w:w="0" w:type="auto"/>
            <w:vAlign w:val="center"/>
            <w:hideMark/>
          </w:tcPr>
          <w:p w14:paraId="67ECB79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R²</w:t>
            </w:r>
          </w:p>
        </w:tc>
      </w:tr>
      <w:tr w:rsidR="003E68A4" w:rsidRPr="009C21D6" w14:paraId="06DAEC44" w14:textId="77777777" w:rsidTr="006D0DE6">
        <w:trPr>
          <w:trHeight w:val="20"/>
          <w:tblCellSpacing w:w="15" w:type="dxa"/>
        </w:trPr>
        <w:tc>
          <w:tcPr>
            <w:tcW w:w="0" w:type="auto"/>
            <w:vAlign w:val="center"/>
            <w:hideMark/>
          </w:tcPr>
          <w:p w14:paraId="294CD58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Linear Regression</w:t>
            </w:r>
          </w:p>
        </w:tc>
        <w:tc>
          <w:tcPr>
            <w:tcW w:w="0" w:type="auto"/>
            <w:vAlign w:val="center"/>
            <w:hideMark/>
          </w:tcPr>
          <w:p w14:paraId="03A93A3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61.5610</w:t>
            </w:r>
          </w:p>
        </w:tc>
        <w:tc>
          <w:tcPr>
            <w:tcW w:w="0" w:type="auto"/>
            <w:vAlign w:val="center"/>
            <w:hideMark/>
          </w:tcPr>
          <w:p w14:paraId="0E2A5DF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101.1142</w:t>
            </w:r>
          </w:p>
        </w:tc>
        <w:tc>
          <w:tcPr>
            <w:tcW w:w="0" w:type="auto"/>
            <w:vAlign w:val="center"/>
            <w:hideMark/>
          </w:tcPr>
          <w:p w14:paraId="0A62AED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0.9925</w:t>
            </w:r>
          </w:p>
        </w:tc>
      </w:tr>
      <w:tr w:rsidR="003E68A4" w:rsidRPr="009C21D6" w14:paraId="0EC84DBE" w14:textId="77777777" w:rsidTr="006D0DE6">
        <w:trPr>
          <w:trHeight w:val="20"/>
          <w:tblCellSpacing w:w="15" w:type="dxa"/>
        </w:trPr>
        <w:tc>
          <w:tcPr>
            <w:tcW w:w="0" w:type="auto"/>
            <w:vAlign w:val="center"/>
            <w:hideMark/>
          </w:tcPr>
          <w:p w14:paraId="17A6A4F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Random Forest</w:t>
            </w:r>
          </w:p>
        </w:tc>
        <w:tc>
          <w:tcPr>
            <w:tcW w:w="0" w:type="auto"/>
            <w:vAlign w:val="center"/>
            <w:hideMark/>
          </w:tcPr>
          <w:p w14:paraId="6F13CE1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16.3121</w:t>
            </w:r>
          </w:p>
        </w:tc>
        <w:tc>
          <w:tcPr>
            <w:tcW w:w="0" w:type="auto"/>
            <w:vAlign w:val="center"/>
            <w:hideMark/>
          </w:tcPr>
          <w:p w14:paraId="65D6BFF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60.7112</w:t>
            </w:r>
          </w:p>
        </w:tc>
        <w:tc>
          <w:tcPr>
            <w:tcW w:w="0" w:type="auto"/>
            <w:vAlign w:val="center"/>
            <w:hideMark/>
          </w:tcPr>
          <w:p w14:paraId="7A90598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0.9973</w:t>
            </w:r>
          </w:p>
        </w:tc>
      </w:tr>
      <w:tr w:rsidR="003E68A4" w:rsidRPr="009C21D6" w14:paraId="5E17B9B7" w14:textId="77777777" w:rsidTr="006D0DE6">
        <w:trPr>
          <w:trHeight w:val="20"/>
          <w:tblCellSpacing w:w="15" w:type="dxa"/>
        </w:trPr>
        <w:tc>
          <w:tcPr>
            <w:tcW w:w="0" w:type="auto"/>
            <w:vAlign w:val="center"/>
            <w:hideMark/>
          </w:tcPr>
          <w:p w14:paraId="355B2B7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w:t>
            </w:r>
          </w:p>
        </w:tc>
        <w:tc>
          <w:tcPr>
            <w:tcW w:w="0" w:type="auto"/>
            <w:vAlign w:val="center"/>
            <w:hideMark/>
          </w:tcPr>
          <w:p w14:paraId="05A066D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20.9371</w:t>
            </w:r>
          </w:p>
        </w:tc>
        <w:tc>
          <w:tcPr>
            <w:tcW w:w="0" w:type="auto"/>
            <w:vAlign w:val="center"/>
            <w:hideMark/>
          </w:tcPr>
          <w:p w14:paraId="759595A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41.6238</w:t>
            </w:r>
          </w:p>
        </w:tc>
        <w:tc>
          <w:tcPr>
            <w:tcW w:w="0" w:type="auto"/>
            <w:vAlign w:val="center"/>
            <w:hideMark/>
          </w:tcPr>
          <w:p w14:paraId="069A075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0.9987</w:t>
            </w:r>
          </w:p>
        </w:tc>
      </w:tr>
    </w:tbl>
    <w:p w14:paraId="0F7F393F" w14:textId="77777777" w:rsidR="00954D63" w:rsidRDefault="00954D63" w:rsidP="007347CA">
      <w:pPr>
        <w:spacing w:after="60"/>
        <w:jc w:val="both"/>
        <w:rPr>
          <w:rFonts w:ascii="Times New Roman" w:hAnsi="Times New Roman" w:cs="Times New Roman"/>
          <w:sz w:val="24"/>
          <w:szCs w:val="24"/>
          <w:lang w:val="en-IN"/>
        </w:rPr>
      </w:pPr>
    </w:p>
    <w:p w14:paraId="019F6EA1" w14:textId="568FBD8F" w:rsidR="00A5627E"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 achieved the lowest validation RMSE and highest validation R², while Random Forest achieved the lowest validation MAE. Gradient Boosting was selected according to the predefined primary criterion of validation RMSE.</w:t>
      </w:r>
    </w:p>
    <w:p w14:paraId="5CAFBCD9" w14:textId="3C40162C" w:rsidR="00954D63" w:rsidRPr="009C21D6" w:rsidRDefault="003E68A4" w:rsidP="007347CA">
      <w:pPr>
        <w:spacing w:after="60"/>
        <w:jc w:val="both"/>
        <w:rPr>
          <w:rFonts w:ascii="Times New Roman" w:hAnsi="Times New Roman" w:cs="Times New Roman"/>
          <w:sz w:val="24"/>
          <w:szCs w:val="24"/>
          <w:lang w:val="en-IN"/>
        </w:rPr>
      </w:pPr>
      <w:proofErr w:type="spellStart"/>
      <w:r w:rsidRPr="009C21D6">
        <w:rPr>
          <w:rFonts w:ascii="Times New Roman" w:hAnsi="Times New Roman" w:cs="Times New Roman"/>
          <w:sz w:val="24"/>
          <w:szCs w:val="24"/>
          <w:lang w:val="en-IN"/>
        </w:rPr>
        <w:t>Its</w:t>
      </w:r>
      <w:proofErr w:type="spellEnd"/>
      <w:r w:rsidRPr="009C21D6">
        <w:rPr>
          <w:rFonts w:ascii="Times New Roman" w:hAnsi="Times New Roman" w:cs="Times New Roman"/>
          <w:sz w:val="24"/>
          <w:szCs w:val="24"/>
          <w:lang w:val="en-IN"/>
        </w:rPr>
        <w:t xml:space="preserve"> held-out test results were:</w:t>
      </w:r>
    </w:p>
    <w:tbl>
      <w:tblPr>
        <w:tblW w:w="45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3265"/>
      </w:tblGrid>
      <w:tr w:rsidR="003E68A4" w:rsidRPr="009C21D6" w14:paraId="4B138A35" w14:textId="77777777" w:rsidTr="00FF4C69">
        <w:trPr>
          <w:trHeight w:val="510"/>
          <w:tblCellSpacing w:w="15" w:type="dxa"/>
        </w:trPr>
        <w:tc>
          <w:tcPr>
            <w:tcW w:w="0" w:type="auto"/>
            <w:vAlign w:val="center"/>
            <w:hideMark/>
          </w:tcPr>
          <w:p w14:paraId="0FE2CAC2"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Metric</w:t>
            </w:r>
          </w:p>
        </w:tc>
        <w:tc>
          <w:tcPr>
            <w:tcW w:w="0" w:type="auto"/>
            <w:vAlign w:val="center"/>
            <w:hideMark/>
          </w:tcPr>
          <w:p w14:paraId="0A8929C1"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Gradient Boosting</w:t>
            </w:r>
          </w:p>
        </w:tc>
      </w:tr>
      <w:tr w:rsidR="003E68A4" w:rsidRPr="009C21D6" w14:paraId="60F549C1" w14:textId="77777777" w:rsidTr="00FF4C69">
        <w:trPr>
          <w:trHeight w:val="527"/>
          <w:tblCellSpacing w:w="15" w:type="dxa"/>
        </w:trPr>
        <w:tc>
          <w:tcPr>
            <w:tcW w:w="0" w:type="auto"/>
            <w:vAlign w:val="center"/>
            <w:hideMark/>
          </w:tcPr>
          <w:p w14:paraId="47A9FCD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MAE</w:t>
            </w:r>
          </w:p>
        </w:tc>
        <w:tc>
          <w:tcPr>
            <w:tcW w:w="0" w:type="auto"/>
            <w:vAlign w:val="center"/>
            <w:hideMark/>
          </w:tcPr>
          <w:p w14:paraId="5F55283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22.5743 Mt</w:t>
            </w:r>
          </w:p>
        </w:tc>
      </w:tr>
      <w:tr w:rsidR="003E68A4" w:rsidRPr="009C21D6" w14:paraId="21FCF694" w14:textId="77777777" w:rsidTr="00FF4C69">
        <w:trPr>
          <w:trHeight w:val="527"/>
          <w:tblCellSpacing w:w="15" w:type="dxa"/>
        </w:trPr>
        <w:tc>
          <w:tcPr>
            <w:tcW w:w="0" w:type="auto"/>
            <w:vAlign w:val="center"/>
            <w:hideMark/>
          </w:tcPr>
          <w:p w14:paraId="3D1B67A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RMSE</w:t>
            </w:r>
          </w:p>
        </w:tc>
        <w:tc>
          <w:tcPr>
            <w:tcW w:w="0" w:type="auto"/>
            <w:vAlign w:val="center"/>
            <w:hideMark/>
          </w:tcPr>
          <w:p w14:paraId="5F6432C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68.9022 Mt</w:t>
            </w:r>
          </w:p>
        </w:tc>
      </w:tr>
      <w:tr w:rsidR="003E68A4" w:rsidRPr="009C21D6" w14:paraId="3181A210" w14:textId="77777777" w:rsidTr="00FF4C69">
        <w:trPr>
          <w:trHeight w:val="510"/>
          <w:tblCellSpacing w:w="15" w:type="dxa"/>
        </w:trPr>
        <w:tc>
          <w:tcPr>
            <w:tcW w:w="0" w:type="auto"/>
            <w:vAlign w:val="center"/>
            <w:hideMark/>
          </w:tcPr>
          <w:p w14:paraId="008C500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R²</w:t>
            </w:r>
          </w:p>
        </w:tc>
        <w:tc>
          <w:tcPr>
            <w:tcW w:w="0" w:type="auto"/>
            <w:vAlign w:val="center"/>
            <w:hideMark/>
          </w:tcPr>
          <w:p w14:paraId="21E6E23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0.9973</w:t>
            </w:r>
          </w:p>
        </w:tc>
      </w:tr>
    </w:tbl>
    <w:p w14:paraId="027E2A92" w14:textId="77777777" w:rsidR="00954D63" w:rsidRDefault="00954D63" w:rsidP="007347CA">
      <w:pPr>
        <w:spacing w:after="60"/>
        <w:jc w:val="both"/>
        <w:rPr>
          <w:rFonts w:ascii="Times New Roman" w:hAnsi="Times New Roman" w:cs="Times New Roman"/>
          <w:b/>
          <w:bCs/>
          <w:sz w:val="24"/>
          <w:szCs w:val="24"/>
          <w:lang w:val="en-IN"/>
        </w:rPr>
      </w:pPr>
    </w:p>
    <w:p w14:paraId="553320BB" w14:textId="5CECC63E"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5.2 Country-Grouped Cross-Validation Results</w:t>
      </w:r>
    </w:p>
    <w:p w14:paraId="257B911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five-fold country-grouped cross-validation produced the following summary:</w:t>
      </w:r>
    </w:p>
    <w:tbl>
      <w:tblPr>
        <w:tblW w:w="105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3"/>
        <w:gridCol w:w="2345"/>
        <w:gridCol w:w="1041"/>
        <w:gridCol w:w="2482"/>
        <w:gridCol w:w="1178"/>
        <w:gridCol w:w="1494"/>
      </w:tblGrid>
      <w:tr w:rsidR="003E68A4" w:rsidRPr="009C21D6" w14:paraId="00B7026E" w14:textId="77777777" w:rsidTr="00E75846">
        <w:trPr>
          <w:trHeight w:val="377"/>
          <w:tblCellSpacing w:w="15" w:type="dxa"/>
        </w:trPr>
        <w:tc>
          <w:tcPr>
            <w:tcW w:w="0" w:type="auto"/>
            <w:vAlign w:val="center"/>
            <w:hideMark/>
          </w:tcPr>
          <w:p w14:paraId="107B12B4"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Model</w:t>
            </w:r>
          </w:p>
        </w:tc>
        <w:tc>
          <w:tcPr>
            <w:tcW w:w="0" w:type="auto"/>
            <w:vAlign w:val="center"/>
            <w:hideMark/>
          </w:tcPr>
          <w:p w14:paraId="5C893EF5"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Mean fold MAE (Mt)</w:t>
            </w:r>
          </w:p>
        </w:tc>
        <w:tc>
          <w:tcPr>
            <w:tcW w:w="0" w:type="auto"/>
            <w:vAlign w:val="center"/>
            <w:hideMark/>
          </w:tcPr>
          <w:p w14:paraId="1841265B"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MAE SD</w:t>
            </w:r>
          </w:p>
        </w:tc>
        <w:tc>
          <w:tcPr>
            <w:tcW w:w="0" w:type="auto"/>
            <w:vAlign w:val="center"/>
            <w:hideMark/>
          </w:tcPr>
          <w:p w14:paraId="1669335F"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Mean fold RMSE (Mt)</w:t>
            </w:r>
          </w:p>
        </w:tc>
        <w:tc>
          <w:tcPr>
            <w:tcW w:w="0" w:type="auto"/>
            <w:vAlign w:val="center"/>
            <w:hideMark/>
          </w:tcPr>
          <w:p w14:paraId="5CE493D5"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RMSE SD</w:t>
            </w:r>
          </w:p>
        </w:tc>
        <w:tc>
          <w:tcPr>
            <w:tcW w:w="0" w:type="auto"/>
            <w:vAlign w:val="center"/>
            <w:hideMark/>
          </w:tcPr>
          <w:p w14:paraId="480847CB"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Mean fold R²</w:t>
            </w:r>
          </w:p>
        </w:tc>
      </w:tr>
      <w:tr w:rsidR="003E68A4" w:rsidRPr="009C21D6" w14:paraId="0BE3C4C4" w14:textId="77777777" w:rsidTr="00E75846">
        <w:trPr>
          <w:trHeight w:val="388"/>
          <w:tblCellSpacing w:w="15" w:type="dxa"/>
        </w:trPr>
        <w:tc>
          <w:tcPr>
            <w:tcW w:w="0" w:type="auto"/>
            <w:vAlign w:val="center"/>
            <w:hideMark/>
          </w:tcPr>
          <w:p w14:paraId="07E4D49C"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Linear Regression</w:t>
            </w:r>
          </w:p>
        </w:tc>
        <w:tc>
          <w:tcPr>
            <w:tcW w:w="0" w:type="auto"/>
            <w:vAlign w:val="center"/>
            <w:hideMark/>
          </w:tcPr>
          <w:p w14:paraId="70BD234F"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95.6660</w:t>
            </w:r>
          </w:p>
        </w:tc>
        <w:tc>
          <w:tcPr>
            <w:tcW w:w="0" w:type="auto"/>
            <w:vAlign w:val="center"/>
            <w:hideMark/>
          </w:tcPr>
          <w:p w14:paraId="230093B6"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48.0108</w:t>
            </w:r>
          </w:p>
        </w:tc>
        <w:tc>
          <w:tcPr>
            <w:tcW w:w="0" w:type="auto"/>
            <w:vAlign w:val="center"/>
            <w:hideMark/>
          </w:tcPr>
          <w:p w14:paraId="682F6EAD"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223.6568</w:t>
            </w:r>
          </w:p>
        </w:tc>
        <w:tc>
          <w:tcPr>
            <w:tcW w:w="0" w:type="auto"/>
            <w:vAlign w:val="center"/>
            <w:hideMark/>
          </w:tcPr>
          <w:p w14:paraId="7EB5E093"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192.8209</w:t>
            </w:r>
          </w:p>
        </w:tc>
        <w:tc>
          <w:tcPr>
            <w:tcW w:w="0" w:type="auto"/>
            <w:vAlign w:val="center"/>
            <w:hideMark/>
          </w:tcPr>
          <w:p w14:paraId="22755FAA"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0.8357</w:t>
            </w:r>
          </w:p>
        </w:tc>
      </w:tr>
      <w:tr w:rsidR="003E68A4" w:rsidRPr="009C21D6" w14:paraId="2E5FDBAA" w14:textId="77777777" w:rsidTr="00E75846">
        <w:trPr>
          <w:trHeight w:val="388"/>
          <w:tblCellSpacing w:w="15" w:type="dxa"/>
        </w:trPr>
        <w:tc>
          <w:tcPr>
            <w:tcW w:w="0" w:type="auto"/>
            <w:vAlign w:val="center"/>
            <w:hideMark/>
          </w:tcPr>
          <w:p w14:paraId="3C005C09"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Random Forest</w:t>
            </w:r>
          </w:p>
        </w:tc>
        <w:tc>
          <w:tcPr>
            <w:tcW w:w="0" w:type="auto"/>
            <w:vAlign w:val="center"/>
            <w:hideMark/>
          </w:tcPr>
          <w:p w14:paraId="74D78E06"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137.3656</w:t>
            </w:r>
          </w:p>
        </w:tc>
        <w:tc>
          <w:tcPr>
            <w:tcW w:w="0" w:type="auto"/>
            <w:vAlign w:val="center"/>
            <w:hideMark/>
          </w:tcPr>
          <w:p w14:paraId="0C706455"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109.4486</w:t>
            </w:r>
          </w:p>
        </w:tc>
        <w:tc>
          <w:tcPr>
            <w:tcW w:w="0" w:type="auto"/>
            <w:vAlign w:val="center"/>
            <w:hideMark/>
          </w:tcPr>
          <w:p w14:paraId="4EC5D6F0"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402.3206</w:t>
            </w:r>
          </w:p>
        </w:tc>
        <w:tc>
          <w:tcPr>
            <w:tcW w:w="0" w:type="auto"/>
            <w:vAlign w:val="center"/>
            <w:hideMark/>
          </w:tcPr>
          <w:p w14:paraId="16D388A9"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390.6787</w:t>
            </w:r>
          </w:p>
        </w:tc>
        <w:tc>
          <w:tcPr>
            <w:tcW w:w="0" w:type="auto"/>
            <w:vAlign w:val="center"/>
            <w:hideMark/>
          </w:tcPr>
          <w:p w14:paraId="4C2E7C35"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0.6462</w:t>
            </w:r>
          </w:p>
        </w:tc>
      </w:tr>
      <w:tr w:rsidR="003E68A4" w:rsidRPr="009C21D6" w14:paraId="01E96EB0" w14:textId="77777777" w:rsidTr="00E75846">
        <w:trPr>
          <w:trHeight w:val="377"/>
          <w:tblCellSpacing w:w="15" w:type="dxa"/>
        </w:trPr>
        <w:tc>
          <w:tcPr>
            <w:tcW w:w="0" w:type="auto"/>
            <w:vAlign w:val="center"/>
            <w:hideMark/>
          </w:tcPr>
          <w:p w14:paraId="2E7ADD81"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Gradient Boosting</w:t>
            </w:r>
          </w:p>
        </w:tc>
        <w:tc>
          <w:tcPr>
            <w:tcW w:w="0" w:type="auto"/>
            <w:vAlign w:val="center"/>
            <w:hideMark/>
          </w:tcPr>
          <w:p w14:paraId="3A90620C"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138.3619</w:t>
            </w:r>
          </w:p>
        </w:tc>
        <w:tc>
          <w:tcPr>
            <w:tcW w:w="0" w:type="auto"/>
            <w:vAlign w:val="center"/>
            <w:hideMark/>
          </w:tcPr>
          <w:p w14:paraId="500E4B70"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128.5862</w:t>
            </w:r>
          </w:p>
        </w:tc>
        <w:tc>
          <w:tcPr>
            <w:tcW w:w="0" w:type="auto"/>
            <w:vAlign w:val="center"/>
            <w:hideMark/>
          </w:tcPr>
          <w:p w14:paraId="4F70E2CD"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411.5741</w:t>
            </w:r>
          </w:p>
        </w:tc>
        <w:tc>
          <w:tcPr>
            <w:tcW w:w="0" w:type="auto"/>
            <w:vAlign w:val="center"/>
            <w:hideMark/>
          </w:tcPr>
          <w:p w14:paraId="38B9A784"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456.5460</w:t>
            </w:r>
          </w:p>
        </w:tc>
        <w:tc>
          <w:tcPr>
            <w:tcW w:w="0" w:type="auto"/>
            <w:vAlign w:val="center"/>
            <w:hideMark/>
          </w:tcPr>
          <w:p w14:paraId="455C5303"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0.7752</w:t>
            </w:r>
          </w:p>
        </w:tc>
      </w:tr>
    </w:tbl>
    <w:p w14:paraId="5961D4D2" w14:textId="77777777" w:rsidR="002B4857" w:rsidRDefault="002B4857" w:rsidP="007347CA">
      <w:pPr>
        <w:spacing w:after="60"/>
        <w:jc w:val="both"/>
        <w:rPr>
          <w:rFonts w:ascii="Times New Roman" w:hAnsi="Times New Roman" w:cs="Times New Roman"/>
          <w:sz w:val="24"/>
          <w:szCs w:val="24"/>
          <w:lang w:val="en-IN"/>
        </w:rPr>
      </w:pPr>
    </w:p>
    <w:p w14:paraId="73480C2F" w14:textId="745E1BEA"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pooled out-of-fold results were:</w:t>
      </w:r>
    </w:p>
    <w:tbl>
      <w:tblPr>
        <w:tblW w:w="102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3"/>
        <w:gridCol w:w="2906"/>
        <w:gridCol w:w="3062"/>
        <w:gridCol w:w="1944"/>
      </w:tblGrid>
      <w:tr w:rsidR="003E68A4" w:rsidRPr="009C21D6" w14:paraId="394E5DED" w14:textId="77777777" w:rsidTr="00BA5005">
        <w:trPr>
          <w:trHeight w:val="371"/>
          <w:tblCellSpacing w:w="15" w:type="dxa"/>
        </w:trPr>
        <w:tc>
          <w:tcPr>
            <w:tcW w:w="0" w:type="auto"/>
            <w:vAlign w:val="center"/>
            <w:hideMark/>
          </w:tcPr>
          <w:p w14:paraId="2E085466"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Model</w:t>
            </w:r>
          </w:p>
        </w:tc>
        <w:tc>
          <w:tcPr>
            <w:tcW w:w="0" w:type="auto"/>
            <w:vAlign w:val="center"/>
            <w:hideMark/>
          </w:tcPr>
          <w:p w14:paraId="109A9810"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Pooled OOF MAE (Mt)</w:t>
            </w:r>
          </w:p>
        </w:tc>
        <w:tc>
          <w:tcPr>
            <w:tcW w:w="0" w:type="auto"/>
            <w:vAlign w:val="center"/>
            <w:hideMark/>
          </w:tcPr>
          <w:p w14:paraId="15C84A79"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Pooled OOF RMSE (Mt)</w:t>
            </w:r>
          </w:p>
        </w:tc>
        <w:tc>
          <w:tcPr>
            <w:tcW w:w="0" w:type="auto"/>
            <w:vAlign w:val="center"/>
            <w:hideMark/>
          </w:tcPr>
          <w:p w14:paraId="3FDDC153"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Pooled OOF R²</w:t>
            </w:r>
          </w:p>
        </w:tc>
      </w:tr>
      <w:tr w:rsidR="003E68A4" w:rsidRPr="009C21D6" w14:paraId="44E236A0" w14:textId="77777777" w:rsidTr="00BA5005">
        <w:trPr>
          <w:trHeight w:val="382"/>
          <w:tblCellSpacing w:w="15" w:type="dxa"/>
        </w:trPr>
        <w:tc>
          <w:tcPr>
            <w:tcW w:w="0" w:type="auto"/>
            <w:vAlign w:val="center"/>
            <w:hideMark/>
          </w:tcPr>
          <w:p w14:paraId="0E761F99"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Linear Regression</w:t>
            </w:r>
          </w:p>
        </w:tc>
        <w:tc>
          <w:tcPr>
            <w:tcW w:w="0" w:type="auto"/>
            <w:vAlign w:val="center"/>
            <w:hideMark/>
          </w:tcPr>
          <w:p w14:paraId="64A6E388"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96.0170</w:t>
            </w:r>
          </w:p>
        </w:tc>
        <w:tc>
          <w:tcPr>
            <w:tcW w:w="0" w:type="auto"/>
            <w:vAlign w:val="center"/>
            <w:hideMark/>
          </w:tcPr>
          <w:p w14:paraId="7173C606"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283.7029</w:t>
            </w:r>
          </w:p>
        </w:tc>
        <w:tc>
          <w:tcPr>
            <w:tcW w:w="0" w:type="auto"/>
            <w:vAlign w:val="center"/>
            <w:hideMark/>
          </w:tcPr>
          <w:p w14:paraId="0180CA6C"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0.9345</w:t>
            </w:r>
          </w:p>
        </w:tc>
      </w:tr>
      <w:tr w:rsidR="003E68A4" w:rsidRPr="009C21D6" w14:paraId="0482061D" w14:textId="77777777" w:rsidTr="00BA5005">
        <w:trPr>
          <w:trHeight w:val="382"/>
          <w:tblCellSpacing w:w="15" w:type="dxa"/>
        </w:trPr>
        <w:tc>
          <w:tcPr>
            <w:tcW w:w="0" w:type="auto"/>
            <w:vAlign w:val="center"/>
            <w:hideMark/>
          </w:tcPr>
          <w:p w14:paraId="3556641B"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Random Forest</w:t>
            </w:r>
          </w:p>
        </w:tc>
        <w:tc>
          <w:tcPr>
            <w:tcW w:w="0" w:type="auto"/>
            <w:vAlign w:val="center"/>
            <w:hideMark/>
          </w:tcPr>
          <w:p w14:paraId="4E4B25CB"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137.8631</w:t>
            </w:r>
          </w:p>
        </w:tc>
        <w:tc>
          <w:tcPr>
            <w:tcW w:w="0" w:type="auto"/>
            <w:vAlign w:val="center"/>
            <w:hideMark/>
          </w:tcPr>
          <w:p w14:paraId="33F5A940"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535.4261</w:t>
            </w:r>
          </w:p>
        </w:tc>
        <w:tc>
          <w:tcPr>
            <w:tcW w:w="0" w:type="auto"/>
            <w:vAlign w:val="center"/>
            <w:hideMark/>
          </w:tcPr>
          <w:p w14:paraId="726AC12E"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0.7665</w:t>
            </w:r>
          </w:p>
        </w:tc>
      </w:tr>
      <w:tr w:rsidR="003E68A4" w:rsidRPr="009C21D6" w14:paraId="172DECA4" w14:textId="77777777" w:rsidTr="00BA5005">
        <w:trPr>
          <w:trHeight w:val="371"/>
          <w:tblCellSpacing w:w="15" w:type="dxa"/>
        </w:trPr>
        <w:tc>
          <w:tcPr>
            <w:tcW w:w="0" w:type="auto"/>
            <w:vAlign w:val="center"/>
            <w:hideMark/>
          </w:tcPr>
          <w:p w14:paraId="0B313884"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Gradient Boosting</w:t>
            </w:r>
          </w:p>
        </w:tc>
        <w:tc>
          <w:tcPr>
            <w:tcW w:w="0" w:type="auto"/>
            <w:vAlign w:val="center"/>
            <w:hideMark/>
          </w:tcPr>
          <w:p w14:paraId="7A51D958"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139.1996</w:t>
            </w:r>
          </w:p>
        </w:tc>
        <w:tc>
          <w:tcPr>
            <w:tcW w:w="0" w:type="auto"/>
            <w:vAlign w:val="center"/>
            <w:hideMark/>
          </w:tcPr>
          <w:p w14:paraId="310C0A6B"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582.8486</w:t>
            </w:r>
          </w:p>
        </w:tc>
        <w:tc>
          <w:tcPr>
            <w:tcW w:w="0" w:type="auto"/>
            <w:vAlign w:val="center"/>
            <w:hideMark/>
          </w:tcPr>
          <w:p w14:paraId="35F871AE"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0.7233</w:t>
            </w:r>
          </w:p>
        </w:tc>
      </w:tr>
    </w:tbl>
    <w:p w14:paraId="57DC0D8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Linear Regression achieved the lowest mean fold RMSE and pooled out-of-fold RMSE in this country-grouped experiment. This differs from the original random-split validation results, where Gradient Boosting was selected. The results indicate that model performance depends on the evaluation scenario and whether validation observations come from countries represented in training.</w:t>
      </w:r>
    </w:p>
    <w:p w14:paraId="30006FA7"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lastRenderedPageBreak/>
        <w:t>The relatively large standard deviations, particularly for the ensemble models, indicate substantial variation across the country-held-out folds. The results therefore warrant cautious interpretation and further investigation of country-level error patterns.</w:t>
      </w:r>
    </w:p>
    <w:p w14:paraId="575158C9" w14:textId="42391B68" w:rsidR="00276CE3" w:rsidRPr="009C21D6" w:rsidRDefault="00276CE3" w:rsidP="007347CA">
      <w:pPr>
        <w:spacing w:after="60"/>
        <w:jc w:val="both"/>
        <w:rPr>
          <w:rFonts w:ascii="Times New Roman" w:hAnsi="Times New Roman" w:cs="Times New Roman"/>
          <w:sz w:val="24"/>
          <w:szCs w:val="24"/>
          <w:lang w:val="en-IN"/>
        </w:rPr>
      </w:pPr>
      <w:r w:rsidRPr="00276CE3">
        <w:rPr>
          <w:rFonts w:ascii="Times New Roman" w:hAnsi="Times New Roman" w:cs="Times New Roman"/>
          <w:sz w:val="24"/>
          <w:szCs w:val="24"/>
        </w:rPr>
        <w:t>Mean fold metrics average the individual fold scores, giving each fold equal weight, whereas pooled out-of-fold metrics are calculated over all held-out predictions combined. Consequently, their values can differ, particularly for R², which depends on the variation in the observations within the evaluation set.</w:t>
      </w:r>
    </w:p>
    <w:tbl>
      <w:tblPr>
        <w:tblW w:w="62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0"/>
        <w:gridCol w:w="3372"/>
      </w:tblGrid>
      <w:tr w:rsidR="0029140C" w:rsidRPr="0029140C" w14:paraId="3A28B943" w14:textId="77777777" w:rsidTr="00351BE6">
        <w:trPr>
          <w:trHeight w:val="113"/>
          <w:tblCellSpacing w:w="15" w:type="dxa"/>
        </w:trPr>
        <w:tc>
          <w:tcPr>
            <w:tcW w:w="0" w:type="auto"/>
            <w:vAlign w:val="center"/>
            <w:hideMark/>
          </w:tcPr>
          <w:p w14:paraId="77DDDD30" w14:textId="77777777" w:rsidR="0029140C" w:rsidRPr="00351BE6" w:rsidRDefault="0029140C" w:rsidP="0029140C">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Model</w:t>
            </w:r>
          </w:p>
        </w:tc>
        <w:tc>
          <w:tcPr>
            <w:tcW w:w="0" w:type="auto"/>
            <w:vAlign w:val="center"/>
            <w:hideMark/>
          </w:tcPr>
          <w:p w14:paraId="157B66F0" w14:textId="77777777" w:rsidR="0029140C" w:rsidRPr="00351BE6" w:rsidRDefault="0029140C" w:rsidP="0029140C">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R² standard deviation</w:t>
            </w:r>
          </w:p>
        </w:tc>
      </w:tr>
      <w:tr w:rsidR="0029140C" w:rsidRPr="0029140C" w14:paraId="0FBE288C" w14:textId="77777777" w:rsidTr="00351BE6">
        <w:trPr>
          <w:trHeight w:val="113"/>
          <w:tblCellSpacing w:w="15" w:type="dxa"/>
        </w:trPr>
        <w:tc>
          <w:tcPr>
            <w:tcW w:w="0" w:type="auto"/>
            <w:vAlign w:val="center"/>
            <w:hideMark/>
          </w:tcPr>
          <w:p w14:paraId="47582265" w14:textId="77777777" w:rsidR="0029140C" w:rsidRPr="00351BE6" w:rsidRDefault="0029140C" w:rsidP="0029140C">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Linear Regression</w:t>
            </w:r>
          </w:p>
        </w:tc>
        <w:tc>
          <w:tcPr>
            <w:tcW w:w="0" w:type="auto"/>
            <w:vAlign w:val="center"/>
            <w:hideMark/>
          </w:tcPr>
          <w:p w14:paraId="1B2C5B7A" w14:textId="77777777" w:rsidR="0029140C" w:rsidRPr="00351BE6" w:rsidRDefault="0029140C" w:rsidP="0029140C">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0.1412</w:t>
            </w:r>
          </w:p>
        </w:tc>
      </w:tr>
      <w:tr w:rsidR="0029140C" w:rsidRPr="0029140C" w14:paraId="30CF3216" w14:textId="77777777" w:rsidTr="00351BE6">
        <w:trPr>
          <w:trHeight w:val="113"/>
          <w:tblCellSpacing w:w="15" w:type="dxa"/>
        </w:trPr>
        <w:tc>
          <w:tcPr>
            <w:tcW w:w="0" w:type="auto"/>
            <w:vAlign w:val="center"/>
            <w:hideMark/>
          </w:tcPr>
          <w:p w14:paraId="0D263271" w14:textId="77777777" w:rsidR="0029140C" w:rsidRPr="00351BE6" w:rsidRDefault="0029140C" w:rsidP="0029140C">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Random Forest</w:t>
            </w:r>
          </w:p>
        </w:tc>
        <w:tc>
          <w:tcPr>
            <w:tcW w:w="0" w:type="auto"/>
            <w:vAlign w:val="center"/>
            <w:hideMark/>
          </w:tcPr>
          <w:p w14:paraId="0D69D9A4" w14:textId="77777777" w:rsidR="0029140C" w:rsidRPr="00351BE6" w:rsidRDefault="0029140C" w:rsidP="0029140C">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0.3290</w:t>
            </w:r>
          </w:p>
        </w:tc>
      </w:tr>
      <w:tr w:rsidR="0029140C" w:rsidRPr="0029140C" w14:paraId="2951D37D" w14:textId="77777777" w:rsidTr="00351BE6">
        <w:trPr>
          <w:trHeight w:val="113"/>
          <w:tblCellSpacing w:w="15" w:type="dxa"/>
        </w:trPr>
        <w:tc>
          <w:tcPr>
            <w:tcW w:w="0" w:type="auto"/>
            <w:vAlign w:val="center"/>
            <w:hideMark/>
          </w:tcPr>
          <w:p w14:paraId="17C130BD" w14:textId="77777777" w:rsidR="0029140C" w:rsidRPr="00351BE6" w:rsidRDefault="0029140C" w:rsidP="0029140C">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Gradient Boosting</w:t>
            </w:r>
          </w:p>
        </w:tc>
        <w:tc>
          <w:tcPr>
            <w:tcW w:w="0" w:type="auto"/>
            <w:vAlign w:val="center"/>
            <w:hideMark/>
          </w:tcPr>
          <w:p w14:paraId="697785B8" w14:textId="77777777" w:rsidR="0029140C" w:rsidRPr="00351BE6" w:rsidRDefault="0029140C" w:rsidP="0029140C">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0.1305</w:t>
            </w:r>
          </w:p>
        </w:tc>
      </w:tr>
    </w:tbl>
    <w:p w14:paraId="1BC83190" w14:textId="44B8C383"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5.3 Rolling-Origin Validation Results</w:t>
      </w:r>
    </w:p>
    <w:p w14:paraId="6A22174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five annual rolling-origin evaluations produced the following Gradient Boosting results:</w:t>
      </w:r>
    </w:p>
    <w:tbl>
      <w:tblPr>
        <w:tblW w:w="90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3423"/>
        <w:gridCol w:w="2062"/>
        <w:gridCol w:w="2300"/>
        <w:gridCol w:w="1314"/>
      </w:tblGrid>
      <w:tr w:rsidR="003E68A4" w:rsidRPr="009C21D6" w14:paraId="66AB0BCB" w14:textId="77777777" w:rsidTr="006E248E">
        <w:trPr>
          <w:trHeight w:val="20"/>
          <w:tblCellSpacing w:w="15" w:type="dxa"/>
        </w:trPr>
        <w:tc>
          <w:tcPr>
            <w:tcW w:w="0" w:type="auto"/>
            <w:vAlign w:val="center"/>
            <w:hideMark/>
          </w:tcPr>
          <w:p w14:paraId="38E336CA"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Validation year</w:t>
            </w:r>
          </w:p>
        </w:tc>
        <w:tc>
          <w:tcPr>
            <w:tcW w:w="0" w:type="auto"/>
            <w:vAlign w:val="center"/>
            <w:hideMark/>
          </w:tcPr>
          <w:p w14:paraId="7FB9A7D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MAE (Mt)</w:t>
            </w:r>
          </w:p>
        </w:tc>
        <w:tc>
          <w:tcPr>
            <w:tcW w:w="0" w:type="auto"/>
            <w:vAlign w:val="center"/>
            <w:hideMark/>
          </w:tcPr>
          <w:p w14:paraId="1069CA3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RMSE (Mt)</w:t>
            </w:r>
          </w:p>
        </w:tc>
        <w:tc>
          <w:tcPr>
            <w:tcW w:w="0" w:type="auto"/>
            <w:vAlign w:val="center"/>
            <w:hideMark/>
          </w:tcPr>
          <w:p w14:paraId="458050D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R²</w:t>
            </w:r>
          </w:p>
        </w:tc>
      </w:tr>
      <w:tr w:rsidR="003E68A4" w:rsidRPr="009C21D6" w14:paraId="04FCE00D" w14:textId="77777777" w:rsidTr="006E248E">
        <w:trPr>
          <w:trHeight w:val="20"/>
          <w:tblCellSpacing w:w="15" w:type="dxa"/>
        </w:trPr>
        <w:tc>
          <w:tcPr>
            <w:tcW w:w="0" w:type="auto"/>
            <w:vAlign w:val="center"/>
            <w:hideMark/>
          </w:tcPr>
          <w:p w14:paraId="4AF05EF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2012</w:t>
            </w:r>
          </w:p>
        </w:tc>
        <w:tc>
          <w:tcPr>
            <w:tcW w:w="0" w:type="auto"/>
            <w:vAlign w:val="center"/>
            <w:hideMark/>
          </w:tcPr>
          <w:p w14:paraId="0277D2A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15.5967</w:t>
            </w:r>
          </w:p>
        </w:tc>
        <w:tc>
          <w:tcPr>
            <w:tcW w:w="0" w:type="auto"/>
            <w:vAlign w:val="center"/>
            <w:hideMark/>
          </w:tcPr>
          <w:p w14:paraId="49D8BE2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55.2325</w:t>
            </w:r>
          </w:p>
        </w:tc>
        <w:tc>
          <w:tcPr>
            <w:tcW w:w="0" w:type="auto"/>
            <w:vAlign w:val="center"/>
            <w:hideMark/>
          </w:tcPr>
          <w:p w14:paraId="1B0409E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0.9980</w:t>
            </w:r>
          </w:p>
        </w:tc>
      </w:tr>
      <w:tr w:rsidR="003E68A4" w:rsidRPr="009C21D6" w14:paraId="57F6458A" w14:textId="77777777" w:rsidTr="006E248E">
        <w:trPr>
          <w:trHeight w:val="20"/>
          <w:tblCellSpacing w:w="15" w:type="dxa"/>
        </w:trPr>
        <w:tc>
          <w:tcPr>
            <w:tcW w:w="0" w:type="auto"/>
            <w:vAlign w:val="center"/>
            <w:hideMark/>
          </w:tcPr>
          <w:p w14:paraId="742C133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2013</w:t>
            </w:r>
          </w:p>
        </w:tc>
        <w:tc>
          <w:tcPr>
            <w:tcW w:w="0" w:type="auto"/>
            <w:vAlign w:val="center"/>
            <w:hideMark/>
          </w:tcPr>
          <w:p w14:paraId="59EACDB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12.1644</w:t>
            </w:r>
          </w:p>
        </w:tc>
        <w:tc>
          <w:tcPr>
            <w:tcW w:w="0" w:type="auto"/>
            <w:vAlign w:val="center"/>
            <w:hideMark/>
          </w:tcPr>
          <w:p w14:paraId="1FE20AE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28.5620</w:t>
            </w:r>
          </w:p>
        </w:tc>
        <w:tc>
          <w:tcPr>
            <w:tcW w:w="0" w:type="auto"/>
            <w:vAlign w:val="center"/>
            <w:hideMark/>
          </w:tcPr>
          <w:p w14:paraId="3DC8B5E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0.9995</w:t>
            </w:r>
          </w:p>
        </w:tc>
      </w:tr>
      <w:tr w:rsidR="003E68A4" w:rsidRPr="009C21D6" w14:paraId="30219E4D" w14:textId="77777777" w:rsidTr="006E248E">
        <w:trPr>
          <w:trHeight w:val="20"/>
          <w:tblCellSpacing w:w="15" w:type="dxa"/>
        </w:trPr>
        <w:tc>
          <w:tcPr>
            <w:tcW w:w="0" w:type="auto"/>
            <w:vAlign w:val="center"/>
            <w:hideMark/>
          </w:tcPr>
          <w:p w14:paraId="1DD69FF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2014</w:t>
            </w:r>
          </w:p>
        </w:tc>
        <w:tc>
          <w:tcPr>
            <w:tcW w:w="0" w:type="auto"/>
            <w:vAlign w:val="center"/>
            <w:hideMark/>
          </w:tcPr>
          <w:p w14:paraId="4DC2AE1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30.5206</w:t>
            </w:r>
          </w:p>
        </w:tc>
        <w:tc>
          <w:tcPr>
            <w:tcW w:w="0" w:type="auto"/>
            <w:vAlign w:val="center"/>
            <w:hideMark/>
          </w:tcPr>
          <w:p w14:paraId="409DF53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198.1058</w:t>
            </w:r>
          </w:p>
        </w:tc>
        <w:tc>
          <w:tcPr>
            <w:tcW w:w="0" w:type="auto"/>
            <w:vAlign w:val="center"/>
            <w:hideMark/>
          </w:tcPr>
          <w:p w14:paraId="06D4E35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0.9761</w:t>
            </w:r>
          </w:p>
        </w:tc>
      </w:tr>
      <w:tr w:rsidR="003E68A4" w:rsidRPr="009C21D6" w14:paraId="70072678" w14:textId="77777777" w:rsidTr="006E248E">
        <w:trPr>
          <w:trHeight w:val="20"/>
          <w:tblCellSpacing w:w="15" w:type="dxa"/>
        </w:trPr>
        <w:tc>
          <w:tcPr>
            <w:tcW w:w="0" w:type="auto"/>
            <w:vAlign w:val="center"/>
            <w:hideMark/>
          </w:tcPr>
          <w:p w14:paraId="14C2BDD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2015</w:t>
            </w:r>
          </w:p>
        </w:tc>
        <w:tc>
          <w:tcPr>
            <w:tcW w:w="0" w:type="auto"/>
            <w:vAlign w:val="center"/>
            <w:hideMark/>
          </w:tcPr>
          <w:p w14:paraId="0DF916E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34.2939</w:t>
            </w:r>
          </w:p>
        </w:tc>
        <w:tc>
          <w:tcPr>
            <w:tcW w:w="0" w:type="auto"/>
            <w:vAlign w:val="center"/>
            <w:hideMark/>
          </w:tcPr>
          <w:p w14:paraId="27F162A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204.9885</w:t>
            </w:r>
          </w:p>
        </w:tc>
        <w:tc>
          <w:tcPr>
            <w:tcW w:w="0" w:type="auto"/>
            <w:vAlign w:val="center"/>
            <w:hideMark/>
          </w:tcPr>
          <w:p w14:paraId="72638C3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0.9737</w:t>
            </w:r>
          </w:p>
        </w:tc>
      </w:tr>
      <w:tr w:rsidR="003E68A4" w:rsidRPr="009C21D6" w14:paraId="718BBABE" w14:textId="77777777" w:rsidTr="006E248E">
        <w:trPr>
          <w:trHeight w:val="20"/>
          <w:tblCellSpacing w:w="15" w:type="dxa"/>
        </w:trPr>
        <w:tc>
          <w:tcPr>
            <w:tcW w:w="0" w:type="auto"/>
            <w:vAlign w:val="center"/>
            <w:hideMark/>
          </w:tcPr>
          <w:p w14:paraId="5D5BB99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2016</w:t>
            </w:r>
          </w:p>
        </w:tc>
        <w:tc>
          <w:tcPr>
            <w:tcW w:w="0" w:type="auto"/>
            <w:vAlign w:val="center"/>
            <w:hideMark/>
          </w:tcPr>
          <w:p w14:paraId="22EC84C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11.7882</w:t>
            </w:r>
          </w:p>
        </w:tc>
        <w:tc>
          <w:tcPr>
            <w:tcW w:w="0" w:type="auto"/>
            <w:vAlign w:val="center"/>
            <w:hideMark/>
          </w:tcPr>
          <w:p w14:paraId="66AF218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33.6902</w:t>
            </w:r>
          </w:p>
        </w:tc>
        <w:tc>
          <w:tcPr>
            <w:tcW w:w="0" w:type="auto"/>
            <w:vAlign w:val="center"/>
            <w:hideMark/>
          </w:tcPr>
          <w:p w14:paraId="67A64AA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0.9993</w:t>
            </w:r>
          </w:p>
        </w:tc>
      </w:tr>
      <w:tr w:rsidR="003E68A4" w:rsidRPr="009C21D6" w14:paraId="0EB9AC9A" w14:textId="77777777" w:rsidTr="006E248E">
        <w:trPr>
          <w:trHeight w:val="20"/>
          <w:tblCellSpacing w:w="15" w:type="dxa"/>
        </w:trPr>
        <w:tc>
          <w:tcPr>
            <w:tcW w:w="0" w:type="auto"/>
            <w:vAlign w:val="center"/>
            <w:hideMark/>
          </w:tcPr>
          <w:p w14:paraId="1887FA7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Mean across folds</w:t>
            </w:r>
          </w:p>
        </w:tc>
        <w:tc>
          <w:tcPr>
            <w:tcW w:w="0" w:type="auto"/>
            <w:vAlign w:val="center"/>
            <w:hideMark/>
          </w:tcPr>
          <w:p w14:paraId="339F9EC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20.8728</w:t>
            </w:r>
          </w:p>
        </w:tc>
        <w:tc>
          <w:tcPr>
            <w:tcW w:w="0" w:type="auto"/>
            <w:vAlign w:val="center"/>
            <w:hideMark/>
          </w:tcPr>
          <w:p w14:paraId="0D9B67C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104.1158</w:t>
            </w:r>
          </w:p>
        </w:tc>
        <w:tc>
          <w:tcPr>
            <w:tcW w:w="0" w:type="auto"/>
            <w:vAlign w:val="center"/>
            <w:hideMark/>
          </w:tcPr>
          <w:p w14:paraId="1DE9003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0.9893</w:t>
            </w:r>
          </w:p>
        </w:tc>
      </w:tr>
    </w:tbl>
    <w:p w14:paraId="041F3E08" w14:textId="2F136434"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pooled out-of-fold metrics were MAE 20.8728 Mt, RMSE 131.3527 Mt and R² 0.9892. The mean fold RMSE is lower than the pooled RMSE because the former averages the five annual RMSE values, whereas the latter calculates a single RMSE over all validation observations.</w:t>
      </w:r>
    </w:p>
    <w:p w14:paraId="3D9B6138"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results show that model errors varied substantially across validation years, with higher RMSE values in 2014 and 2015.</w:t>
      </w:r>
    </w:p>
    <w:tbl>
      <w:tblPr>
        <w:tblW w:w="8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3018"/>
        <w:gridCol w:w="3233"/>
      </w:tblGrid>
      <w:tr w:rsidR="00351BE6" w:rsidRPr="00351BE6" w14:paraId="1C035E71" w14:textId="77777777" w:rsidTr="00351BE6">
        <w:trPr>
          <w:trHeight w:val="20"/>
          <w:tblCellSpacing w:w="15" w:type="dxa"/>
        </w:trPr>
        <w:tc>
          <w:tcPr>
            <w:tcW w:w="0" w:type="auto"/>
            <w:vAlign w:val="center"/>
            <w:hideMark/>
          </w:tcPr>
          <w:p w14:paraId="47E5102C" w14:textId="77777777" w:rsidR="00351BE6" w:rsidRPr="00351BE6" w:rsidRDefault="00351BE6" w:rsidP="00351BE6">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Metric</w:t>
            </w:r>
          </w:p>
        </w:tc>
        <w:tc>
          <w:tcPr>
            <w:tcW w:w="0" w:type="auto"/>
            <w:vAlign w:val="center"/>
            <w:hideMark/>
          </w:tcPr>
          <w:p w14:paraId="39AA4B7D" w14:textId="77777777" w:rsidR="00351BE6" w:rsidRPr="00351BE6" w:rsidRDefault="00351BE6" w:rsidP="00351BE6">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Mean across folds</w:t>
            </w:r>
          </w:p>
        </w:tc>
        <w:tc>
          <w:tcPr>
            <w:tcW w:w="0" w:type="auto"/>
            <w:vAlign w:val="center"/>
            <w:hideMark/>
          </w:tcPr>
          <w:p w14:paraId="551EDCA4" w14:textId="77777777" w:rsidR="00351BE6" w:rsidRPr="00351BE6" w:rsidRDefault="00351BE6" w:rsidP="00351BE6">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Standard deviation</w:t>
            </w:r>
          </w:p>
        </w:tc>
      </w:tr>
      <w:tr w:rsidR="00351BE6" w:rsidRPr="00351BE6" w14:paraId="7F02B9D9" w14:textId="77777777" w:rsidTr="00351BE6">
        <w:trPr>
          <w:trHeight w:val="20"/>
          <w:tblCellSpacing w:w="15" w:type="dxa"/>
        </w:trPr>
        <w:tc>
          <w:tcPr>
            <w:tcW w:w="0" w:type="auto"/>
            <w:vAlign w:val="center"/>
            <w:hideMark/>
          </w:tcPr>
          <w:p w14:paraId="484AC6E1" w14:textId="77777777" w:rsidR="00351BE6" w:rsidRPr="00351BE6" w:rsidRDefault="00351BE6" w:rsidP="00351BE6">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MAE (Mt)</w:t>
            </w:r>
          </w:p>
        </w:tc>
        <w:tc>
          <w:tcPr>
            <w:tcW w:w="0" w:type="auto"/>
            <w:vAlign w:val="center"/>
            <w:hideMark/>
          </w:tcPr>
          <w:p w14:paraId="77BC778F" w14:textId="77777777" w:rsidR="00351BE6" w:rsidRPr="00351BE6" w:rsidRDefault="00351BE6" w:rsidP="00351BE6">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20.8728</w:t>
            </w:r>
          </w:p>
        </w:tc>
        <w:tc>
          <w:tcPr>
            <w:tcW w:w="0" w:type="auto"/>
            <w:vAlign w:val="center"/>
            <w:hideMark/>
          </w:tcPr>
          <w:p w14:paraId="14439047" w14:textId="77777777" w:rsidR="00351BE6" w:rsidRPr="00351BE6" w:rsidRDefault="00351BE6" w:rsidP="00351BE6">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10.7169</w:t>
            </w:r>
          </w:p>
        </w:tc>
      </w:tr>
      <w:tr w:rsidR="00351BE6" w:rsidRPr="00351BE6" w14:paraId="2E491879" w14:textId="77777777" w:rsidTr="00351BE6">
        <w:trPr>
          <w:trHeight w:val="20"/>
          <w:tblCellSpacing w:w="15" w:type="dxa"/>
        </w:trPr>
        <w:tc>
          <w:tcPr>
            <w:tcW w:w="0" w:type="auto"/>
            <w:vAlign w:val="center"/>
            <w:hideMark/>
          </w:tcPr>
          <w:p w14:paraId="26A0B3AB" w14:textId="77777777" w:rsidR="00351BE6" w:rsidRPr="00351BE6" w:rsidRDefault="00351BE6" w:rsidP="00351BE6">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RMSE (Mt)</w:t>
            </w:r>
          </w:p>
        </w:tc>
        <w:tc>
          <w:tcPr>
            <w:tcW w:w="0" w:type="auto"/>
            <w:vAlign w:val="center"/>
            <w:hideMark/>
          </w:tcPr>
          <w:p w14:paraId="7E196815" w14:textId="77777777" w:rsidR="00351BE6" w:rsidRPr="00351BE6" w:rsidRDefault="00351BE6" w:rsidP="00351BE6">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104.1158</w:t>
            </w:r>
          </w:p>
        </w:tc>
        <w:tc>
          <w:tcPr>
            <w:tcW w:w="0" w:type="auto"/>
            <w:vAlign w:val="center"/>
            <w:hideMark/>
          </w:tcPr>
          <w:p w14:paraId="2FBAD9FA" w14:textId="77777777" w:rsidR="00351BE6" w:rsidRPr="00351BE6" w:rsidRDefault="00351BE6" w:rsidP="00351BE6">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89.5365</w:t>
            </w:r>
          </w:p>
        </w:tc>
      </w:tr>
      <w:tr w:rsidR="00351BE6" w:rsidRPr="00351BE6" w14:paraId="2B3EFBBB" w14:textId="77777777" w:rsidTr="00351BE6">
        <w:trPr>
          <w:trHeight w:val="20"/>
          <w:tblCellSpacing w:w="15" w:type="dxa"/>
        </w:trPr>
        <w:tc>
          <w:tcPr>
            <w:tcW w:w="0" w:type="auto"/>
            <w:vAlign w:val="center"/>
            <w:hideMark/>
          </w:tcPr>
          <w:p w14:paraId="453CACD4" w14:textId="77777777" w:rsidR="00351BE6" w:rsidRPr="00351BE6" w:rsidRDefault="00351BE6" w:rsidP="00351BE6">
            <w:pPr>
              <w:spacing w:after="60"/>
              <w:jc w:val="center"/>
              <w:rPr>
                <w:rFonts w:ascii="Times New Roman" w:hAnsi="Times New Roman" w:cs="Times New Roman"/>
                <w:b/>
                <w:bCs/>
                <w:sz w:val="20"/>
                <w:szCs w:val="20"/>
                <w:lang w:val="en-IN"/>
              </w:rPr>
            </w:pPr>
            <w:r w:rsidRPr="00351BE6">
              <w:rPr>
                <w:rFonts w:ascii="Times New Roman" w:hAnsi="Times New Roman" w:cs="Times New Roman"/>
                <w:b/>
                <w:bCs/>
                <w:sz w:val="20"/>
                <w:szCs w:val="20"/>
                <w:lang w:val="en-IN"/>
              </w:rPr>
              <w:t>R²</w:t>
            </w:r>
          </w:p>
        </w:tc>
        <w:tc>
          <w:tcPr>
            <w:tcW w:w="0" w:type="auto"/>
            <w:vAlign w:val="center"/>
            <w:hideMark/>
          </w:tcPr>
          <w:p w14:paraId="43BF16CF" w14:textId="77777777" w:rsidR="00351BE6" w:rsidRPr="00351BE6" w:rsidRDefault="00351BE6" w:rsidP="00351BE6">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0.9893</w:t>
            </w:r>
          </w:p>
        </w:tc>
        <w:tc>
          <w:tcPr>
            <w:tcW w:w="0" w:type="auto"/>
            <w:vAlign w:val="center"/>
            <w:hideMark/>
          </w:tcPr>
          <w:p w14:paraId="14DADC38" w14:textId="77777777" w:rsidR="00351BE6" w:rsidRPr="00351BE6" w:rsidRDefault="00351BE6" w:rsidP="00351BE6">
            <w:pPr>
              <w:spacing w:after="60"/>
              <w:jc w:val="center"/>
              <w:rPr>
                <w:rFonts w:ascii="Times New Roman" w:hAnsi="Times New Roman" w:cs="Times New Roman"/>
                <w:sz w:val="20"/>
                <w:szCs w:val="20"/>
                <w:lang w:val="en-IN"/>
              </w:rPr>
            </w:pPr>
            <w:r w:rsidRPr="00351BE6">
              <w:rPr>
                <w:rFonts w:ascii="Times New Roman" w:hAnsi="Times New Roman" w:cs="Times New Roman"/>
                <w:sz w:val="20"/>
                <w:szCs w:val="20"/>
                <w:lang w:val="en-IN"/>
              </w:rPr>
              <w:t>0.0132</w:t>
            </w:r>
          </w:p>
        </w:tc>
      </w:tr>
    </w:tbl>
    <w:p w14:paraId="0CED708C" w14:textId="3D81D030"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5.4 Rolling-Origin Persistence Baseline Comparison</w:t>
      </w:r>
    </w:p>
    <w:p w14:paraId="0C035E1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was evaluated on the same five annual validation periods.</w:t>
      </w:r>
    </w:p>
    <w:tbl>
      <w:tblPr>
        <w:tblW w:w="99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9"/>
        <w:gridCol w:w="3004"/>
        <w:gridCol w:w="3242"/>
      </w:tblGrid>
      <w:tr w:rsidR="003E68A4" w:rsidRPr="009C21D6" w14:paraId="3BEC268B" w14:textId="77777777" w:rsidTr="00A95821">
        <w:trPr>
          <w:trHeight w:val="20"/>
          <w:tblHeader/>
          <w:tblCellSpacing w:w="15" w:type="dxa"/>
        </w:trPr>
        <w:tc>
          <w:tcPr>
            <w:tcW w:w="0" w:type="auto"/>
            <w:vAlign w:val="center"/>
            <w:hideMark/>
          </w:tcPr>
          <w:p w14:paraId="783E3B4D"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Metric</w:t>
            </w:r>
          </w:p>
        </w:tc>
        <w:tc>
          <w:tcPr>
            <w:tcW w:w="0" w:type="auto"/>
            <w:vAlign w:val="center"/>
            <w:hideMark/>
          </w:tcPr>
          <w:p w14:paraId="0675DEBB"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Gradient Boosting</w:t>
            </w:r>
          </w:p>
        </w:tc>
        <w:tc>
          <w:tcPr>
            <w:tcW w:w="0" w:type="auto"/>
            <w:vAlign w:val="center"/>
            <w:hideMark/>
          </w:tcPr>
          <w:p w14:paraId="72EE52D2"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Persistence baseline</w:t>
            </w:r>
          </w:p>
        </w:tc>
      </w:tr>
      <w:tr w:rsidR="003E68A4" w:rsidRPr="009C21D6" w14:paraId="57FBDD13" w14:textId="77777777" w:rsidTr="00A95821">
        <w:trPr>
          <w:trHeight w:val="20"/>
          <w:tblHeader/>
          <w:tblCellSpacing w:w="15" w:type="dxa"/>
        </w:trPr>
        <w:tc>
          <w:tcPr>
            <w:tcW w:w="0" w:type="auto"/>
            <w:vAlign w:val="center"/>
            <w:hideMark/>
          </w:tcPr>
          <w:p w14:paraId="6D8F7DD5"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Mean fold MAE (Mt)</w:t>
            </w:r>
          </w:p>
        </w:tc>
        <w:tc>
          <w:tcPr>
            <w:tcW w:w="0" w:type="auto"/>
            <w:vAlign w:val="center"/>
            <w:hideMark/>
          </w:tcPr>
          <w:p w14:paraId="34DB3E54"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20.8728</w:t>
            </w:r>
          </w:p>
        </w:tc>
        <w:tc>
          <w:tcPr>
            <w:tcW w:w="0" w:type="auto"/>
            <w:vAlign w:val="center"/>
            <w:hideMark/>
          </w:tcPr>
          <w:p w14:paraId="59F2F05C"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11.5126</w:t>
            </w:r>
          </w:p>
        </w:tc>
      </w:tr>
      <w:tr w:rsidR="003E68A4" w:rsidRPr="009C21D6" w14:paraId="7D19F2BB" w14:textId="77777777" w:rsidTr="00A95821">
        <w:trPr>
          <w:trHeight w:val="20"/>
          <w:tblHeader/>
          <w:tblCellSpacing w:w="15" w:type="dxa"/>
        </w:trPr>
        <w:tc>
          <w:tcPr>
            <w:tcW w:w="0" w:type="auto"/>
            <w:vAlign w:val="center"/>
            <w:hideMark/>
          </w:tcPr>
          <w:p w14:paraId="745D1211"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Mean fold RMSE (Mt)</w:t>
            </w:r>
          </w:p>
        </w:tc>
        <w:tc>
          <w:tcPr>
            <w:tcW w:w="0" w:type="auto"/>
            <w:vAlign w:val="center"/>
            <w:hideMark/>
          </w:tcPr>
          <w:p w14:paraId="318B1328"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104.1158</w:t>
            </w:r>
          </w:p>
        </w:tc>
        <w:tc>
          <w:tcPr>
            <w:tcW w:w="0" w:type="auto"/>
            <w:vAlign w:val="center"/>
            <w:hideMark/>
          </w:tcPr>
          <w:p w14:paraId="3F6ABE79"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29.3995</w:t>
            </w:r>
          </w:p>
        </w:tc>
      </w:tr>
      <w:tr w:rsidR="003E68A4" w:rsidRPr="009C21D6" w14:paraId="32C62AF8" w14:textId="77777777" w:rsidTr="00A95821">
        <w:trPr>
          <w:trHeight w:val="20"/>
          <w:tblHeader/>
          <w:tblCellSpacing w:w="15" w:type="dxa"/>
        </w:trPr>
        <w:tc>
          <w:tcPr>
            <w:tcW w:w="0" w:type="auto"/>
            <w:vAlign w:val="center"/>
            <w:hideMark/>
          </w:tcPr>
          <w:p w14:paraId="6781FAC6"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Mean fold R²</w:t>
            </w:r>
          </w:p>
        </w:tc>
        <w:tc>
          <w:tcPr>
            <w:tcW w:w="0" w:type="auto"/>
            <w:vAlign w:val="center"/>
            <w:hideMark/>
          </w:tcPr>
          <w:p w14:paraId="007E6E1A"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0.9893</w:t>
            </w:r>
          </w:p>
        </w:tc>
        <w:tc>
          <w:tcPr>
            <w:tcW w:w="0" w:type="auto"/>
            <w:vAlign w:val="center"/>
            <w:hideMark/>
          </w:tcPr>
          <w:p w14:paraId="0D528BB4"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0.9994</w:t>
            </w:r>
          </w:p>
        </w:tc>
      </w:tr>
      <w:tr w:rsidR="003E68A4" w:rsidRPr="009C21D6" w14:paraId="7540BF71" w14:textId="77777777" w:rsidTr="00A95821">
        <w:trPr>
          <w:trHeight w:val="20"/>
          <w:tblHeader/>
          <w:tblCellSpacing w:w="15" w:type="dxa"/>
        </w:trPr>
        <w:tc>
          <w:tcPr>
            <w:tcW w:w="0" w:type="auto"/>
            <w:vAlign w:val="center"/>
            <w:hideMark/>
          </w:tcPr>
          <w:p w14:paraId="776B425F"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Pooled MAE (Mt)</w:t>
            </w:r>
          </w:p>
        </w:tc>
        <w:tc>
          <w:tcPr>
            <w:tcW w:w="0" w:type="auto"/>
            <w:vAlign w:val="center"/>
            <w:hideMark/>
          </w:tcPr>
          <w:p w14:paraId="68DE29A3"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20.8728</w:t>
            </w:r>
          </w:p>
        </w:tc>
        <w:tc>
          <w:tcPr>
            <w:tcW w:w="0" w:type="auto"/>
            <w:vAlign w:val="center"/>
            <w:hideMark/>
          </w:tcPr>
          <w:p w14:paraId="2DF042D5"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11.5126</w:t>
            </w:r>
          </w:p>
        </w:tc>
      </w:tr>
      <w:tr w:rsidR="003E68A4" w:rsidRPr="009C21D6" w14:paraId="2C48E36A" w14:textId="77777777" w:rsidTr="00A95821">
        <w:trPr>
          <w:trHeight w:val="20"/>
          <w:tblHeader/>
          <w:tblCellSpacing w:w="15" w:type="dxa"/>
        </w:trPr>
        <w:tc>
          <w:tcPr>
            <w:tcW w:w="0" w:type="auto"/>
            <w:vAlign w:val="center"/>
            <w:hideMark/>
          </w:tcPr>
          <w:p w14:paraId="4FFD38A1"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Pooled RMSE (Mt)</w:t>
            </w:r>
          </w:p>
        </w:tc>
        <w:tc>
          <w:tcPr>
            <w:tcW w:w="0" w:type="auto"/>
            <w:vAlign w:val="center"/>
            <w:hideMark/>
          </w:tcPr>
          <w:p w14:paraId="40724597"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131.3527</w:t>
            </w:r>
          </w:p>
        </w:tc>
        <w:tc>
          <w:tcPr>
            <w:tcW w:w="0" w:type="auto"/>
            <w:vAlign w:val="center"/>
            <w:hideMark/>
          </w:tcPr>
          <w:p w14:paraId="7AE4882B"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30.1708</w:t>
            </w:r>
          </w:p>
        </w:tc>
      </w:tr>
      <w:tr w:rsidR="003E68A4" w:rsidRPr="009C21D6" w14:paraId="570A1F65" w14:textId="77777777" w:rsidTr="00A95821">
        <w:trPr>
          <w:trHeight w:val="20"/>
          <w:tblHeader/>
          <w:tblCellSpacing w:w="15" w:type="dxa"/>
        </w:trPr>
        <w:tc>
          <w:tcPr>
            <w:tcW w:w="0" w:type="auto"/>
            <w:vAlign w:val="center"/>
            <w:hideMark/>
          </w:tcPr>
          <w:p w14:paraId="034934D9"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lastRenderedPageBreak/>
              <w:t>Pooled R²</w:t>
            </w:r>
          </w:p>
        </w:tc>
        <w:tc>
          <w:tcPr>
            <w:tcW w:w="0" w:type="auto"/>
            <w:vAlign w:val="center"/>
            <w:hideMark/>
          </w:tcPr>
          <w:p w14:paraId="2A7D2C6B"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0.9892</w:t>
            </w:r>
          </w:p>
        </w:tc>
        <w:tc>
          <w:tcPr>
            <w:tcW w:w="0" w:type="auto"/>
            <w:vAlign w:val="center"/>
            <w:hideMark/>
          </w:tcPr>
          <w:p w14:paraId="1F1DD892"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0.9994</w:t>
            </w:r>
          </w:p>
        </w:tc>
      </w:tr>
    </w:tbl>
    <w:p w14:paraId="12E74493" w14:textId="77777777" w:rsidR="00E901C4" w:rsidRDefault="00E901C4" w:rsidP="007347CA">
      <w:pPr>
        <w:spacing w:after="60"/>
        <w:jc w:val="both"/>
        <w:rPr>
          <w:rFonts w:ascii="Times New Roman" w:hAnsi="Times New Roman" w:cs="Times New Roman"/>
          <w:sz w:val="24"/>
          <w:szCs w:val="24"/>
          <w:lang w:val="en-IN"/>
        </w:rPr>
      </w:pPr>
    </w:p>
    <w:p w14:paraId="3A635509" w14:textId="6B1B570C"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achieved lower errors and higher R² than Gradient Boosting across the aggregate validation results. Gradient Boosting achieved a slightly lower RMSE in 2013, but the persistence baseline performed better overall across the five evaluated years.</w:t>
      </w:r>
    </w:p>
    <w:p w14:paraId="605B48EB" w14:textId="77777777" w:rsidR="00241688" w:rsidRDefault="00241688" w:rsidP="007347CA">
      <w:pPr>
        <w:spacing w:after="60"/>
        <w:jc w:val="both"/>
        <w:rPr>
          <w:rFonts w:ascii="Times New Roman" w:hAnsi="Times New Roman" w:cs="Times New Roman"/>
          <w:b/>
          <w:bCs/>
          <w:sz w:val="24"/>
          <w:szCs w:val="24"/>
          <w:lang w:val="en-IN"/>
        </w:rPr>
      </w:pPr>
    </w:p>
    <w:p w14:paraId="0FC210F7" w14:textId="1D946109"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5.5 Final Chronological Test Comparison</w:t>
      </w:r>
    </w:p>
    <w:p w14:paraId="23118D4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final chronological test evaluation covered 2021 and 2022:</w:t>
      </w:r>
    </w:p>
    <w:tbl>
      <w:tblPr>
        <w:tblW w:w="8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6"/>
        <w:gridCol w:w="3068"/>
        <w:gridCol w:w="3312"/>
      </w:tblGrid>
      <w:tr w:rsidR="003E68A4" w:rsidRPr="009C21D6" w14:paraId="6113E898" w14:textId="77777777" w:rsidTr="00812971">
        <w:trPr>
          <w:trHeight w:val="20"/>
          <w:tblCellSpacing w:w="15" w:type="dxa"/>
        </w:trPr>
        <w:tc>
          <w:tcPr>
            <w:tcW w:w="0" w:type="auto"/>
            <w:vAlign w:val="center"/>
            <w:hideMark/>
          </w:tcPr>
          <w:p w14:paraId="7365A373"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Metric</w:t>
            </w:r>
          </w:p>
        </w:tc>
        <w:tc>
          <w:tcPr>
            <w:tcW w:w="0" w:type="auto"/>
            <w:vAlign w:val="center"/>
            <w:hideMark/>
          </w:tcPr>
          <w:p w14:paraId="1D3C57A2"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Gradient Boosting</w:t>
            </w:r>
          </w:p>
        </w:tc>
        <w:tc>
          <w:tcPr>
            <w:tcW w:w="0" w:type="auto"/>
            <w:vAlign w:val="center"/>
            <w:hideMark/>
          </w:tcPr>
          <w:p w14:paraId="2EFAA83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Persistence baseline</w:t>
            </w:r>
          </w:p>
        </w:tc>
      </w:tr>
      <w:tr w:rsidR="003E68A4" w:rsidRPr="009C21D6" w14:paraId="78C3C031" w14:textId="77777777" w:rsidTr="00812971">
        <w:trPr>
          <w:trHeight w:val="20"/>
          <w:tblCellSpacing w:w="15" w:type="dxa"/>
        </w:trPr>
        <w:tc>
          <w:tcPr>
            <w:tcW w:w="0" w:type="auto"/>
            <w:vAlign w:val="center"/>
            <w:hideMark/>
          </w:tcPr>
          <w:p w14:paraId="53CF0C46"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MAE (Mt)</w:t>
            </w:r>
          </w:p>
        </w:tc>
        <w:tc>
          <w:tcPr>
            <w:tcW w:w="0" w:type="auto"/>
            <w:vAlign w:val="center"/>
            <w:hideMark/>
          </w:tcPr>
          <w:p w14:paraId="4916B95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51.5167</w:t>
            </w:r>
          </w:p>
        </w:tc>
        <w:tc>
          <w:tcPr>
            <w:tcW w:w="0" w:type="auto"/>
            <w:vAlign w:val="center"/>
            <w:hideMark/>
          </w:tcPr>
          <w:p w14:paraId="07D1054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20.1835</w:t>
            </w:r>
          </w:p>
        </w:tc>
      </w:tr>
      <w:tr w:rsidR="003E68A4" w:rsidRPr="009C21D6" w14:paraId="3F62D063" w14:textId="77777777" w:rsidTr="00812971">
        <w:trPr>
          <w:trHeight w:val="20"/>
          <w:tblCellSpacing w:w="15" w:type="dxa"/>
        </w:trPr>
        <w:tc>
          <w:tcPr>
            <w:tcW w:w="0" w:type="auto"/>
            <w:vAlign w:val="center"/>
            <w:hideMark/>
          </w:tcPr>
          <w:p w14:paraId="08B10460"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RMSE (Mt)</w:t>
            </w:r>
          </w:p>
        </w:tc>
        <w:tc>
          <w:tcPr>
            <w:tcW w:w="0" w:type="auto"/>
            <w:vAlign w:val="center"/>
            <w:hideMark/>
          </w:tcPr>
          <w:p w14:paraId="0A0191F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240.9586</w:t>
            </w:r>
          </w:p>
        </w:tc>
        <w:tc>
          <w:tcPr>
            <w:tcW w:w="0" w:type="auto"/>
            <w:vAlign w:val="center"/>
            <w:hideMark/>
          </w:tcPr>
          <w:p w14:paraId="794AA32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60.7773</w:t>
            </w:r>
          </w:p>
        </w:tc>
      </w:tr>
      <w:tr w:rsidR="003E68A4" w:rsidRPr="009C21D6" w14:paraId="0CB58B12" w14:textId="77777777" w:rsidTr="00812971">
        <w:trPr>
          <w:trHeight w:val="20"/>
          <w:tblCellSpacing w:w="15" w:type="dxa"/>
        </w:trPr>
        <w:tc>
          <w:tcPr>
            <w:tcW w:w="0" w:type="auto"/>
            <w:vAlign w:val="center"/>
            <w:hideMark/>
          </w:tcPr>
          <w:p w14:paraId="4CE1341D"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R²</w:t>
            </w:r>
          </w:p>
        </w:tc>
        <w:tc>
          <w:tcPr>
            <w:tcW w:w="0" w:type="auto"/>
            <w:vAlign w:val="center"/>
            <w:hideMark/>
          </w:tcPr>
          <w:p w14:paraId="769927A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0.9711</w:t>
            </w:r>
          </w:p>
        </w:tc>
        <w:tc>
          <w:tcPr>
            <w:tcW w:w="0" w:type="auto"/>
            <w:vAlign w:val="center"/>
            <w:hideMark/>
          </w:tcPr>
          <w:p w14:paraId="6C9434A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0.9982</w:t>
            </w:r>
          </w:p>
        </w:tc>
      </w:tr>
    </w:tbl>
    <w:p w14:paraId="5A72F12A" w14:textId="77777777" w:rsidR="000F2A37" w:rsidRDefault="000F2A37" w:rsidP="007347CA">
      <w:pPr>
        <w:spacing w:after="60"/>
        <w:jc w:val="both"/>
        <w:rPr>
          <w:rFonts w:ascii="Times New Roman" w:hAnsi="Times New Roman" w:cs="Times New Roman"/>
          <w:sz w:val="24"/>
          <w:szCs w:val="24"/>
          <w:lang w:val="en-IN"/>
        </w:rPr>
      </w:pPr>
    </w:p>
    <w:p w14:paraId="2BA4EA43" w14:textId="2ED5C853"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year-wise results were:</w:t>
      </w:r>
    </w:p>
    <w:tbl>
      <w:tblPr>
        <w:tblW w:w="87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0"/>
        <w:gridCol w:w="3027"/>
        <w:gridCol w:w="1755"/>
        <w:gridCol w:w="1956"/>
        <w:gridCol w:w="1122"/>
      </w:tblGrid>
      <w:tr w:rsidR="003E68A4" w:rsidRPr="009C21D6" w14:paraId="2D53EAB1" w14:textId="77777777" w:rsidTr="00812971">
        <w:trPr>
          <w:trHeight w:val="20"/>
          <w:tblCellSpacing w:w="15" w:type="dxa"/>
        </w:trPr>
        <w:tc>
          <w:tcPr>
            <w:tcW w:w="0" w:type="auto"/>
            <w:vAlign w:val="center"/>
            <w:hideMark/>
          </w:tcPr>
          <w:p w14:paraId="70BBD312"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Year</w:t>
            </w:r>
          </w:p>
        </w:tc>
        <w:tc>
          <w:tcPr>
            <w:tcW w:w="0" w:type="auto"/>
            <w:vAlign w:val="center"/>
            <w:hideMark/>
          </w:tcPr>
          <w:p w14:paraId="709D455C"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Model</w:t>
            </w:r>
          </w:p>
        </w:tc>
        <w:tc>
          <w:tcPr>
            <w:tcW w:w="0" w:type="auto"/>
            <w:vAlign w:val="center"/>
            <w:hideMark/>
          </w:tcPr>
          <w:p w14:paraId="5C7AC2F2"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MAE (Mt)</w:t>
            </w:r>
          </w:p>
        </w:tc>
        <w:tc>
          <w:tcPr>
            <w:tcW w:w="0" w:type="auto"/>
            <w:vAlign w:val="center"/>
            <w:hideMark/>
          </w:tcPr>
          <w:p w14:paraId="6C95A6B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RMSE (Mt)</w:t>
            </w:r>
          </w:p>
        </w:tc>
        <w:tc>
          <w:tcPr>
            <w:tcW w:w="0" w:type="auto"/>
            <w:vAlign w:val="center"/>
            <w:hideMark/>
          </w:tcPr>
          <w:p w14:paraId="442A7EEC"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R²</w:t>
            </w:r>
          </w:p>
        </w:tc>
      </w:tr>
      <w:tr w:rsidR="003E68A4" w:rsidRPr="009C21D6" w14:paraId="1002F48D" w14:textId="77777777" w:rsidTr="00812971">
        <w:trPr>
          <w:trHeight w:val="20"/>
          <w:tblCellSpacing w:w="15" w:type="dxa"/>
        </w:trPr>
        <w:tc>
          <w:tcPr>
            <w:tcW w:w="0" w:type="auto"/>
            <w:vAlign w:val="center"/>
            <w:hideMark/>
          </w:tcPr>
          <w:p w14:paraId="075F62AB"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2021</w:t>
            </w:r>
          </w:p>
        </w:tc>
        <w:tc>
          <w:tcPr>
            <w:tcW w:w="0" w:type="auto"/>
            <w:vAlign w:val="center"/>
            <w:hideMark/>
          </w:tcPr>
          <w:p w14:paraId="7158EFD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w:t>
            </w:r>
          </w:p>
        </w:tc>
        <w:tc>
          <w:tcPr>
            <w:tcW w:w="0" w:type="auto"/>
            <w:vAlign w:val="center"/>
            <w:hideMark/>
          </w:tcPr>
          <w:p w14:paraId="7BF6145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48.2581</w:t>
            </w:r>
          </w:p>
        </w:tc>
        <w:tc>
          <w:tcPr>
            <w:tcW w:w="0" w:type="auto"/>
            <w:vAlign w:val="center"/>
            <w:hideMark/>
          </w:tcPr>
          <w:p w14:paraId="2A7877B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219.7514</w:t>
            </w:r>
          </w:p>
        </w:tc>
        <w:tc>
          <w:tcPr>
            <w:tcW w:w="0" w:type="auto"/>
            <w:vAlign w:val="center"/>
            <w:hideMark/>
          </w:tcPr>
          <w:p w14:paraId="6A95CDB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0.9751</w:t>
            </w:r>
          </w:p>
        </w:tc>
      </w:tr>
      <w:tr w:rsidR="003E68A4" w:rsidRPr="009C21D6" w14:paraId="189114B3" w14:textId="77777777" w:rsidTr="00812971">
        <w:trPr>
          <w:trHeight w:val="20"/>
          <w:tblCellSpacing w:w="15" w:type="dxa"/>
        </w:trPr>
        <w:tc>
          <w:tcPr>
            <w:tcW w:w="0" w:type="auto"/>
            <w:vAlign w:val="center"/>
            <w:hideMark/>
          </w:tcPr>
          <w:p w14:paraId="5C6C88BB"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2021</w:t>
            </w:r>
          </w:p>
        </w:tc>
        <w:tc>
          <w:tcPr>
            <w:tcW w:w="0" w:type="auto"/>
            <w:vAlign w:val="center"/>
            <w:hideMark/>
          </w:tcPr>
          <w:p w14:paraId="4AC6610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Persistence baseline</w:t>
            </w:r>
          </w:p>
        </w:tc>
        <w:tc>
          <w:tcPr>
            <w:tcW w:w="0" w:type="auto"/>
            <w:vAlign w:val="center"/>
            <w:hideMark/>
          </w:tcPr>
          <w:p w14:paraId="3784FD0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23.0597</w:t>
            </w:r>
          </w:p>
        </w:tc>
        <w:tc>
          <w:tcPr>
            <w:tcW w:w="0" w:type="auto"/>
            <w:vAlign w:val="center"/>
            <w:hideMark/>
          </w:tcPr>
          <w:p w14:paraId="03EB7A7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66.1950</w:t>
            </w:r>
          </w:p>
        </w:tc>
        <w:tc>
          <w:tcPr>
            <w:tcW w:w="0" w:type="auto"/>
            <w:vAlign w:val="center"/>
            <w:hideMark/>
          </w:tcPr>
          <w:p w14:paraId="7BC6E6C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0.9977</w:t>
            </w:r>
          </w:p>
        </w:tc>
      </w:tr>
      <w:tr w:rsidR="003E68A4" w:rsidRPr="009C21D6" w14:paraId="003FD81F" w14:textId="77777777" w:rsidTr="00812971">
        <w:trPr>
          <w:trHeight w:val="20"/>
          <w:tblCellSpacing w:w="15" w:type="dxa"/>
        </w:trPr>
        <w:tc>
          <w:tcPr>
            <w:tcW w:w="0" w:type="auto"/>
            <w:vAlign w:val="center"/>
            <w:hideMark/>
          </w:tcPr>
          <w:p w14:paraId="10D3E2C8"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2022</w:t>
            </w:r>
          </w:p>
        </w:tc>
        <w:tc>
          <w:tcPr>
            <w:tcW w:w="0" w:type="auto"/>
            <w:vAlign w:val="center"/>
            <w:hideMark/>
          </w:tcPr>
          <w:p w14:paraId="2BAFDEA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w:t>
            </w:r>
          </w:p>
        </w:tc>
        <w:tc>
          <w:tcPr>
            <w:tcW w:w="0" w:type="auto"/>
            <w:vAlign w:val="center"/>
            <w:hideMark/>
          </w:tcPr>
          <w:p w14:paraId="14FCCDB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54.7752</w:t>
            </w:r>
          </w:p>
        </w:tc>
        <w:tc>
          <w:tcPr>
            <w:tcW w:w="0" w:type="auto"/>
            <w:vAlign w:val="center"/>
            <w:hideMark/>
          </w:tcPr>
          <w:p w14:paraId="416D79D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260.4447</w:t>
            </w:r>
          </w:p>
        </w:tc>
        <w:tc>
          <w:tcPr>
            <w:tcW w:w="0" w:type="auto"/>
            <w:vAlign w:val="center"/>
            <w:hideMark/>
          </w:tcPr>
          <w:p w14:paraId="1FE71C9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0.9673</w:t>
            </w:r>
          </w:p>
        </w:tc>
      </w:tr>
      <w:tr w:rsidR="003E68A4" w:rsidRPr="009C21D6" w14:paraId="20F7DBF2" w14:textId="77777777" w:rsidTr="00812971">
        <w:trPr>
          <w:trHeight w:val="20"/>
          <w:tblCellSpacing w:w="15" w:type="dxa"/>
        </w:trPr>
        <w:tc>
          <w:tcPr>
            <w:tcW w:w="0" w:type="auto"/>
            <w:vAlign w:val="center"/>
            <w:hideMark/>
          </w:tcPr>
          <w:p w14:paraId="2C52D0E4"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2022</w:t>
            </w:r>
          </w:p>
        </w:tc>
        <w:tc>
          <w:tcPr>
            <w:tcW w:w="0" w:type="auto"/>
            <w:vAlign w:val="center"/>
            <w:hideMark/>
          </w:tcPr>
          <w:p w14:paraId="0024741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Persistence baseline</w:t>
            </w:r>
          </w:p>
        </w:tc>
        <w:tc>
          <w:tcPr>
            <w:tcW w:w="0" w:type="auto"/>
            <w:vAlign w:val="center"/>
            <w:hideMark/>
          </w:tcPr>
          <w:p w14:paraId="1185DC7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17.3073</w:t>
            </w:r>
          </w:p>
        </w:tc>
        <w:tc>
          <w:tcPr>
            <w:tcW w:w="0" w:type="auto"/>
            <w:vAlign w:val="center"/>
            <w:hideMark/>
          </w:tcPr>
          <w:p w14:paraId="57667ED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54.8268</w:t>
            </w:r>
          </w:p>
        </w:tc>
        <w:tc>
          <w:tcPr>
            <w:tcW w:w="0" w:type="auto"/>
            <w:vAlign w:val="center"/>
            <w:hideMark/>
          </w:tcPr>
          <w:p w14:paraId="121DEC1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0.9986</w:t>
            </w:r>
          </w:p>
        </w:tc>
      </w:tr>
    </w:tbl>
    <w:p w14:paraId="09E9426B" w14:textId="77777777" w:rsidR="00557761" w:rsidRDefault="00557761" w:rsidP="007347CA">
      <w:pPr>
        <w:spacing w:after="60"/>
        <w:jc w:val="both"/>
        <w:rPr>
          <w:rFonts w:ascii="Times New Roman" w:hAnsi="Times New Roman" w:cs="Times New Roman"/>
          <w:sz w:val="24"/>
          <w:szCs w:val="24"/>
          <w:lang w:val="en-IN"/>
        </w:rPr>
      </w:pPr>
    </w:p>
    <w:p w14:paraId="5FBD8A5C" w14:textId="0A5C16F4"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outperformed Gradient Boosting on all three metrics in both test years. This result is consistent with the rolling-origin validation findings and indicates that the implemented machine learning forecasting model did not demonstrate an improvement over the simple baseline in the evaluated periods.</w:t>
      </w:r>
    </w:p>
    <w:p w14:paraId="210B242D" w14:textId="77777777" w:rsidR="00DC637D" w:rsidRDefault="00DC637D" w:rsidP="007347CA">
      <w:pPr>
        <w:spacing w:after="60"/>
        <w:rPr>
          <w:rFonts w:ascii="Times New Roman" w:hAnsi="Times New Roman" w:cs="Times New Roman"/>
          <w:b/>
          <w:bCs/>
          <w:sz w:val="32"/>
          <w:szCs w:val="32"/>
          <w:lang w:val="en-IN"/>
        </w:rPr>
      </w:pPr>
      <w:r>
        <w:rPr>
          <w:rFonts w:ascii="Times New Roman" w:hAnsi="Times New Roman" w:cs="Times New Roman"/>
          <w:b/>
          <w:bCs/>
          <w:sz w:val="32"/>
          <w:szCs w:val="32"/>
          <w:lang w:val="en-IN"/>
        </w:rPr>
        <w:br w:type="page"/>
      </w:r>
    </w:p>
    <w:p w14:paraId="0571D526" w14:textId="36DEEBDC" w:rsidR="003E68A4" w:rsidRPr="002D5AF4" w:rsidRDefault="003E68A4" w:rsidP="007347CA">
      <w:pPr>
        <w:spacing w:after="60"/>
        <w:jc w:val="both"/>
        <w:rPr>
          <w:rFonts w:ascii="Times New Roman" w:hAnsi="Times New Roman" w:cs="Times New Roman"/>
          <w:b/>
          <w:bCs/>
          <w:color w:val="1F497D" w:themeColor="text2"/>
          <w:sz w:val="32"/>
          <w:szCs w:val="32"/>
          <w:lang w:val="en-IN"/>
        </w:rPr>
      </w:pPr>
      <w:r w:rsidRPr="002D5AF4">
        <w:rPr>
          <w:rFonts w:ascii="Times New Roman" w:hAnsi="Times New Roman" w:cs="Times New Roman"/>
          <w:b/>
          <w:bCs/>
          <w:color w:val="1F497D" w:themeColor="text2"/>
          <w:sz w:val="32"/>
          <w:szCs w:val="32"/>
          <w:lang w:val="en-IN"/>
        </w:rPr>
        <w:lastRenderedPageBreak/>
        <w:t>6. Error Analysis</w:t>
      </w:r>
    </w:p>
    <w:p w14:paraId="7B0AD197" w14:textId="7777777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6.1 Regression Error Analysis</w:t>
      </w:r>
    </w:p>
    <w:p w14:paraId="6917964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selected Gradient Boosting regression model was examined using actual-versus-predicted plots, residual plots, the largest absolute prediction errors and country-wise test errors.</w:t>
      </w:r>
    </w:p>
    <w:p w14:paraId="48EDD8F8"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largest absolute error occurred for China in 2022, with actual emissions of 11,711.808 Mt and predicted emissions of 10,787.452 Mt, resulting in an underprediction of 924.356 Mt. The next largest error occurred for the United States in 2007, where emissions were overpredicted by 415.984 Mt.</w:t>
      </w:r>
    </w:p>
    <w:p w14:paraId="67A9897E"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Country-wise analysis identified China and the United States among the countries with the largest displayed test-set RMSE values. However, country-level test sample sizes were small, so these figures are treated as diagnostic observations rather than reliable country-level performance rankings.</w:t>
      </w:r>
    </w:p>
    <w:p w14:paraId="12020434" w14:textId="77777777" w:rsidR="00EC02D0" w:rsidRDefault="00EC02D0" w:rsidP="007347CA">
      <w:pPr>
        <w:spacing w:after="60"/>
        <w:jc w:val="both"/>
        <w:rPr>
          <w:rFonts w:ascii="Times New Roman" w:hAnsi="Times New Roman" w:cs="Times New Roman"/>
          <w:b/>
          <w:bCs/>
          <w:sz w:val="24"/>
          <w:szCs w:val="24"/>
          <w:lang w:val="en-IN"/>
        </w:rPr>
      </w:pPr>
    </w:p>
    <w:p w14:paraId="6E0C9A16" w14:textId="0BFA0798"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6.2 Forecasting Error Investigation</w:t>
      </w:r>
    </w:p>
    <w:p w14:paraId="74802CB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rolling-origin investigation identified India as the main contributor to the unusually large Gradient Boosting errors in 2014 and 2015.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53"/>
        <w:gridCol w:w="2442"/>
        <w:gridCol w:w="2292"/>
        <w:gridCol w:w="2775"/>
      </w:tblGrid>
      <w:tr w:rsidR="003E68A4" w:rsidRPr="009C21D6" w14:paraId="69F8EE6A" w14:textId="77777777" w:rsidTr="00812971">
        <w:trPr>
          <w:trHeight w:val="567"/>
          <w:tblCellSpacing w:w="15" w:type="dxa"/>
        </w:trPr>
        <w:tc>
          <w:tcPr>
            <w:tcW w:w="1003" w:type="dxa"/>
            <w:vAlign w:val="center"/>
            <w:hideMark/>
          </w:tcPr>
          <w:p w14:paraId="7441141E"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Year</w:t>
            </w:r>
          </w:p>
        </w:tc>
        <w:tc>
          <w:tcPr>
            <w:tcW w:w="2323" w:type="dxa"/>
            <w:vAlign w:val="center"/>
            <w:hideMark/>
          </w:tcPr>
          <w:p w14:paraId="7FADAB6B"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India's actual emissions (Mt)</w:t>
            </w:r>
          </w:p>
        </w:tc>
        <w:tc>
          <w:tcPr>
            <w:tcW w:w="0" w:type="auto"/>
            <w:vAlign w:val="center"/>
            <w:hideMark/>
          </w:tcPr>
          <w:p w14:paraId="4496370F"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Predicted emissions (Mt)</w:t>
            </w:r>
          </w:p>
        </w:tc>
        <w:tc>
          <w:tcPr>
            <w:tcW w:w="2262" w:type="dxa"/>
            <w:vAlign w:val="center"/>
            <w:hideMark/>
          </w:tcPr>
          <w:p w14:paraId="51CB18C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Residual (Mt)</w:t>
            </w:r>
          </w:p>
        </w:tc>
        <w:tc>
          <w:tcPr>
            <w:tcW w:w="2730" w:type="dxa"/>
            <w:vAlign w:val="center"/>
            <w:hideMark/>
          </w:tcPr>
          <w:p w14:paraId="7782A4CB"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Contribution to yearly squared error</w:t>
            </w:r>
          </w:p>
        </w:tc>
      </w:tr>
      <w:tr w:rsidR="003E68A4" w:rsidRPr="009C21D6" w14:paraId="39C715BD" w14:textId="77777777" w:rsidTr="00812971">
        <w:trPr>
          <w:trHeight w:val="567"/>
          <w:tblCellSpacing w:w="15" w:type="dxa"/>
        </w:trPr>
        <w:tc>
          <w:tcPr>
            <w:tcW w:w="1003" w:type="dxa"/>
            <w:vAlign w:val="center"/>
            <w:hideMark/>
          </w:tcPr>
          <w:p w14:paraId="0DDF3D4A"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2014</w:t>
            </w:r>
          </w:p>
        </w:tc>
        <w:tc>
          <w:tcPr>
            <w:tcW w:w="2323" w:type="dxa"/>
            <w:vAlign w:val="center"/>
            <w:hideMark/>
          </w:tcPr>
          <w:p w14:paraId="483EFF1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2,148.052</w:t>
            </w:r>
          </w:p>
        </w:tc>
        <w:tc>
          <w:tcPr>
            <w:tcW w:w="0" w:type="auto"/>
            <w:vAlign w:val="center"/>
            <w:hideMark/>
          </w:tcPr>
          <w:p w14:paraId="33CE2DC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3,903.882</w:t>
            </w:r>
          </w:p>
        </w:tc>
        <w:tc>
          <w:tcPr>
            <w:tcW w:w="2262" w:type="dxa"/>
            <w:vAlign w:val="center"/>
            <w:hideMark/>
          </w:tcPr>
          <w:p w14:paraId="07BF7C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−1,755.830</w:t>
            </w:r>
          </w:p>
        </w:tc>
        <w:tc>
          <w:tcPr>
            <w:tcW w:w="2730" w:type="dxa"/>
            <w:vAlign w:val="center"/>
            <w:hideMark/>
          </w:tcPr>
          <w:p w14:paraId="58290C3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99.44%</w:t>
            </w:r>
          </w:p>
        </w:tc>
      </w:tr>
      <w:tr w:rsidR="003E68A4" w:rsidRPr="009C21D6" w14:paraId="0C93058A" w14:textId="77777777" w:rsidTr="00812971">
        <w:trPr>
          <w:trHeight w:val="567"/>
          <w:tblCellSpacing w:w="15" w:type="dxa"/>
        </w:trPr>
        <w:tc>
          <w:tcPr>
            <w:tcW w:w="1003" w:type="dxa"/>
            <w:vAlign w:val="center"/>
            <w:hideMark/>
          </w:tcPr>
          <w:p w14:paraId="2599D97D"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2015</w:t>
            </w:r>
          </w:p>
        </w:tc>
        <w:tc>
          <w:tcPr>
            <w:tcW w:w="2323" w:type="dxa"/>
            <w:vAlign w:val="center"/>
            <w:hideMark/>
          </w:tcPr>
          <w:p w14:paraId="1A39647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2,231.817</w:t>
            </w:r>
          </w:p>
        </w:tc>
        <w:tc>
          <w:tcPr>
            <w:tcW w:w="0" w:type="auto"/>
            <w:vAlign w:val="center"/>
            <w:hideMark/>
          </w:tcPr>
          <w:p w14:paraId="26D094E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4,039.005</w:t>
            </w:r>
          </w:p>
        </w:tc>
        <w:tc>
          <w:tcPr>
            <w:tcW w:w="2262" w:type="dxa"/>
            <w:vAlign w:val="center"/>
            <w:hideMark/>
          </w:tcPr>
          <w:p w14:paraId="2AEC5F8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−1,807.188</w:t>
            </w:r>
          </w:p>
        </w:tc>
        <w:tc>
          <w:tcPr>
            <w:tcW w:w="2730" w:type="dxa"/>
            <w:vAlign w:val="center"/>
            <w:hideMark/>
          </w:tcPr>
          <w:p w14:paraId="491A2F3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98.38%</w:t>
            </w:r>
          </w:p>
        </w:tc>
      </w:tr>
    </w:tbl>
    <w:p w14:paraId="4811D3FD" w14:textId="77777777" w:rsidR="003F16BD" w:rsidRDefault="003F16BD" w:rsidP="007347CA">
      <w:pPr>
        <w:spacing w:after="60"/>
        <w:jc w:val="both"/>
        <w:rPr>
          <w:rFonts w:ascii="Times New Roman" w:hAnsi="Times New Roman" w:cs="Times New Roman"/>
          <w:sz w:val="24"/>
          <w:szCs w:val="24"/>
          <w:lang w:val="en-IN"/>
        </w:rPr>
      </w:pPr>
    </w:p>
    <w:p w14:paraId="7F483275" w14:textId="1611E884"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model substantially overpredicted India's emissions in both years. The inspected population, GDP and energy-related inputs increased across these years without an obvious abrupt change corresponding to the large prediction errors. However, the available analysis does not establish the cause of the model's overprediction.</w:t>
      </w:r>
    </w:p>
    <w:p w14:paraId="0FC49C9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produced considerably smaller errors in both years, supporting the use of a simple reference model in forecasting evaluation.</w:t>
      </w:r>
    </w:p>
    <w:p w14:paraId="175F4625" w14:textId="77777777" w:rsidR="00EC02D0" w:rsidRDefault="00EC02D0" w:rsidP="007347CA">
      <w:pPr>
        <w:spacing w:after="60"/>
        <w:jc w:val="both"/>
        <w:rPr>
          <w:rFonts w:ascii="Times New Roman" w:hAnsi="Times New Roman" w:cs="Times New Roman"/>
          <w:b/>
          <w:bCs/>
          <w:sz w:val="24"/>
          <w:szCs w:val="24"/>
          <w:lang w:val="en-IN"/>
        </w:rPr>
      </w:pPr>
    </w:p>
    <w:p w14:paraId="04B8A195" w14:textId="7267E8EA"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6.3 Error Analysis Procedure</w:t>
      </w:r>
    </w:p>
    <w:p w14:paraId="3A1B783E"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following procedures were used to investigate model errors:</w:t>
      </w:r>
    </w:p>
    <w:p w14:paraId="4AE0B552"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Compare actual and predicted emissions using scatter plots.</w:t>
      </w:r>
    </w:p>
    <w:p w14:paraId="2998D99E"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Examine residuals to identify underprediction and overprediction.</w:t>
      </w:r>
    </w:p>
    <w:p w14:paraId="67E1392B"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Rank observations by absolute prediction error.</w:t>
      </w:r>
    </w:p>
    <w:p w14:paraId="465B1E5B"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Calculate country-wise MAE and RMSE.</w:t>
      </w:r>
    </w:p>
    <w:p w14:paraId="30A86CF0"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Examine countries contributing disproportionately to total squared error.</w:t>
      </w:r>
    </w:p>
    <w:p w14:paraId="486811E6"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Compare more complex models against a simple persistence baseline.</w:t>
      </w:r>
    </w:p>
    <w:p w14:paraId="5B836EC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This approach combines aggregate performance measures with observation-level diagnostics.</w:t>
      </w:r>
    </w:p>
    <w:p w14:paraId="50A5E0F0" w14:textId="77777777" w:rsidR="00487004" w:rsidRDefault="00487004">
      <w:pPr>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5C3ED543" w14:textId="4DD3C7D4" w:rsidR="003E68A4" w:rsidRPr="00673FB7" w:rsidRDefault="003E68A4" w:rsidP="007347CA">
      <w:pPr>
        <w:spacing w:after="60"/>
        <w:jc w:val="both"/>
        <w:rPr>
          <w:rFonts w:ascii="Times New Roman" w:hAnsi="Times New Roman" w:cs="Times New Roman"/>
          <w:b/>
          <w:bCs/>
          <w:color w:val="1F497D" w:themeColor="text2"/>
          <w:sz w:val="32"/>
          <w:szCs w:val="32"/>
          <w:lang w:val="en-IN"/>
        </w:rPr>
      </w:pPr>
      <w:r w:rsidRPr="00673FB7">
        <w:rPr>
          <w:rFonts w:ascii="Times New Roman" w:hAnsi="Times New Roman" w:cs="Times New Roman"/>
          <w:b/>
          <w:bCs/>
          <w:color w:val="1F497D" w:themeColor="text2"/>
          <w:sz w:val="32"/>
          <w:szCs w:val="32"/>
          <w:lang w:val="en-IN"/>
        </w:rPr>
        <w:lastRenderedPageBreak/>
        <w:t>7. Risk Assessment and Mitigation</w:t>
      </w:r>
    </w:p>
    <w:tbl>
      <w:tblPr>
        <w:tblW w:w="108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5192"/>
        <w:gridCol w:w="3508"/>
      </w:tblGrid>
      <w:tr w:rsidR="003E68A4" w:rsidRPr="009C21D6" w14:paraId="6179C7F8" w14:textId="77777777" w:rsidTr="00DC637D">
        <w:trPr>
          <w:trHeight w:val="582"/>
          <w:tblCellSpacing w:w="15" w:type="dxa"/>
        </w:trPr>
        <w:tc>
          <w:tcPr>
            <w:tcW w:w="2130" w:type="dxa"/>
            <w:vAlign w:val="center"/>
            <w:hideMark/>
          </w:tcPr>
          <w:p w14:paraId="718851EA"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Risk or limitation</w:t>
            </w:r>
          </w:p>
        </w:tc>
        <w:tc>
          <w:tcPr>
            <w:tcW w:w="5162" w:type="dxa"/>
            <w:vAlign w:val="center"/>
            <w:hideMark/>
          </w:tcPr>
          <w:p w14:paraId="15BB716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Potential effect</w:t>
            </w:r>
          </w:p>
        </w:tc>
        <w:tc>
          <w:tcPr>
            <w:tcW w:w="0" w:type="auto"/>
            <w:vAlign w:val="center"/>
            <w:hideMark/>
          </w:tcPr>
          <w:p w14:paraId="52FA2567"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Mitigation or response</w:t>
            </w:r>
          </w:p>
        </w:tc>
      </w:tr>
      <w:tr w:rsidR="003E68A4" w:rsidRPr="009C21D6" w14:paraId="04DFE11C" w14:textId="77777777" w:rsidTr="00DC637D">
        <w:trPr>
          <w:trHeight w:val="1321"/>
          <w:tblCellSpacing w:w="15" w:type="dxa"/>
        </w:trPr>
        <w:tc>
          <w:tcPr>
            <w:tcW w:w="2130" w:type="dxa"/>
            <w:vAlign w:val="center"/>
            <w:hideMark/>
          </w:tcPr>
          <w:p w14:paraId="17F94FFC"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Country dependence</w:t>
            </w:r>
          </w:p>
        </w:tc>
        <w:tc>
          <w:tcPr>
            <w:tcW w:w="5162" w:type="dxa"/>
            <w:vAlign w:val="center"/>
            <w:hideMark/>
          </w:tcPr>
          <w:p w14:paraId="527E36A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Random splitting can distribute observations from the same country across subsets and overstate performance for entirely unseen countries</w:t>
            </w:r>
          </w:p>
        </w:tc>
        <w:tc>
          <w:tcPr>
            <w:tcW w:w="0" w:type="auto"/>
            <w:vAlign w:val="center"/>
            <w:hideMark/>
          </w:tcPr>
          <w:p w14:paraId="4F04C3F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Use country-grouped cross-validation to assess country-level generalization</w:t>
            </w:r>
          </w:p>
        </w:tc>
      </w:tr>
      <w:tr w:rsidR="003E68A4" w:rsidRPr="009C21D6" w14:paraId="1A1ADD03" w14:textId="77777777" w:rsidTr="00DC637D">
        <w:trPr>
          <w:trHeight w:val="1321"/>
          <w:tblCellSpacing w:w="15" w:type="dxa"/>
        </w:trPr>
        <w:tc>
          <w:tcPr>
            <w:tcW w:w="2130" w:type="dxa"/>
            <w:vAlign w:val="center"/>
            <w:hideMark/>
          </w:tcPr>
          <w:p w14:paraId="1BCBAFFD"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Temporal leakage</w:t>
            </w:r>
          </w:p>
        </w:tc>
        <w:tc>
          <w:tcPr>
            <w:tcW w:w="5162" w:type="dxa"/>
            <w:vAlign w:val="center"/>
            <w:hideMark/>
          </w:tcPr>
          <w:p w14:paraId="702B34F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Future observations may influence training if time ordering is ignored</w:t>
            </w:r>
          </w:p>
        </w:tc>
        <w:tc>
          <w:tcPr>
            <w:tcW w:w="0" w:type="auto"/>
            <w:vAlign w:val="center"/>
            <w:hideMark/>
          </w:tcPr>
          <w:p w14:paraId="449B6FB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Use expanding-window rolling-origin evaluation for temporal assessment</w:t>
            </w:r>
          </w:p>
        </w:tc>
      </w:tr>
      <w:tr w:rsidR="003E68A4" w:rsidRPr="009C21D6" w14:paraId="195CD2B5" w14:textId="77777777" w:rsidTr="00DC637D">
        <w:trPr>
          <w:trHeight w:val="952"/>
          <w:tblCellSpacing w:w="15" w:type="dxa"/>
        </w:trPr>
        <w:tc>
          <w:tcPr>
            <w:tcW w:w="2130" w:type="dxa"/>
            <w:vAlign w:val="center"/>
            <w:hideMark/>
          </w:tcPr>
          <w:p w14:paraId="139D81C7"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Large emission-scale differences</w:t>
            </w:r>
          </w:p>
        </w:tc>
        <w:tc>
          <w:tcPr>
            <w:tcW w:w="5162" w:type="dxa"/>
            <w:vAlign w:val="center"/>
            <w:hideMark/>
          </w:tcPr>
          <w:p w14:paraId="1C885FE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High-emission observations can dominate RMSE</w:t>
            </w:r>
          </w:p>
        </w:tc>
        <w:tc>
          <w:tcPr>
            <w:tcW w:w="0" w:type="auto"/>
            <w:vAlign w:val="center"/>
            <w:hideMark/>
          </w:tcPr>
          <w:p w14:paraId="36D4B62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Report MAE alongside RMSE and inspect country-level errors</w:t>
            </w:r>
          </w:p>
        </w:tc>
      </w:tr>
      <w:tr w:rsidR="003E68A4" w:rsidRPr="009C21D6" w14:paraId="4CA9379E" w14:textId="77777777" w:rsidTr="00DC637D">
        <w:trPr>
          <w:trHeight w:val="971"/>
          <w:tblCellSpacing w:w="15" w:type="dxa"/>
        </w:trPr>
        <w:tc>
          <w:tcPr>
            <w:tcW w:w="2130" w:type="dxa"/>
            <w:vAlign w:val="center"/>
            <w:hideMark/>
          </w:tcPr>
          <w:p w14:paraId="190C29BF"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Variation across folds</w:t>
            </w:r>
          </w:p>
        </w:tc>
        <w:tc>
          <w:tcPr>
            <w:tcW w:w="5162" w:type="dxa"/>
            <w:vAlign w:val="center"/>
            <w:hideMark/>
          </w:tcPr>
          <w:p w14:paraId="02AA3C8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Performance may depend on which countries or years are held out</w:t>
            </w:r>
          </w:p>
        </w:tc>
        <w:tc>
          <w:tcPr>
            <w:tcW w:w="0" w:type="auto"/>
            <w:vAlign w:val="center"/>
            <w:hideMark/>
          </w:tcPr>
          <w:p w14:paraId="57E022F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Report fold-level means and standard deviations</w:t>
            </w:r>
          </w:p>
        </w:tc>
      </w:tr>
      <w:tr w:rsidR="003E68A4" w:rsidRPr="009C21D6" w14:paraId="2131C4A8" w14:textId="77777777" w:rsidTr="00DC637D">
        <w:trPr>
          <w:trHeight w:val="952"/>
          <w:tblCellSpacing w:w="15" w:type="dxa"/>
        </w:trPr>
        <w:tc>
          <w:tcPr>
            <w:tcW w:w="2130" w:type="dxa"/>
            <w:vAlign w:val="center"/>
            <w:hideMark/>
          </w:tcPr>
          <w:p w14:paraId="12C77E7E"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Overfitting</w:t>
            </w:r>
          </w:p>
        </w:tc>
        <w:tc>
          <w:tcPr>
            <w:tcW w:w="5162" w:type="dxa"/>
            <w:vAlign w:val="center"/>
            <w:hideMark/>
          </w:tcPr>
          <w:p w14:paraId="0A4C764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Complex models may fit development data without generalizing</w:t>
            </w:r>
          </w:p>
        </w:tc>
        <w:tc>
          <w:tcPr>
            <w:tcW w:w="0" w:type="auto"/>
            <w:vAlign w:val="center"/>
            <w:hideMark/>
          </w:tcPr>
          <w:p w14:paraId="3263293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Use validation-based selection and retain separate test data</w:t>
            </w:r>
          </w:p>
        </w:tc>
      </w:tr>
      <w:tr w:rsidR="003E68A4" w:rsidRPr="009C21D6" w14:paraId="2FEEE942" w14:textId="77777777" w:rsidTr="00DC637D">
        <w:trPr>
          <w:trHeight w:val="1321"/>
          <w:tblCellSpacing w:w="15" w:type="dxa"/>
        </w:trPr>
        <w:tc>
          <w:tcPr>
            <w:tcW w:w="2130" w:type="dxa"/>
            <w:vAlign w:val="center"/>
            <w:hideMark/>
          </w:tcPr>
          <w:p w14:paraId="0D521D0D"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Contemporaneous predictors</w:t>
            </w:r>
          </w:p>
        </w:tc>
        <w:tc>
          <w:tcPr>
            <w:tcW w:w="5162" w:type="dxa"/>
            <w:vAlign w:val="center"/>
            <w:hideMark/>
          </w:tcPr>
          <w:p w14:paraId="2231422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Same-year energy and economic inputs may not be available when making genuine future forecasts</w:t>
            </w:r>
          </w:p>
        </w:tc>
        <w:tc>
          <w:tcPr>
            <w:tcW w:w="0" w:type="auto"/>
            <w:vAlign w:val="center"/>
            <w:hideMark/>
          </w:tcPr>
          <w:p w14:paraId="56C3C87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Describe results as conditional predictions and state the input-availability assumption</w:t>
            </w:r>
          </w:p>
        </w:tc>
      </w:tr>
      <w:tr w:rsidR="003E68A4" w:rsidRPr="009C21D6" w14:paraId="45FAFB4E" w14:textId="77777777" w:rsidTr="00DC637D">
        <w:trPr>
          <w:trHeight w:val="952"/>
          <w:tblCellSpacing w:w="15" w:type="dxa"/>
        </w:trPr>
        <w:tc>
          <w:tcPr>
            <w:tcW w:w="2130" w:type="dxa"/>
            <w:vAlign w:val="center"/>
            <w:hideMark/>
          </w:tcPr>
          <w:p w14:paraId="7B7742E5"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Weak baseline comparison</w:t>
            </w:r>
          </w:p>
        </w:tc>
        <w:tc>
          <w:tcPr>
            <w:tcW w:w="5162" w:type="dxa"/>
            <w:vAlign w:val="center"/>
            <w:hideMark/>
          </w:tcPr>
          <w:p w14:paraId="294E34B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A complex forecasting model may appear useful without outperforming a simple reference</w:t>
            </w:r>
          </w:p>
        </w:tc>
        <w:tc>
          <w:tcPr>
            <w:tcW w:w="0" w:type="auto"/>
            <w:vAlign w:val="center"/>
            <w:hideMark/>
          </w:tcPr>
          <w:p w14:paraId="38483A8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Include persistence as a benchmark and report comparative metrics</w:t>
            </w:r>
          </w:p>
        </w:tc>
      </w:tr>
      <w:tr w:rsidR="003E68A4" w:rsidRPr="009C21D6" w14:paraId="4BA4064F" w14:textId="77777777" w:rsidTr="00DC637D">
        <w:trPr>
          <w:trHeight w:val="1321"/>
          <w:tblCellSpacing w:w="15" w:type="dxa"/>
        </w:trPr>
        <w:tc>
          <w:tcPr>
            <w:tcW w:w="2130" w:type="dxa"/>
            <w:vAlign w:val="center"/>
            <w:hideMark/>
          </w:tcPr>
          <w:p w14:paraId="4887AF22"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Small country-level test samples</w:t>
            </w:r>
          </w:p>
        </w:tc>
        <w:tc>
          <w:tcPr>
            <w:tcW w:w="5162" w:type="dxa"/>
            <w:vAlign w:val="center"/>
            <w:hideMark/>
          </w:tcPr>
          <w:p w14:paraId="1856965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Country-specific error estimates may be unstable</w:t>
            </w:r>
          </w:p>
        </w:tc>
        <w:tc>
          <w:tcPr>
            <w:tcW w:w="0" w:type="auto"/>
            <w:vAlign w:val="center"/>
            <w:hideMark/>
          </w:tcPr>
          <w:p w14:paraId="4CD2BCD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Treat country-wise metrics as diagnostic evidence rather than definitive rankings</w:t>
            </w:r>
          </w:p>
        </w:tc>
      </w:tr>
      <w:tr w:rsidR="003E68A4" w:rsidRPr="009C21D6" w14:paraId="3082BD67" w14:textId="77777777" w:rsidTr="00DC637D">
        <w:trPr>
          <w:trHeight w:val="1321"/>
          <w:tblCellSpacing w:w="15" w:type="dxa"/>
        </w:trPr>
        <w:tc>
          <w:tcPr>
            <w:tcW w:w="2130" w:type="dxa"/>
            <w:vAlign w:val="center"/>
            <w:hideMark/>
          </w:tcPr>
          <w:p w14:paraId="6E92DBFD"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Data inconsistencies</w:t>
            </w:r>
          </w:p>
        </w:tc>
        <w:tc>
          <w:tcPr>
            <w:tcW w:w="5162" w:type="dxa"/>
            <w:vAlign w:val="center"/>
            <w:hideMark/>
          </w:tcPr>
          <w:p w14:paraId="130E6A3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Inaccurate records or inconsistent country-year coverage may affect model estimates</w:t>
            </w:r>
          </w:p>
        </w:tc>
        <w:tc>
          <w:tcPr>
            <w:tcW w:w="0" w:type="auto"/>
            <w:vAlign w:val="center"/>
            <w:hideMark/>
          </w:tcPr>
          <w:p w14:paraId="2B0D18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Verify dataset structure, completeness, identifiers and source documentation</w:t>
            </w:r>
          </w:p>
        </w:tc>
      </w:tr>
      <w:tr w:rsidR="003E68A4" w:rsidRPr="009C21D6" w14:paraId="25940D58" w14:textId="77777777" w:rsidTr="00DC637D">
        <w:trPr>
          <w:trHeight w:val="1302"/>
          <w:tblCellSpacing w:w="15" w:type="dxa"/>
        </w:trPr>
        <w:tc>
          <w:tcPr>
            <w:tcW w:w="2130" w:type="dxa"/>
            <w:vAlign w:val="center"/>
            <w:hideMark/>
          </w:tcPr>
          <w:p w14:paraId="22A8E8D1"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Unexplained outliers</w:t>
            </w:r>
          </w:p>
        </w:tc>
        <w:tc>
          <w:tcPr>
            <w:tcW w:w="5162" w:type="dxa"/>
            <w:vAlign w:val="center"/>
            <w:hideMark/>
          </w:tcPr>
          <w:p w14:paraId="44F86F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Individual observations may dominate aggregate error measures</w:t>
            </w:r>
          </w:p>
        </w:tc>
        <w:tc>
          <w:tcPr>
            <w:tcW w:w="0" w:type="auto"/>
            <w:vAlign w:val="center"/>
            <w:hideMark/>
          </w:tcPr>
          <w:p w14:paraId="09EB5E7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Investigate high-error observations without assigning unsupported causes</w:t>
            </w:r>
          </w:p>
        </w:tc>
      </w:tr>
    </w:tbl>
    <w:p w14:paraId="5CE54F59" w14:textId="77777777" w:rsidR="00DC637D" w:rsidRDefault="00DC637D" w:rsidP="007347CA">
      <w:pPr>
        <w:spacing w:after="60"/>
        <w:jc w:val="both"/>
        <w:rPr>
          <w:rFonts w:ascii="Times New Roman" w:hAnsi="Times New Roman" w:cs="Times New Roman"/>
          <w:b/>
          <w:bCs/>
          <w:sz w:val="32"/>
          <w:szCs w:val="32"/>
          <w:lang w:val="en-IN"/>
        </w:rPr>
      </w:pPr>
    </w:p>
    <w:p w14:paraId="3BD0A416" w14:textId="06B337A0" w:rsidR="003E68A4" w:rsidRPr="00487004" w:rsidRDefault="00487004" w:rsidP="00487004">
      <w:pPr>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r w:rsidR="003E68A4" w:rsidRPr="00673FB7">
        <w:rPr>
          <w:rFonts w:ascii="Times New Roman" w:hAnsi="Times New Roman" w:cs="Times New Roman"/>
          <w:b/>
          <w:bCs/>
          <w:color w:val="1F497D" w:themeColor="text2"/>
          <w:sz w:val="32"/>
          <w:szCs w:val="32"/>
          <w:lang w:val="en-IN"/>
        </w:rPr>
        <w:lastRenderedPageBreak/>
        <w:t>8. Experimental Documentation and Reproducibility</w:t>
      </w:r>
    </w:p>
    <w:p w14:paraId="4E33C5E5"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supplementary experiments are organized in a separate evaluation notebook, keeping the original project notebooks unchanged.</w:t>
      </w:r>
    </w:p>
    <w:p w14:paraId="333BBD3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The experimental notebook uses the existing processed </w:t>
      </w:r>
      <w:proofErr w:type="spellStart"/>
      <w:r w:rsidRPr="009C21D6">
        <w:rPr>
          <w:rFonts w:ascii="Times New Roman" w:hAnsi="Times New Roman" w:cs="Times New Roman"/>
          <w:sz w:val="24"/>
          <w:szCs w:val="24"/>
          <w:lang w:val="en-IN"/>
        </w:rPr>
        <w:t>modeling</w:t>
      </w:r>
      <w:proofErr w:type="spellEnd"/>
      <w:r w:rsidRPr="009C21D6">
        <w:rPr>
          <w:rFonts w:ascii="Times New Roman" w:hAnsi="Times New Roman" w:cs="Times New Roman"/>
          <w:sz w:val="24"/>
          <w:szCs w:val="24"/>
          <w:lang w:val="en-IN"/>
        </w:rPr>
        <w:t xml:space="preserve"> dataset and model configurations. Its outputs are saved separately under outputs/</w:t>
      </w:r>
      <w:proofErr w:type="spellStart"/>
      <w:r w:rsidRPr="009C21D6">
        <w:rPr>
          <w:rFonts w:ascii="Times New Roman" w:hAnsi="Times New Roman" w:cs="Times New Roman"/>
          <w:sz w:val="24"/>
          <w:szCs w:val="24"/>
          <w:lang w:val="en-IN"/>
        </w:rPr>
        <w:t>yuvaintern_evaluation</w:t>
      </w:r>
      <w:proofErr w:type="spellEnd"/>
      <w:r w:rsidRPr="009C21D6">
        <w:rPr>
          <w:rFonts w:ascii="Times New Roman" w:hAnsi="Times New Roman" w:cs="Times New Roman"/>
          <w:sz w:val="24"/>
          <w:szCs w:val="24"/>
          <w:lang w:val="en-IN"/>
        </w:rPr>
        <w:t>/, including:</w:t>
      </w:r>
    </w:p>
    <w:p w14:paraId="15D74E83"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Country-grouped cross-validation fold results and summaries.</w:t>
      </w:r>
    </w:p>
    <w:p w14:paraId="7FEBB567"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Pooled out-of-fold metrics.</w:t>
      </w:r>
    </w:p>
    <w:p w14:paraId="109B2B01"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Rolling-origin fold results, predictions and summaries.</w:t>
      </w:r>
    </w:p>
    <w:p w14:paraId="2BCD7F22"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Persistence baseline comparisons.</w:t>
      </w:r>
    </w:p>
    <w:p w14:paraId="059316EB"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Evaluation visualizations.</w:t>
      </w:r>
    </w:p>
    <w:p w14:paraId="76E2E77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random-split regression experiment, country-grouped cross-validation, rolling-origin evaluation and final chronological test comparison are recorded as distinct experiments. Their metrics are not treated as directly interchangeable because the experiments assess different generalization conditions.</w:t>
      </w:r>
    </w:p>
    <w:p w14:paraId="79D7E0D4"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experimental design, data partitions, feature sets, model configurations, evaluation metrics, result tables and limitations are documented to support review and reproducibility.</w:t>
      </w:r>
    </w:p>
    <w:p w14:paraId="4032D5C0" w14:textId="77777777" w:rsidR="0098028E" w:rsidRDefault="0098028E" w:rsidP="007347CA">
      <w:pPr>
        <w:spacing w:after="60"/>
        <w:jc w:val="both"/>
        <w:rPr>
          <w:rFonts w:ascii="Times New Roman" w:hAnsi="Times New Roman" w:cs="Times New Roman"/>
          <w:b/>
          <w:bCs/>
          <w:color w:val="1F497D" w:themeColor="text2"/>
          <w:sz w:val="32"/>
          <w:szCs w:val="32"/>
          <w:lang w:val="en-IN"/>
        </w:rPr>
      </w:pPr>
    </w:p>
    <w:p w14:paraId="69D92238" w14:textId="63EAC274" w:rsidR="003E68A4" w:rsidRPr="00673FB7" w:rsidRDefault="003E68A4" w:rsidP="007347CA">
      <w:pPr>
        <w:spacing w:after="60"/>
        <w:jc w:val="both"/>
        <w:rPr>
          <w:rFonts w:ascii="Times New Roman" w:hAnsi="Times New Roman" w:cs="Times New Roman"/>
          <w:b/>
          <w:bCs/>
          <w:color w:val="1F497D" w:themeColor="text2"/>
          <w:sz w:val="32"/>
          <w:szCs w:val="32"/>
          <w:lang w:val="en-IN"/>
        </w:rPr>
      </w:pPr>
      <w:r w:rsidRPr="00673FB7">
        <w:rPr>
          <w:rFonts w:ascii="Times New Roman" w:hAnsi="Times New Roman" w:cs="Times New Roman"/>
          <w:b/>
          <w:bCs/>
          <w:color w:val="1F497D" w:themeColor="text2"/>
          <w:sz w:val="32"/>
          <w:szCs w:val="32"/>
          <w:lang w:val="en-IN"/>
        </w:rPr>
        <w:t>9. Conclusion</w:t>
      </w:r>
    </w:p>
    <w:p w14:paraId="4A02AC43"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experimental evaluation compares three regression algorithms under random-split and country-grouped validation, and assesses a lag-based Gradient Boosting forecasting model through rolling-origin evaluation and comparison with a persistence baseline.</w:t>
      </w:r>
    </w:p>
    <w:p w14:paraId="63977216"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Gradient Boosting was selected for the original regression task based on validation RMSE. However, country-grouped cross-validation </w:t>
      </w:r>
      <w:proofErr w:type="spellStart"/>
      <w:r w:rsidRPr="009C21D6">
        <w:rPr>
          <w:rFonts w:ascii="Times New Roman" w:hAnsi="Times New Roman" w:cs="Times New Roman"/>
          <w:sz w:val="24"/>
          <w:szCs w:val="24"/>
          <w:lang w:val="en-IN"/>
        </w:rPr>
        <w:t>favored</w:t>
      </w:r>
      <w:proofErr w:type="spellEnd"/>
      <w:r w:rsidRPr="009C21D6">
        <w:rPr>
          <w:rFonts w:ascii="Times New Roman" w:hAnsi="Times New Roman" w:cs="Times New Roman"/>
          <w:sz w:val="24"/>
          <w:szCs w:val="24"/>
          <w:lang w:val="en-IN"/>
        </w:rPr>
        <w:t xml:space="preserve"> Linear Regression, while the persistence baseline outperformed Gradient Boosting in both rolling-origin validation and the final chronological test evaluation.</w:t>
      </w:r>
    </w:p>
    <w:p w14:paraId="44009779"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error analysis identified substantial Gradient Boosting overprediction of India's emissions in 2014 and 2015, accounting for nearly all the squared error in those validation years. These findings emphasize the importance of evaluating models across distinct generalization scenarios, including simple baselines and country-level diagnostics.</w:t>
      </w:r>
    </w:p>
    <w:p w14:paraId="65BFE2D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Overall, the experiments provide a structured evaluation of predictive accuracy, country-level generalization, temporal performance, model stability and error characteristics, while clearly identifying the limitations of conditional predictions based on observed same-year predictors.</w:t>
      </w:r>
    </w:p>
    <w:p w14:paraId="713A2156" w14:textId="77777777" w:rsidR="00DC637D" w:rsidRDefault="00DC637D" w:rsidP="007347CA">
      <w:pPr>
        <w:spacing w:after="60"/>
        <w:rPr>
          <w:rFonts w:ascii="Times New Roman" w:hAnsi="Times New Roman" w:cs="Times New Roman"/>
          <w:b/>
          <w:bCs/>
          <w:sz w:val="32"/>
          <w:szCs w:val="32"/>
          <w:lang w:val="en-IN"/>
        </w:rPr>
      </w:pPr>
      <w:r>
        <w:rPr>
          <w:rFonts w:ascii="Times New Roman" w:hAnsi="Times New Roman" w:cs="Times New Roman"/>
          <w:b/>
          <w:bCs/>
          <w:sz w:val="32"/>
          <w:szCs w:val="32"/>
          <w:lang w:val="en-IN"/>
        </w:rPr>
        <w:br w:type="page"/>
      </w:r>
    </w:p>
    <w:p w14:paraId="0D6EECF7" w14:textId="50F56540" w:rsidR="003E68A4" w:rsidRPr="00C61F1E" w:rsidRDefault="003E68A4" w:rsidP="007347CA">
      <w:pPr>
        <w:spacing w:after="60"/>
        <w:jc w:val="both"/>
        <w:rPr>
          <w:rFonts w:ascii="Times New Roman" w:hAnsi="Times New Roman" w:cs="Times New Roman"/>
          <w:b/>
          <w:bCs/>
          <w:color w:val="1F497D" w:themeColor="text2"/>
          <w:sz w:val="32"/>
          <w:szCs w:val="32"/>
          <w:lang w:val="en-IN"/>
        </w:rPr>
      </w:pPr>
      <w:r w:rsidRPr="00C61F1E">
        <w:rPr>
          <w:rFonts w:ascii="Times New Roman" w:hAnsi="Times New Roman" w:cs="Times New Roman"/>
          <w:b/>
          <w:bCs/>
          <w:color w:val="1F497D" w:themeColor="text2"/>
          <w:sz w:val="32"/>
          <w:szCs w:val="32"/>
          <w:lang w:val="en-IN"/>
        </w:rPr>
        <w:lastRenderedPageBreak/>
        <w:t>References</w:t>
      </w:r>
    </w:p>
    <w:p w14:paraId="73856771"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[1] Scikit-learn Developers. </w:t>
      </w:r>
      <w:proofErr w:type="spellStart"/>
      <w:r w:rsidRPr="009C21D6">
        <w:rPr>
          <w:rFonts w:ascii="Times New Roman" w:hAnsi="Times New Roman" w:cs="Times New Roman"/>
          <w:i/>
          <w:iCs/>
          <w:sz w:val="24"/>
          <w:szCs w:val="24"/>
          <w:lang w:val="en-IN"/>
        </w:rPr>
        <w:t>GroupKFold</w:t>
      </w:r>
      <w:proofErr w:type="spellEnd"/>
      <w:r w:rsidRPr="009C21D6">
        <w:rPr>
          <w:rFonts w:ascii="Times New Roman" w:hAnsi="Times New Roman" w:cs="Times New Roman"/>
          <w:sz w:val="24"/>
          <w:szCs w:val="24"/>
          <w:lang w:val="en-IN"/>
        </w:rPr>
        <w:t xml:space="preserve">. Scikit-learn documentation. </w:t>
      </w:r>
      <w:hyperlink r:id="rId8" w:history="1">
        <w:r w:rsidRPr="009C21D6">
          <w:rPr>
            <w:rStyle w:val="Hyperlink"/>
            <w:rFonts w:ascii="Times New Roman" w:hAnsi="Times New Roman" w:cs="Times New Roman"/>
            <w:sz w:val="24"/>
            <w:szCs w:val="24"/>
            <w:lang w:val="en-IN"/>
          </w:rPr>
          <w:t>https://scikit-learn.org/stable/modules/generated/sklearn.model_selection.GroupKFold.html</w:t>
        </w:r>
      </w:hyperlink>
    </w:p>
    <w:p w14:paraId="5FDE3E3A"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[2] Hyndman, R. J., and Athanasopoulos, G. </w:t>
      </w:r>
      <w:r w:rsidRPr="009C21D6">
        <w:rPr>
          <w:rFonts w:ascii="Times New Roman" w:hAnsi="Times New Roman" w:cs="Times New Roman"/>
          <w:i/>
          <w:iCs/>
          <w:sz w:val="24"/>
          <w:szCs w:val="24"/>
          <w:lang w:val="en-IN"/>
        </w:rPr>
        <w:t>Forecasting: Principles and Practice</w:t>
      </w:r>
      <w:r w:rsidRPr="009C21D6">
        <w:rPr>
          <w:rFonts w:ascii="Times New Roman" w:hAnsi="Times New Roman" w:cs="Times New Roman"/>
          <w:sz w:val="24"/>
          <w:szCs w:val="24"/>
          <w:lang w:val="en-IN"/>
        </w:rPr>
        <w:t xml:space="preserve">, 3rd edition, Section 5.10, Time Series Cross-Validation. </w:t>
      </w:r>
      <w:hyperlink r:id="rId9" w:history="1">
        <w:r w:rsidRPr="009C21D6">
          <w:rPr>
            <w:rStyle w:val="Hyperlink"/>
            <w:rFonts w:ascii="Times New Roman" w:hAnsi="Times New Roman" w:cs="Times New Roman"/>
            <w:sz w:val="24"/>
            <w:szCs w:val="24"/>
            <w:lang w:val="en-IN"/>
          </w:rPr>
          <w:t>https://otexts.robjhyndman.com/fpp3/tscv.html</w:t>
        </w:r>
      </w:hyperlink>
    </w:p>
    <w:p w14:paraId="6C0631BA"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[3] Hyndman, R. J., and Athanasopoulos, G. </w:t>
      </w:r>
      <w:r w:rsidRPr="009C21D6">
        <w:rPr>
          <w:rFonts w:ascii="Times New Roman" w:hAnsi="Times New Roman" w:cs="Times New Roman"/>
          <w:i/>
          <w:iCs/>
          <w:sz w:val="24"/>
          <w:szCs w:val="24"/>
          <w:lang w:val="en-IN"/>
        </w:rPr>
        <w:t>Forecasting: Principles and Practice</w:t>
      </w:r>
      <w:r w:rsidRPr="009C21D6">
        <w:rPr>
          <w:rFonts w:ascii="Times New Roman" w:hAnsi="Times New Roman" w:cs="Times New Roman"/>
          <w:sz w:val="24"/>
          <w:szCs w:val="24"/>
          <w:lang w:val="en-IN"/>
        </w:rPr>
        <w:t xml:space="preserve">, 3rd edition, Section 5.2, Some Simple Forecasting Methods. </w:t>
      </w:r>
      <w:hyperlink r:id="rId10" w:history="1">
        <w:r w:rsidRPr="009C21D6">
          <w:rPr>
            <w:rStyle w:val="Hyperlink"/>
            <w:rFonts w:ascii="Times New Roman" w:hAnsi="Times New Roman" w:cs="Times New Roman"/>
            <w:sz w:val="24"/>
            <w:szCs w:val="24"/>
            <w:lang w:val="en-IN"/>
          </w:rPr>
          <w:t>https://otexts.robjhyndman.com/fpp3/simple-methods.html</w:t>
        </w:r>
      </w:hyperlink>
    </w:p>
    <w:p w14:paraId="44AE93AC"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[4] Scikit-learn Developers. </w:t>
      </w:r>
      <w:r w:rsidRPr="009C21D6">
        <w:rPr>
          <w:rFonts w:ascii="Times New Roman" w:hAnsi="Times New Roman" w:cs="Times New Roman"/>
          <w:i/>
          <w:iCs/>
          <w:sz w:val="24"/>
          <w:szCs w:val="24"/>
          <w:lang w:val="en-IN"/>
        </w:rPr>
        <w:t>Metrics and Scoring: Quantifying the Quality of Predictions</w:t>
      </w:r>
      <w:r w:rsidRPr="009C21D6">
        <w:rPr>
          <w:rFonts w:ascii="Times New Roman" w:hAnsi="Times New Roman" w:cs="Times New Roman"/>
          <w:sz w:val="24"/>
          <w:szCs w:val="24"/>
          <w:lang w:val="en-IN"/>
        </w:rPr>
        <w:t xml:space="preserve">. Scikit-learn documentation. </w:t>
      </w:r>
      <w:hyperlink r:id="rId11" w:history="1">
        <w:r w:rsidRPr="009C21D6">
          <w:rPr>
            <w:rStyle w:val="Hyperlink"/>
            <w:rFonts w:ascii="Times New Roman" w:hAnsi="Times New Roman" w:cs="Times New Roman"/>
            <w:sz w:val="24"/>
            <w:szCs w:val="24"/>
            <w:lang w:val="en-IN"/>
          </w:rPr>
          <w:t>https://scikit-learn.org/stable/modules/model_evaluation.html</w:t>
        </w:r>
      </w:hyperlink>
    </w:p>
    <w:p w14:paraId="786404EC"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[5] Scikit-learn Developers. </w:t>
      </w:r>
      <w:r w:rsidRPr="009C21D6">
        <w:rPr>
          <w:rFonts w:ascii="Times New Roman" w:hAnsi="Times New Roman" w:cs="Times New Roman"/>
          <w:i/>
          <w:iCs/>
          <w:sz w:val="24"/>
          <w:szCs w:val="24"/>
          <w:lang w:val="en-IN"/>
        </w:rPr>
        <w:t>Cross-validation: Evaluating Estimator Performance</w:t>
      </w:r>
      <w:r w:rsidRPr="009C21D6">
        <w:rPr>
          <w:rFonts w:ascii="Times New Roman" w:hAnsi="Times New Roman" w:cs="Times New Roman"/>
          <w:sz w:val="24"/>
          <w:szCs w:val="24"/>
          <w:lang w:val="en-IN"/>
        </w:rPr>
        <w:t xml:space="preserve">. Scikit-learn documentation. </w:t>
      </w:r>
      <w:hyperlink r:id="rId12" w:history="1">
        <w:r w:rsidRPr="009C21D6">
          <w:rPr>
            <w:rStyle w:val="Hyperlink"/>
            <w:rFonts w:ascii="Times New Roman" w:hAnsi="Times New Roman" w:cs="Times New Roman"/>
            <w:sz w:val="24"/>
            <w:szCs w:val="24"/>
            <w:lang w:val="en-IN"/>
          </w:rPr>
          <w:t>https://scikit-learn.org/stable/modules/cross_validation.html</w:t>
        </w:r>
      </w:hyperlink>
    </w:p>
    <w:p w14:paraId="301DD0F7"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[6] Scikit-learn Developers. </w:t>
      </w:r>
      <w:r w:rsidRPr="009C21D6">
        <w:rPr>
          <w:rFonts w:ascii="Times New Roman" w:hAnsi="Times New Roman" w:cs="Times New Roman"/>
          <w:i/>
          <w:iCs/>
          <w:sz w:val="24"/>
          <w:szCs w:val="24"/>
          <w:lang w:val="en-IN"/>
        </w:rPr>
        <w:t>Pipeline</w:t>
      </w:r>
      <w:r w:rsidRPr="009C21D6">
        <w:rPr>
          <w:rFonts w:ascii="Times New Roman" w:hAnsi="Times New Roman" w:cs="Times New Roman"/>
          <w:sz w:val="24"/>
          <w:szCs w:val="24"/>
          <w:lang w:val="en-IN"/>
        </w:rPr>
        <w:t xml:space="preserve">. Scikit-learn documentation. </w:t>
      </w:r>
      <w:hyperlink r:id="rId13" w:history="1">
        <w:r w:rsidRPr="009C21D6">
          <w:rPr>
            <w:rStyle w:val="Hyperlink"/>
            <w:rFonts w:ascii="Times New Roman" w:hAnsi="Times New Roman" w:cs="Times New Roman"/>
            <w:sz w:val="24"/>
            <w:szCs w:val="24"/>
            <w:lang w:val="en-IN"/>
          </w:rPr>
          <w:t>https://scikit-learn.org/stable/modules/generated/sklearn.pipeline.Pipeline.html</w:t>
        </w:r>
      </w:hyperlink>
    </w:p>
    <w:p w14:paraId="51F7553C" w14:textId="77777777" w:rsidR="00A71B9D" w:rsidRPr="00A71B9D" w:rsidRDefault="00A71B9D" w:rsidP="00A71B9D">
      <w:pPr>
        <w:spacing w:after="60"/>
        <w:jc w:val="both"/>
        <w:rPr>
          <w:rFonts w:ascii="Times New Roman" w:hAnsi="Times New Roman" w:cs="Times New Roman"/>
          <w:sz w:val="24"/>
          <w:szCs w:val="24"/>
          <w:lang w:val="en-IN"/>
        </w:rPr>
      </w:pPr>
      <w:r w:rsidRPr="00A71B9D">
        <w:rPr>
          <w:rFonts w:ascii="Times New Roman" w:hAnsi="Times New Roman" w:cs="Times New Roman"/>
          <w:sz w:val="24"/>
          <w:szCs w:val="24"/>
          <w:lang w:val="en-IN"/>
        </w:rPr>
        <w:t xml:space="preserve">[7] Our World in Data. CO₂ and Greenhouse Gas Emissions. </w:t>
      </w:r>
      <w:hyperlink r:id="rId14" w:history="1">
        <w:r w:rsidRPr="00A71B9D">
          <w:rPr>
            <w:rStyle w:val="Hyperlink"/>
            <w:rFonts w:ascii="Times New Roman" w:hAnsi="Times New Roman" w:cs="Times New Roman"/>
            <w:sz w:val="24"/>
            <w:szCs w:val="24"/>
            <w:lang w:val="en-IN"/>
          </w:rPr>
          <w:t>https://ourworldindata.org/co2-and-greenhouse-gas-emissions</w:t>
        </w:r>
      </w:hyperlink>
    </w:p>
    <w:p w14:paraId="188DC8F9" w14:textId="77777777" w:rsidR="00A71B9D" w:rsidRPr="00A71B9D" w:rsidRDefault="00A71B9D" w:rsidP="00A71B9D">
      <w:pPr>
        <w:spacing w:after="60"/>
        <w:jc w:val="both"/>
        <w:rPr>
          <w:rFonts w:ascii="Times New Roman" w:hAnsi="Times New Roman" w:cs="Times New Roman"/>
          <w:sz w:val="24"/>
          <w:szCs w:val="24"/>
          <w:lang w:val="en-IN"/>
        </w:rPr>
      </w:pPr>
      <w:r w:rsidRPr="00A71B9D">
        <w:rPr>
          <w:rFonts w:ascii="Times New Roman" w:hAnsi="Times New Roman" w:cs="Times New Roman"/>
          <w:sz w:val="24"/>
          <w:szCs w:val="24"/>
          <w:lang w:val="en-IN"/>
        </w:rPr>
        <w:t xml:space="preserve">[8] Our World in Data. Energy Data. </w:t>
      </w:r>
      <w:hyperlink r:id="rId15" w:history="1">
        <w:r w:rsidRPr="00A71B9D">
          <w:rPr>
            <w:rStyle w:val="Hyperlink"/>
            <w:rFonts w:ascii="Times New Roman" w:hAnsi="Times New Roman" w:cs="Times New Roman"/>
            <w:sz w:val="24"/>
            <w:szCs w:val="24"/>
            <w:lang w:val="en-IN"/>
          </w:rPr>
          <w:t>https://catalog.ourworldindata.org/energy_data/owid_energy/</w:t>
        </w:r>
      </w:hyperlink>
    </w:p>
    <w:p w14:paraId="70EF71CB" w14:textId="77777777" w:rsidR="00EC4C49" w:rsidRPr="009C21D6" w:rsidRDefault="00EC4C49" w:rsidP="007347CA">
      <w:pPr>
        <w:spacing w:after="60"/>
        <w:jc w:val="both"/>
        <w:rPr>
          <w:rFonts w:ascii="Times New Roman" w:hAnsi="Times New Roman" w:cs="Times New Roman"/>
          <w:sz w:val="24"/>
          <w:szCs w:val="24"/>
        </w:rPr>
      </w:pPr>
    </w:p>
    <w:sectPr w:rsidR="00EC4C49" w:rsidRPr="009C21D6" w:rsidSect="00D5331A">
      <w:headerReference w:type="default" r:id="rId16"/>
      <w:footerReference w:type="default" r:id="rId17"/>
      <w:pgSz w:w="12240" w:h="15840"/>
      <w:pgMar w:top="720" w:right="720" w:bottom="720" w:left="72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6528F" w14:textId="77777777" w:rsidR="007341FB" w:rsidRDefault="007341FB">
      <w:pPr>
        <w:spacing w:after="0" w:line="240" w:lineRule="auto"/>
      </w:pPr>
      <w:r>
        <w:separator/>
      </w:r>
    </w:p>
  </w:endnote>
  <w:endnote w:type="continuationSeparator" w:id="0">
    <w:p w14:paraId="4D3F60F7" w14:textId="77777777" w:rsidR="007341FB" w:rsidRDefault="00734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61E6" w14:textId="42EDA0FE" w:rsidR="005B7FA3" w:rsidRPr="00B9743F" w:rsidRDefault="00000000">
    <w:pPr>
      <w:pStyle w:val="Footer"/>
      <w:jc w:val="center"/>
      <w:rPr>
        <w:rFonts w:ascii="Times New Roman" w:hAnsi="Times New Roman" w:cs="Times New Roman"/>
      </w:rPr>
    </w:pPr>
    <w:r w:rsidRPr="00B9743F">
      <w:rPr>
        <w:rFonts w:ascii="Times New Roman" w:hAnsi="Times New Roman" w:cs="Times New Roman"/>
        <w:sz w:val="17"/>
      </w:rPr>
      <w:t>Carbon Emission Prediction and Sustainability Modeling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E7EC1" w14:textId="77777777" w:rsidR="007341FB" w:rsidRDefault="007341FB">
      <w:pPr>
        <w:spacing w:after="0" w:line="240" w:lineRule="auto"/>
      </w:pPr>
      <w:r>
        <w:separator/>
      </w:r>
    </w:p>
  </w:footnote>
  <w:footnote w:type="continuationSeparator" w:id="0">
    <w:p w14:paraId="178725C5" w14:textId="77777777" w:rsidR="007341FB" w:rsidRDefault="007341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0E277" w14:textId="75D4FF22" w:rsidR="005B7FA3" w:rsidRPr="00B9743F" w:rsidRDefault="005B7FA3">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785A28"/>
    <w:multiLevelType w:val="multilevel"/>
    <w:tmpl w:val="EAFC4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19535D"/>
    <w:multiLevelType w:val="multilevel"/>
    <w:tmpl w:val="E216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6E210F"/>
    <w:multiLevelType w:val="multilevel"/>
    <w:tmpl w:val="F38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B053B8"/>
    <w:multiLevelType w:val="multilevel"/>
    <w:tmpl w:val="1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BD0164"/>
    <w:multiLevelType w:val="multilevel"/>
    <w:tmpl w:val="118C7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996071"/>
    <w:multiLevelType w:val="multilevel"/>
    <w:tmpl w:val="2BBE7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41551D"/>
    <w:multiLevelType w:val="multilevel"/>
    <w:tmpl w:val="14F0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A62D2E"/>
    <w:multiLevelType w:val="multilevel"/>
    <w:tmpl w:val="EAE29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8E0B7B"/>
    <w:multiLevelType w:val="multilevel"/>
    <w:tmpl w:val="2824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04F82"/>
    <w:multiLevelType w:val="multilevel"/>
    <w:tmpl w:val="D6A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057F46"/>
    <w:multiLevelType w:val="multilevel"/>
    <w:tmpl w:val="ED40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A437D"/>
    <w:multiLevelType w:val="multilevel"/>
    <w:tmpl w:val="A0B2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2D22BC"/>
    <w:multiLevelType w:val="hybridMultilevel"/>
    <w:tmpl w:val="A358E3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CFF16DD"/>
    <w:multiLevelType w:val="multilevel"/>
    <w:tmpl w:val="84A2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326419"/>
    <w:multiLevelType w:val="multilevel"/>
    <w:tmpl w:val="C298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466FD2"/>
    <w:multiLevelType w:val="multilevel"/>
    <w:tmpl w:val="20F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517FDB"/>
    <w:multiLevelType w:val="multilevel"/>
    <w:tmpl w:val="7730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D12389"/>
    <w:multiLevelType w:val="hybridMultilevel"/>
    <w:tmpl w:val="04F691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785BAC"/>
    <w:multiLevelType w:val="multilevel"/>
    <w:tmpl w:val="4CA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9545F"/>
    <w:multiLevelType w:val="multilevel"/>
    <w:tmpl w:val="1436C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2C3958"/>
    <w:multiLevelType w:val="multilevel"/>
    <w:tmpl w:val="67B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EA4102"/>
    <w:multiLevelType w:val="multilevel"/>
    <w:tmpl w:val="5FF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5D2296"/>
    <w:multiLevelType w:val="multilevel"/>
    <w:tmpl w:val="3576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702ED"/>
    <w:multiLevelType w:val="multilevel"/>
    <w:tmpl w:val="FF8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B11E2C"/>
    <w:multiLevelType w:val="hybridMultilevel"/>
    <w:tmpl w:val="78F4B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FA6453"/>
    <w:multiLevelType w:val="multilevel"/>
    <w:tmpl w:val="FB6C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0201B9"/>
    <w:multiLevelType w:val="hybridMultilevel"/>
    <w:tmpl w:val="9DFAE8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66C4C80"/>
    <w:multiLevelType w:val="multilevel"/>
    <w:tmpl w:val="16B698C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1521C2"/>
    <w:multiLevelType w:val="multilevel"/>
    <w:tmpl w:val="9FE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D314D"/>
    <w:multiLevelType w:val="multilevel"/>
    <w:tmpl w:val="325A0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EE5DCE"/>
    <w:multiLevelType w:val="hybridMultilevel"/>
    <w:tmpl w:val="095A3A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372347">
    <w:abstractNumId w:val="8"/>
  </w:num>
  <w:num w:numId="2" w16cid:durableId="1794591442">
    <w:abstractNumId w:val="6"/>
  </w:num>
  <w:num w:numId="3" w16cid:durableId="352347904">
    <w:abstractNumId w:val="5"/>
  </w:num>
  <w:num w:numId="4" w16cid:durableId="615253930">
    <w:abstractNumId w:val="4"/>
  </w:num>
  <w:num w:numId="5" w16cid:durableId="191262052">
    <w:abstractNumId w:val="7"/>
  </w:num>
  <w:num w:numId="6" w16cid:durableId="1463500982">
    <w:abstractNumId w:val="3"/>
  </w:num>
  <w:num w:numId="7" w16cid:durableId="1309020598">
    <w:abstractNumId w:val="2"/>
  </w:num>
  <w:num w:numId="8" w16cid:durableId="825585216">
    <w:abstractNumId w:val="1"/>
  </w:num>
  <w:num w:numId="9" w16cid:durableId="261887609">
    <w:abstractNumId w:val="0"/>
  </w:num>
  <w:num w:numId="10" w16cid:durableId="148207577">
    <w:abstractNumId w:val="31"/>
  </w:num>
  <w:num w:numId="11" w16cid:durableId="340670209">
    <w:abstractNumId w:val="14"/>
  </w:num>
  <w:num w:numId="12" w16cid:durableId="8875968">
    <w:abstractNumId w:val="32"/>
  </w:num>
  <w:num w:numId="13" w16cid:durableId="17201475">
    <w:abstractNumId w:val="34"/>
  </w:num>
  <w:num w:numId="14" w16cid:durableId="488600011">
    <w:abstractNumId w:val="22"/>
  </w:num>
  <w:num w:numId="15" w16cid:durableId="296109847">
    <w:abstractNumId w:val="24"/>
  </w:num>
  <w:num w:numId="16" w16cid:durableId="1661500833">
    <w:abstractNumId w:val="12"/>
  </w:num>
  <w:num w:numId="17" w16cid:durableId="2139567120">
    <w:abstractNumId w:val="27"/>
  </w:num>
  <w:num w:numId="18" w16cid:durableId="2031027811">
    <w:abstractNumId w:val="11"/>
  </w:num>
  <w:num w:numId="19" w16cid:durableId="1226329889">
    <w:abstractNumId w:val="17"/>
  </w:num>
  <w:num w:numId="20" w16cid:durableId="395517311">
    <w:abstractNumId w:val="38"/>
  </w:num>
  <w:num w:numId="21" w16cid:durableId="1542017140">
    <w:abstractNumId w:val="15"/>
  </w:num>
  <w:num w:numId="22" w16cid:durableId="1448427085">
    <w:abstractNumId w:val="19"/>
  </w:num>
  <w:num w:numId="23" w16cid:durableId="460541219">
    <w:abstractNumId w:val="28"/>
  </w:num>
  <w:num w:numId="24" w16cid:durableId="1895501735">
    <w:abstractNumId w:val="10"/>
  </w:num>
  <w:num w:numId="25" w16cid:durableId="464390349">
    <w:abstractNumId w:val="20"/>
  </w:num>
  <w:num w:numId="26" w16cid:durableId="1940259655">
    <w:abstractNumId w:val="29"/>
  </w:num>
  <w:num w:numId="27" w16cid:durableId="1654946462">
    <w:abstractNumId w:val="37"/>
  </w:num>
  <w:num w:numId="28" w16cid:durableId="1557428119">
    <w:abstractNumId w:val="30"/>
  </w:num>
  <w:num w:numId="29" w16cid:durableId="1331326830">
    <w:abstractNumId w:val="18"/>
  </w:num>
  <w:num w:numId="30" w16cid:durableId="98070864">
    <w:abstractNumId w:val="36"/>
  </w:num>
  <w:num w:numId="31" w16cid:durableId="655382231">
    <w:abstractNumId w:val="21"/>
  </w:num>
  <w:num w:numId="32" w16cid:durableId="589119931">
    <w:abstractNumId w:val="35"/>
  </w:num>
  <w:num w:numId="33" w16cid:durableId="618757657">
    <w:abstractNumId w:val="26"/>
  </w:num>
  <w:num w:numId="34" w16cid:durableId="1991014744">
    <w:abstractNumId w:val="39"/>
  </w:num>
  <w:num w:numId="35" w16cid:durableId="1648165947">
    <w:abstractNumId w:val="33"/>
  </w:num>
  <w:num w:numId="36" w16cid:durableId="1098253103">
    <w:abstractNumId w:val="9"/>
  </w:num>
  <w:num w:numId="37" w16cid:durableId="727150112">
    <w:abstractNumId w:val="23"/>
  </w:num>
  <w:num w:numId="38" w16cid:durableId="1042285960">
    <w:abstractNumId w:val="13"/>
  </w:num>
  <w:num w:numId="39" w16cid:durableId="935945707">
    <w:abstractNumId w:val="16"/>
  </w:num>
  <w:num w:numId="40" w16cid:durableId="14534805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DA"/>
    <w:rsid w:val="00022C0D"/>
    <w:rsid w:val="00034616"/>
    <w:rsid w:val="000402D7"/>
    <w:rsid w:val="000461BC"/>
    <w:rsid w:val="0006063C"/>
    <w:rsid w:val="00065A15"/>
    <w:rsid w:val="00080006"/>
    <w:rsid w:val="000A021B"/>
    <w:rsid w:val="000F2A37"/>
    <w:rsid w:val="00112A48"/>
    <w:rsid w:val="0015074B"/>
    <w:rsid w:val="00170597"/>
    <w:rsid w:val="00180B17"/>
    <w:rsid w:val="001A7548"/>
    <w:rsid w:val="001D01E7"/>
    <w:rsid w:val="001E4941"/>
    <w:rsid w:val="002029D5"/>
    <w:rsid w:val="0020680A"/>
    <w:rsid w:val="00231980"/>
    <w:rsid w:val="00241688"/>
    <w:rsid w:val="00246BD8"/>
    <w:rsid w:val="00246CBB"/>
    <w:rsid w:val="00252E48"/>
    <w:rsid w:val="00253D66"/>
    <w:rsid w:val="00267402"/>
    <w:rsid w:val="00273B49"/>
    <w:rsid w:val="00274373"/>
    <w:rsid w:val="00276045"/>
    <w:rsid w:val="00276CE3"/>
    <w:rsid w:val="00285445"/>
    <w:rsid w:val="0029140C"/>
    <w:rsid w:val="0029639D"/>
    <w:rsid w:val="00296EC9"/>
    <w:rsid w:val="002B4857"/>
    <w:rsid w:val="002D5AF4"/>
    <w:rsid w:val="00305984"/>
    <w:rsid w:val="00315F7D"/>
    <w:rsid w:val="00326F90"/>
    <w:rsid w:val="00351BE6"/>
    <w:rsid w:val="003844AC"/>
    <w:rsid w:val="00386F26"/>
    <w:rsid w:val="003A4406"/>
    <w:rsid w:val="003B59D7"/>
    <w:rsid w:val="003E4058"/>
    <w:rsid w:val="003E40EE"/>
    <w:rsid w:val="003E61F1"/>
    <w:rsid w:val="003E68A4"/>
    <w:rsid w:val="003F16BD"/>
    <w:rsid w:val="003F5BF5"/>
    <w:rsid w:val="00434A8A"/>
    <w:rsid w:val="00442075"/>
    <w:rsid w:val="00444A86"/>
    <w:rsid w:val="00457175"/>
    <w:rsid w:val="00464704"/>
    <w:rsid w:val="0047208A"/>
    <w:rsid w:val="0048235F"/>
    <w:rsid w:val="00487004"/>
    <w:rsid w:val="00494233"/>
    <w:rsid w:val="004B5C0A"/>
    <w:rsid w:val="00525AF1"/>
    <w:rsid w:val="0055502F"/>
    <w:rsid w:val="00557761"/>
    <w:rsid w:val="0056525E"/>
    <w:rsid w:val="0059265E"/>
    <w:rsid w:val="005B4ADA"/>
    <w:rsid w:val="005B6D16"/>
    <w:rsid w:val="005B72A1"/>
    <w:rsid w:val="005B7FA3"/>
    <w:rsid w:val="005E1BA4"/>
    <w:rsid w:val="0060569F"/>
    <w:rsid w:val="006058C6"/>
    <w:rsid w:val="00622854"/>
    <w:rsid w:val="00632B04"/>
    <w:rsid w:val="00632D0B"/>
    <w:rsid w:val="0066179B"/>
    <w:rsid w:val="00673FB7"/>
    <w:rsid w:val="00693E1A"/>
    <w:rsid w:val="006C5B8F"/>
    <w:rsid w:val="006D0DE6"/>
    <w:rsid w:val="006E248E"/>
    <w:rsid w:val="006F6160"/>
    <w:rsid w:val="007054BC"/>
    <w:rsid w:val="00715838"/>
    <w:rsid w:val="00717313"/>
    <w:rsid w:val="00732974"/>
    <w:rsid w:val="007341FB"/>
    <w:rsid w:val="007347CA"/>
    <w:rsid w:val="00736FD9"/>
    <w:rsid w:val="00752B9F"/>
    <w:rsid w:val="00763A9A"/>
    <w:rsid w:val="007A4F85"/>
    <w:rsid w:val="007C025C"/>
    <w:rsid w:val="007C1F5F"/>
    <w:rsid w:val="00812971"/>
    <w:rsid w:val="00812B63"/>
    <w:rsid w:val="00816582"/>
    <w:rsid w:val="00845740"/>
    <w:rsid w:val="008663D5"/>
    <w:rsid w:val="008668E0"/>
    <w:rsid w:val="00885EDB"/>
    <w:rsid w:val="008F5548"/>
    <w:rsid w:val="00932A82"/>
    <w:rsid w:val="00935301"/>
    <w:rsid w:val="00944A15"/>
    <w:rsid w:val="00954D63"/>
    <w:rsid w:val="00971A8B"/>
    <w:rsid w:val="0098028E"/>
    <w:rsid w:val="00995E8C"/>
    <w:rsid w:val="009A5FFF"/>
    <w:rsid w:val="009C21D6"/>
    <w:rsid w:val="009D1E8A"/>
    <w:rsid w:val="009E4D0B"/>
    <w:rsid w:val="009F08EC"/>
    <w:rsid w:val="009F7F11"/>
    <w:rsid w:val="00A101CE"/>
    <w:rsid w:val="00A153EF"/>
    <w:rsid w:val="00A426CF"/>
    <w:rsid w:val="00A42F55"/>
    <w:rsid w:val="00A5627E"/>
    <w:rsid w:val="00A71B9D"/>
    <w:rsid w:val="00A8738F"/>
    <w:rsid w:val="00A95821"/>
    <w:rsid w:val="00AA1D8D"/>
    <w:rsid w:val="00AD735B"/>
    <w:rsid w:val="00AF32E6"/>
    <w:rsid w:val="00B05649"/>
    <w:rsid w:val="00B444E2"/>
    <w:rsid w:val="00B47730"/>
    <w:rsid w:val="00B87285"/>
    <w:rsid w:val="00B9743F"/>
    <w:rsid w:val="00BA5005"/>
    <w:rsid w:val="00BB1608"/>
    <w:rsid w:val="00C02119"/>
    <w:rsid w:val="00C61F1E"/>
    <w:rsid w:val="00C71F67"/>
    <w:rsid w:val="00CB0664"/>
    <w:rsid w:val="00CD0E71"/>
    <w:rsid w:val="00CD47D0"/>
    <w:rsid w:val="00CD5694"/>
    <w:rsid w:val="00CE5C83"/>
    <w:rsid w:val="00CF0D56"/>
    <w:rsid w:val="00D20C8D"/>
    <w:rsid w:val="00D242EA"/>
    <w:rsid w:val="00D5331A"/>
    <w:rsid w:val="00D55E3E"/>
    <w:rsid w:val="00D925C0"/>
    <w:rsid w:val="00D92C74"/>
    <w:rsid w:val="00DC637D"/>
    <w:rsid w:val="00DD4BD6"/>
    <w:rsid w:val="00DE6447"/>
    <w:rsid w:val="00E06FCD"/>
    <w:rsid w:val="00E105DE"/>
    <w:rsid w:val="00E1757E"/>
    <w:rsid w:val="00E52826"/>
    <w:rsid w:val="00E579B8"/>
    <w:rsid w:val="00E714A9"/>
    <w:rsid w:val="00E75846"/>
    <w:rsid w:val="00E901C4"/>
    <w:rsid w:val="00EB108C"/>
    <w:rsid w:val="00EB62B1"/>
    <w:rsid w:val="00EC02D0"/>
    <w:rsid w:val="00EC4C49"/>
    <w:rsid w:val="00ED2252"/>
    <w:rsid w:val="00EF47B9"/>
    <w:rsid w:val="00F118F1"/>
    <w:rsid w:val="00F25EC4"/>
    <w:rsid w:val="00F32A1B"/>
    <w:rsid w:val="00F37F0C"/>
    <w:rsid w:val="00F61F9E"/>
    <w:rsid w:val="00F6237C"/>
    <w:rsid w:val="00F80121"/>
    <w:rsid w:val="00F8234C"/>
    <w:rsid w:val="00FC693F"/>
    <w:rsid w:val="00FE6F07"/>
    <w:rsid w:val="00FF4C69"/>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5909E"/>
  <w14:defaultImageDpi w14:val="300"/>
  <w15:docId w15:val="{4AB2CBF9-3271-4C62-AF35-800E33E75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743F"/>
    <w:rPr>
      <w:color w:val="0000FF" w:themeColor="hyperlink"/>
      <w:u w:val="single"/>
    </w:rPr>
  </w:style>
  <w:style w:type="character" w:styleId="UnresolvedMention">
    <w:name w:val="Unresolved Mention"/>
    <w:basedOn w:val="DefaultParagraphFont"/>
    <w:uiPriority w:val="99"/>
    <w:semiHidden/>
    <w:unhideWhenUsed/>
    <w:rsid w:val="00B974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kit-learn.org/stable/modules/generated/sklearn.model_selection.GroupKFold.html" TargetMode="External"/><Relationship Id="rId13" Type="http://schemas.openxmlformats.org/officeDocument/2006/relationships/hyperlink" Target="https://scikit-learn.org/stable/modules/generated/sklearn.pipeline.Pipeline.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modules/cross_validation.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modules/model_evaluation.html" TargetMode="External"/><Relationship Id="rId5" Type="http://schemas.openxmlformats.org/officeDocument/2006/relationships/webSettings" Target="webSettings.xml"/><Relationship Id="rId15" Type="http://schemas.openxmlformats.org/officeDocument/2006/relationships/hyperlink" Target="https://catalog.ourworldindata.org/energy_data/owid_energy/" TargetMode="External"/><Relationship Id="rId10" Type="http://schemas.openxmlformats.org/officeDocument/2006/relationships/hyperlink" Target="https://otexts.robjhyndman.com/fpp3/simple-methods.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texts.robjhyndman.com/fpp3/tscv.html" TargetMode="External"/><Relationship Id="rId14" Type="http://schemas.openxmlformats.org/officeDocument/2006/relationships/hyperlink" Target="https://ourworldindata.org/co2-and-greenhouse-gas-e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601</TotalTime>
  <Pages>12</Pages>
  <Words>3260</Words>
  <Characters>18587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Udisha Verma</cp:lastModifiedBy>
  <cp:revision>136</cp:revision>
  <dcterms:created xsi:type="dcterms:W3CDTF">2013-12-23T23:15:00Z</dcterms:created>
  <dcterms:modified xsi:type="dcterms:W3CDTF">2026-10-01T15:57:00Z</dcterms:modified>
  <cp:category/>
</cp:coreProperties>
</file>