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461A" w14:textId="0CA92784" w:rsidR="0093035E" w:rsidRPr="003B4DC1" w:rsidRDefault="003B4DC1" w:rsidP="003B4DC1">
      <w:pPr>
        <w:spacing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 xml:space="preserve">SGA – </w:t>
      </w:r>
      <w:r w:rsidR="00D1227A">
        <w:rPr>
          <w:rFonts w:ascii="Arial" w:hAnsi="Arial" w:cs="Arial"/>
          <w:b/>
          <w:bCs/>
        </w:rPr>
        <w:t>COMISIONES DE ESTUDIO</w:t>
      </w:r>
    </w:p>
    <w:p w14:paraId="3F704ABB" w14:textId="77777777" w:rsidR="003B4DC1" w:rsidRPr="003B4DC1" w:rsidRDefault="003B4DC1" w:rsidP="003B4DC1">
      <w:pPr>
        <w:spacing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</w:t>
      </w:r>
    </w:p>
    <w:p w14:paraId="51EFC85E" w14:textId="77777777" w:rsidR="003B4DC1" w:rsidRPr="003B4DC1" w:rsidRDefault="003B4DC1" w:rsidP="003B4DC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B4DC1">
        <w:rPr>
          <w:rFonts w:ascii="Arial" w:hAnsi="Arial" w:cs="Arial"/>
          <w:b/>
          <w:bCs/>
        </w:rPr>
        <w:t>Introducción</w:t>
      </w:r>
    </w:p>
    <w:p w14:paraId="061145B8" w14:textId="3DF17D50" w:rsidR="003B4DC1" w:rsidRPr="00D1227A" w:rsidRDefault="00D1227A" w:rsidP="00D1227A">
      <w:pPr>
        <w:pStyle w:val="Prrafodelista"/>
        <w:spacing w:after="0" w:line="360" w:lineRule="auto"/>
        <w:rPr>
          <w:rFonts w:ascii="Arial" w:hAnsi="Arial" w:cs="Arial"/>
        </w:rPr>
      </w:pPr>
      <w:r w:rsidRPr="00D1227A">
        <w:rPr>
          <w:rFonts w:ascii="Arial" w:hAnsi="Arial" w:cs="Arial"/>
        </w:rPr>
        <w:t>El siguiente diagrama de flujo presenta de manera general el proceso de Comisiones de Estudio, con el fin de mostrar la secuencia de actividades, los puntos de validación y los actores que intervienen en la gestión de solicitudes. Esta representación permite comprender el recorrido de la solicitud desde su radicación inicial hasta su definición dentro del proceso.</w:t>
      </w:r>
    </w:p>
    <w:p w14:paraId="2FE93D2D" w14:textId="77777777" w:rsidR="00D1227A" w:rsidRDefault="00D1227A" w:rsidP="003B4DC1">
      <w:pPr>
        <w:pStyle w:val="Prrafodelista"/>
        <w:spacing w:line="360" w:lineRule="auto"/>
        <w:rPr>
          <w:rFonts w:ascii="Arial" w:hAnsi="Arial" w:cs="Arial"/>
        </w:rPr>
      </w:pPr>
    </w:p>
    <w:p w14:paraId="5FAC4662" w14:textId="77777777" w:rsidR="003B4DC1" w:rsidRDefault="003B4DC1" w:rsidP="003B4DC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 del proceso</w:t>
      </w:r>
    </w:p>
    <w:p w14:paraId="16A12AF8" w14:textId="628A0FFE" w:rsidR="003B4DC1" w:rsidRPr="003B4DC1" w:rsidRDefault="005F62A7" w:rsidP="003B4DC1">
      <w:pPr>
        <w:pStyle w:val="Prrafodelista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65945E02" wp14:editId="799516CC">
            <wp:extent cx="5943600" cy="2396490"/>
            <wp:effectExtent l="0" t="0" r="0" b="3810"/>
            <wp:docPr id="29919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8531" name="Imagen 2991985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DC1" w:rsidRPr="003B4DC1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C08"/>
    <w:multiLevelType w:val="hybridMultilevel"/>
    <w:tmpl w:val="4C12D092"/>
    <w:lvl w:ilvl="0" w:tplc="2968D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14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C1"/>
    <w:rsid w:val="00086F35"/>
    <w:rsid w:val="001A0F39"/>
    <w:rsid w:val="00297DCF"/>
    <w:rsid w:val="003B4DC1"/>
    <w:rsid w:val="00567BE1"/>
    <w:rsid w:val="005F62A7"/>
    <w:rsid w:val="00654C8F"/>
    <w:rsid w:val="00702603"/>
    <w:rsid w:val="00764C9A"/>
    <w:rsid w:val="007D30EE"/>
    <w:rsid w:val="007F2F30"/>
    <w:rsid w:val="0093035E"/>
    <w:rsid w:val="00990E07"/>
    <w:rsid w:val="009B295D"/>
    <w:rsid w:val="00A56B1E"/>
    <w:rsid w:val="00A80611"/>
    <w:rsid w:val="00AC43A9"/>
    <w:rsid w:val="00AF1380"/>
    <w:rsid w:val="00B2705E"/>
    <w:rsid w:val="00D1227A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6AD7D"/>
  <w14:defaultImageDpi w14:val="32767"/>
  <w15:chartTrackingRefBased/>
  <w15:docId w15:val="{A9A24CE0-F0F8-4B81-A131-7298F4DB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B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DC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DC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DC1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DC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DC1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DC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DC1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DC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DC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DC1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D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DC1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2</cp:revision>
  <dcterms:created xsi:type="dcterms:W3CDTF">2026-03-27T02:24:00Z</dcterms:created>
  <dcterms:modified xsi:type="dcterms:W3CDTF">2026-03-27T02:24:00Z</dcterms:modified>
</cp:coreProperties>
</file>