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under hypothetical observed-cell 5th-to-95th-percentile assignments: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observed single-organoid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4.3s Denominator check: what inclusion weights cannot recover</w:t>
      </w:r>
    </w:p>
    <w:p>
      <w:pPr>
        <w:spacing w:after="120"/>
        <w:jc w:val="both"/>
      </w:pPr>
      <w:r>
        <w:rPr>
          <w:rFonts w:ascii="Times New Roman" w:hAnsi="Times New Roman" w:eastAsia="Times New Roman"/>
        </w:rPr>
        <w:t>An independent arithmetic audit joins the source-table retention counts, the missing-endpoint scenario ledger and the cross-fit inclusion result by their exact DIS_database.csv SHA256. The four original treatment-by-size cells contain 6,964 baseline-detected positive-area objects, of which 4,964 have positive A1. Their 2,000 absent or nonpositive endpoints break down as 685 small DMSO, 679 small treated, 233 large DMSO and 403 large treated. Of the 4,964 observed positive pairs, 4,776 enter the derived table and 188 do not. Thus the cross-fit weights address the narrower 188-within-positive-pairs exclusion; they cannot assign swelling values to the 2,000 missing-A1 objects. A model that treats those weights as correcting full track attrition would silently switch populations.</w:t>
      </w:r>
    </w:p>
    <w:p>
      <w:pPr>
        <w:spacing w:after="120"/>
        <w:jc w:val="both"/>
      </w:pPr>
      <w:r>
        <w:rPr>
          <w:rFonts w:ascii="Times New Roman" w:hAnsi="Times New Roman" w:eastAsia="Times New Roman"/>
        </w:rPr>
        <w:t>The inclusion model also uses log A1 and t1 detector score among positive-area pairs. That can describe how recorded endpoints enter the derived table, but it is not a pretreatment propensity model for causal weighting. The published source CSV has bounding-box coordinates and path strings for images/masks, not accessible image/mask pixels for this audit or a label for why A1 is absent. Baseline-undetected objects are outside its denominator. Assigning missing responses to observed-cell 5th/95th percentiles gives the previously reported equal-donor scenario range -0.745 to +1.362, crossing zero, but these numbers are assumptions about missing responses rather than confidence limits. The source-specific numerator and denominator ledger is results/postresult_attrition_model_limit.json. None of these checks repair the failed sign-only, specificity or independent-cohort requirements.</w:t>
      </w:r>
    </w:p>
    <w:p>
      <w:pPr>
        <w:pStyle w:val="Heading2"/>
      </w:pPr>
      <w:r>
        <w:rPr>
          <w:rFonts w:ascii="Times New Roman" w:hAnsi="Times New Roman" w:eastAsia="Times New Roman"/>
        </w:rPr>
        <w:t>4.3t Across-donor visibility is heterogeneous</w:t>
      </w:r>
    </w:p>
    <w:p>
      <w:pPr>
        <w:spacing w:after="120"/>
        <w:jc w:val="both"/>
      </w:pPr>
      <w:r>
        <w:rPr>
          <w:rFonts w:ascii="Times New Roman" w:hAnsi="Times New Roman" w:eastAsia="Times New Roman"/>
        </w:rPr>
        <w:t>A fixed post-result donor decomposition of the same source-table frame retains every original donor instead of treating the pooled 6,964 detected objects as a single experiment. The script joins each baseline and endpoint on the source particle key, repeats the existing block and size filters, and asserts that all 2,000 absent or nonpositive A1 observations still appear in the denominator. The table lists donor-specific detection fractions in each treatment/size cell, not swelling contrasts. A visibility interaction is the treatment-minus-DMSO observability gap among large objects minus the same gap among small objects. It has no units of log swelling and cannot be read as an estimate of the biological effect.</w:t>
      </w:r>
    </w:p>
    <w:p>
      <w:r>
        <w:rPr>
          <w:rFonts w:ascii="Times New Roman" w:hAnsi="Times New Roman" w:eastAsia="Times New Roman"/>
          <w:b/>
        </w:rPr>
        <w:t>Table 13. Positive A1 / baseline-detected in each donor cell. Doses and experiments are pooled only within a donor. Source: results/postresult_donor_attrition_decomposition.json; see exact cell-level missing counts there.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donor</w:t>
            </w:r>
          </w:p>
        </w:tc>
        <w:tc>
          <w:tcPr>
            <w:tcW w:type="dxa" w:w="1234"/>
          </w:tcPr>
          <w:p>
            <w:r>
              <w:rPr>
                <w:rFonts w:ascii="Times New Roman" w:hAnsi="Times New Roman" w:eastAsia="Times New Roman"/>
              </w:rPr>
              <w:t>all t0</w:t>
            </w:r>
          </w:p>
        </w:tc>
        <w:tc>
          <w:tcPr>
            <w:tcW w:type="dxa" w:w="1234"/>
          </w:tcPr>
          <w:p>
            <w:r>
              <w:rPr>
                <w:rFonts w:ascii="Times New Roman" w:hAnsi="Times New Roman" w:eastAsia="Times New Roman"/>
              </w:rPr>
              <w:t>DMSO small</w:t>
            </w:r>
          </w:p>
        </w:tc>
        <w:tc>
          <w:tcPr>
            <w:tcW w:type="dxa" w:w="1234"/>
          </w:tcPr>
          <w:p>
            <w:r>
              <w:rPr>
                <w:rFonts w:ascii="Times New Roman" w:hAnsi="Times New Roman" w:eastAsia="Times New Roman"/>
              </w:rPr>
              <w:t>DMSO large</w:t>
            </w:r>
          </w:p>
        </w:tc>
        <w:tc>
          <w:tcPr>
            <w:tcW w:type="dxa" w:w="1234"/>
          </w:tcPr>
          <w:p>
            <w:r>
              <w:rPr>
                <w:rFonts w:ascii="Times New Roman" w:hAnsi="Times New Roman" w:eastAsia="Times New Roman"/>
              </w:rPr>
              <w:t>drug small</w:t>
            </w:r>
          </w:p>
        </w:tc>
        <w:tc>
          <w:tcPr>
            <w:tcW w:type="dxa" w:w="1234"/>
          </w:tcPr>
          <w:p>
            <w:r>
              <w:rPr>
                <w:rFonts w:ascii="Times New Roman" w:hAnsi="Times New Roman" w:eastAsia="Times New Roman"/>
              </w:rPr>
              <w:t>drug large</w:t>
            </w:r>
          </w:p>
        </w:tc>
        <w:tc>
          <w:tcPr>
            <w:tcW w:type="dxa" w:w="1234"/>
          </w:tcPr>
          <w:p>
            <w:r>
              <w:rPr>
                <w:rFonts w:ascii="Times New Roman" w:hAnsi="Times New Roman" w:eastAsia="Times New Roman"/>
              </w:rPr>
              <w:t>gap diff.</w:t>
            </w:r>
          </w:p>
        </w:tc>
      </w:tr>
      <w:tr>
        <w:tc>
          <w:tcPr>
            <w:tcW w:type="dxa" w:w="1234"/>
          </w:tcPr>
          <w:p>
            <w:r>
              <w:rPr>
                <w:rFonts w:ascii="Times New Roman" w:hAnsi="Times New Roman" w:eastAsia="Times New Roman"/>
              </w:rPr>
              <w:t>PDIO_01</w:t>
            </w:r>
          </w:p>
        </w:tc>
        <w:tc>
          <w:tcPr>
            <w:tcW w:type="dxa" w:w="1234"/>
          </w:tcPr>
          <w:p>
            <w:r>
              <w:rPr>
                <w:rFonts w:ascii="Times New Roman" w:hAnsi="Times New Roman" w:eastAsia="Times New Roman"/>
              </w:rPr>
              <w:t>167</w:t>
            </w:r>
          </w:p>
        </w:tc>
        <w:tc>
          <w:tcPr>
            <w:tcW w:type="dxa" w:w="1234"/>
          </w:tcPr>
          <w:p>
            <w:r>
              <w:rPr>
                <w:rFonts w:ascii="Times New Roman" w:hAnsi="Times New Roman" w:eastAsia="Times New Roman"/>
              </w:rPr>
              <w:t>5/21</w:t>
            </w:r>
          </w:p>
        </w:tc>
        <w:tc>
          <w:tcPr>
            <w:tcW w:type="dxa" w:w="1234"/>
          </w:tcPr>
          <w:p>
            <w:r>
              <w:rPr>
                <w:rFonts w:ascii="Times New Roman" w:hAnsi="Times New Roman" w:eastAsia="Times New Roman"/>
              </w:rPr>
              <w:t>67/72</w:t>
            </w:r>
          </w:p>
        </w:tc>
        <w:tc>
          <w:tcPr>
            <w:tcW w:type="dxa" w:w="1234"/>
          </w:tcPr>
          <w:p>
            <w:r>
              <w:rPr>
                <w:rFonts w:ascii="Times New Roman" w:hAnsi="Times New Roman" w:eastAsia="Times New Roman"/>
              </w:rPr>
              <w:t>6/9</w:t>
            </w:r>
          </w:p>
        </w:tc>
        <w:tc>
          <w:tcPr>
            <w:tcW w:type="dxa" w:w="1234"/>
          </w:tcPr>
          <w:p>
            <w:r>
              <w:rPr>
                <w:rFonts w:ascii="Times New Roman" w:hAnsi="Times New Roman" w:eastAsia="Times New Roman"/>
              </w:rPr>
              <w:t>58/65</w:t>
            </w:r>
          </w:p>
        </w:tc>
        <w:tc>
          <w:tcPr>
            <w:tcW w:type="dxa" w:w="1234"/>
          </w:tcPr>
          <w:p>
            <w:r>
              <w:rPr>
                <w:rFonts w:ascii="Times New Roman" w:hAnsi="Times New Roman" w:eastAsia="Times New Roman"/>
              </w:rPr>
              <w:t>-0.467</w:t>
            </w:r>
          </w:p>
        </w:tc>
      </w:tr>
      <w:tr>
        <w:tc>
          <w:tcPr>
            <w:tcW w:type="dxa" w:w="1234"/>
          </w:tcPr>
          <w:p>
            <w:r>
              <w:rPr>
                <w:rFonts w:ascii="Times New Roman" w:hAnsi="Times New Roman" w:eastAsia="Times New Roman"/>
              </w:rPr>
              <w:t>PDIO_03</w:t>
            </w:r>
          </w:p>
        </w:tc>
        <w:tc>
          <w:tcPr>
            <w:tcW w:type="dxa" w:w="1234"/>
          </w:tcPr>
          <w:p>
            <w:r>
              <w:rPr>
                <w:rFonts w:ascii="Times New Roman" w:hAnsi="Times New Roman" w:eastAsia="Times New Roman"/>
              </w:rPr>
              <w:t>975</w:t>
            </w:r>
          </w:p>
        </w:tc>
        <w:tc>
          <w:tcPr>
            <w:tcW w:type="dxa" w:w="1234"/>
          </w:tcPr>
          <w:p>
            <w:r>
              <w:rPr>
                <w:rFonts w:ascii="Times New Roman" w:hAnsi="Times New Roman" w:eastAsia="Times New Roman"/>
              </w:rPr>
              <w:t>131/224</w:t>
            </w:r>
          </w:p>
        </w:tc>
        <w:tc>
          <w:tcPr>
            <w:tcW w:type="dxa" w:w="1234"/>
          </w:tcPr>
          <w:p>
            <w:r>
              <w:rPr>
                <w:rFonts w:ascii="Times New Roman" w:hAnsi="Times New Roman" w:eastAsia="Times New Roman"/>
              </w:rPr>
              <w:t>217/238</w:t>
            </w:r>
          </w:p>
        </w:tc>
        <w:tc>
          <w:tcPr>
            <w:tcW w:type="dxa" w:w="1234"/>
          </w:tcPr>
          <w:p>
            <w:r>
              <w:rPr>
                <w:rFonts w:ascii="Times New Roman" w:hAnsi="Times New Roman" w:eastAsia="Times New Roman"/>
              </w:rPr>
              <w:t>128/257</w:t>
            </w:r>
          </w:p>
        </w:tc>
        <w:tc>
          <w:tcPr>
            <w:tcW w:type="dxa" w:w="1234"/>
          </w:tcPr>
          <w:p>
            <w:r>
              <w:rPr>
                <w:rFonts w:ascii="Times New Roman" w:hAnsi="Times New Roman" w:eastAsia="Times New Roman"/>
              </w:rPr>
              <w:t>221/256</w:t>
            </w:r>
          </w:p>
        </w:tc>
        <w:tc>
          <w:tcPr>
            <w:tcW w:type="dxa" w:w="1234"/>
          </w:tcPr>
          <w:p>
            <w:r>
              <w:rPr>
                <w:rFonts w:ascii="Times New Roman" w:hAnsi="Times New Roman" w:eastAsia="Times New Roman"/>
              </w:rPr>
              <w:t>+0.038</w:t>
            </w:r>
          </w:p>
        </w:tc>
      </w:tr>
      <w:tr>
        <w:tc>
          <w:tcPr>
            <w:tcW w:type="dxa" w:w="1234"/>
          </w:tcPr>
          <w:p>
            <w:r>
              <w:rPr>
                <w:rFonts w:ascii="Times New Roman" w:hAnsi="Times New Roman" w:eastAsia="Times New Roman"/>
              </w:rPr>
              <w:t>PDIO_05</w:t>
            </w:r>
          </w:p>
        </w:tc>
        <w:tc>
          <w:tcPr>
            <w:tcW w:type="dxa" w:w="1234"/>
          </w:tcPr>
          <w:p>
            <w:r>
              <w:rPr>
                <w:rFonts w:ascii="Times New Roman" w:hAnsi="Times New Roman" w:eastAsia="Times New Roman"/>
              </w:rPr>
              <w:t>1431</w:t>
            </w:r>
          </w:p>
        </w:tc>
        <w:tc>
          <w:tcPr>
            <w:tcW w:type="dxa" w:w="1234"/>
          </w:tcPr>
          <w:p>
            <w:r>
              <w:rPr>
                <w:rFonts w:ascii="Times New Roman" w:hAnsi="Times New Roman" w:eastAsia="Times New Roman"/>
              </w:rPr>
              <w:t>140/255</w:t>
            </w:r>
          </w:p>
        </w:tc>
        <w:tc>
          <w:tcPr>
            <w:tcW w:type="dxa" w:w="1234"/>
          </w:tcPr>
          <w:p>
            <w:r>
              <w:rPr>
                <w:rFonts w:ascii="Times New Roman" w:hAnsi="Times New Roman" w:eastAsia="Times New Roman"/>
              </w:rPr>
              <w:t>378/434</w:t>
            </w:r>
          </w:p>
        </w:tc>
        <w:tc>
          <w:tcPr>
            <w:tcW w:type="dxa" w:w="1234"/>
          </w:tcPr>
          <w:p>
            <w:r>
              <w:rPr>
                <w:rFonts w:ascii="Times New Roman" w:hAnsi="Times New Roman" w:eastAsia="Times New Roman"/>
              </w:rPr>
              <w:t>163/282</w:t>
            </w:r>
          </w:p>
        </w:tc>
        <w:tc>
          <w:tcPr>
            <w:tcW w:type="dxa" w:w="1234"/>
          </w:tcPr>
          <w:p>
            <w:r>
              <w:rPr>
                <w:rFonts w:ascii="Times New Roman" w:hAnsi="Times New Roman" w:eastAsia="Times New Roman"/>
              </w:rPr>
              <w:t>411/460</w:t>
            </w:r>
          </w:p>
        </w:tc>
        <w:tc>
          <w:tcPr>
            <w:tcW w:type="dxa" w:w="1234"/>
          </w:tcPr>
          <w:p>
            <w:r>
              <w:rPr>
                <w:rFonts w:ascii="Times New Roman" w:hAnsi="Times New Roman" w:eastAsia="Times New Roman"/>
              </w:rPr>
              <w:t>-0.006</w:t>
            </w:r>
          </w:p>
        </w:tc>
      </w:tr>
      <w:tr>
        <w:tc>
          <w:tcPr>
            <w:tcW w:type="dxa" w:w="1234"/>
          </w:tcPr>
          <w:p>
            <w:r>
              <w:rPr>
                <w:rFonts w:ascii="Times New Roman" w:hAnsi="Times New Roman" w:eastAsia="Times New Roman"/>
              </w:rPr>
              <w:t>PDIO_06</w:t>
            </w:r>
          </w:p>
        </w:tc>
        <w:tc>
          <w:tcPr>
            <w:tcW w:type="dxa" w:w="1234"/>
          </w:tcPr>
          <w:p>
            <w:r>
              <w:rPr>
                <w:rFonts w:ascii="Times New Roman" w:hAnsi="Times New Roman" w:eastAsia="Times New Roman"/>
              </w:rPr>
              <w:t>1407</w:t>
            </w:r>
          </w:p>
        </w:tc>
        <w:tc>
          <w:tcPr>
            <w:tcW w:type="dxa" w:w="1234"/>
          </w:tcPr>
          <w:p>
            <w:r>
              <w:rPr>
                <w:rFonts w:ascii="Times New Roman" w:hAnsi="Times New Roman" w:eastAsia="Times New Roman"/>
              </w:rPr>
              <w:t>95/202</w:t>
            </w:r>
          </w:p>
        </w:tc>
        <w:tc>
          <w:tcPr>
            <w:tcW w:type="dxa" w:w="1234"/>
          </w:tcPr>
          <w:p>
            <w:r>
              <w:rPr>
                <w:rFonts w:ascii="Times New Roman" w:hAnsi="Times New Roman" w:eastAsia="Times New Roman"/>
              </w:rPr>
              <w:t>307/333</w:t>
            </w:r>
          </w:p>
        </w:tc>
        <w:tc>
          <w:tcPr>
            <w:tcW w:type="dxa" w:w="1234"/>
          </w:tcPr>
          <w:p>
            <w:r>
              <w:rPr>
                <w:rFonts w:ascii="Times New Roman" w:hAnsi="Times New Roman" w:eastAsia="Times New Roman"/>
              </w:rPr>
              <w:t>127/308</w:t>
            </w:r>
          </w:p>
        </w:tc>
        <w:tc>
          <w:tcPr>
            <w:tcW w:type="dxa" w:w="1234"/>
          </w:tcPr>
          <w:p>
            <w:r>
              <w:rPr>
                <w:rFonts w:ascii="Times New Roman" w:hAnsi="Times New Roman" w:eastAsia="Times New Roman"/>
              </w:rPr>
              <w:t>454/564</w:t>
            </w:r>
          </w:p>
        </w:tc>
        <w:tc>
          <w:tcPr>
            <w:tcW w:type="dxa" w:w="1234"/>
          </w:tcPr>
          <w:p>
            <w:r>
              <w:rPr>
                <w:rFonts w:ascii="Times New Roman" w:hAnsi="Times New Roman" w:eastAsia="Times New Roman"/>
              </w:rPr>
              <w:t>-0.059</w:t>
            </w:r>
          </w:p>
        </w:tc>
      </w:tr>
      <w:tr>
        <w:tc>
          <w:tcPr>
            <w:tcW w:type="dxa" w:w="1234"/>
          </w:tcPr>
          <w:p>
            <w:r>
              <w:rPr>
                <w:rFonts w:ascii="Times New Roman" w:hAnsi="Times New Roman" w:eastAsia="Times New Roman"/>
              </w:rPr>
              <w:t>PDIO_09</w:t>
            </w:r>
          </w:p>
        </w:tc>
        <w:tc>
          <w:tcPr>
            <w:tcW w:type="dxa" w:w="1234"/>
          </w:tcPr>
          <w:p>
            <w:r>
              <w:rPr>
                <w:rFonts w:ascii="Times New Roman" w:hAnsi="Times New Roman" w:eastAsia="Times New Roman"/>
              </w:rPr>
              <w:t>712</w:t>
            </w:r>
          </w:p>
        </w:tc>
        <w:tc>
          <w:tcPr>
            <w:tcW w:type="dxa" w:w="1234"/>
          </w:tcPr>
          <w:p>
            <w:r>
              <w:rPr>
                <w:rFonts w:ascii="Times New Roman" w:hAnsi="Times New Roman" w:eastAsia="Times New Roman"/>
              </w:rPr>
              <w:t>54/118</w:t>
            </w:r>
          </w:p>
        </w:tc>
        <w:tc>
          <w:tcPr>
            <w:tcW w:type="dxa" w:w="1234"/>
          </w:tcPr>
          <w:p>
            <w:r>
              <w:rPr>
                <w:rFonts w:ascii="Times New Roman" w:hAnsi="Times New Roman" w:eastAsia="Times New Roman"/>
              </w:rPr>
              <w:t>240/267</w:t>
            </w:r>
          </w:p>
        </w:tc>
        <w:tc>
          <w:tcPr>
            <w:tcW w:type="dxa" w:w="1234"/>
          </w:tcPr>
          <w:p>
            <w:r>
              <w:rPr>
                <w:rFonts w:ascii="Times New Roman" w:hAnsi="Times New Roman" w:eastAsia="Times New Roman"/>
              </w:rPr>
              <w:t>35/54</w:t>
            </w:r>
          </w:p>
        </w:tc>
        <w:tc>
          <w:tcPr>
            <w:tcW w:type="dxa" w:w="1234"/>
          </w:tcPr>
          <w:p>
            <w:r>
              <w:rPr>
                <w:rFonts w:ascii="Times New Roman" w:hAnsi="Times New Roman" w:eastAsia="Times New Roman"/>
              </w:rPr>
              <w:t>227/273</w:t>
            </w:r>
          </w:p>
        </w:tc>
        <w:tc>
          <w:tcPr>
            <w:tcW w:type="dxa" w:w="1234"/>
          </w:tcPr>
          <w:p>
            <w:r>
              <w:rPr>
                <w:rFonts w:ascii="Times New Roman" w:hAnsi="Times New Roman" w:eastAsia="Times New Roman"/>
              </w:rPr>
              <w:t>-0.258</w:t>
            </w:r>
          </w:p>
        </w:tc>
      </w:tr>
      <w:tr>
        <w:tc>
          <w:tcPr>
            <w:tcW w:type="dxa" w:w="1234"/>
          </w:tcPr>
          <w:p>
            <w:r>
              <w:rPr>
                <w:rFonts w:ascii="Times New Roman" w:hAnsi="Times New Roman" w:eastAsia="Times New Roman"/>
              </w:rPr>
              <w:t>PDIO_11</w:t>
            </w:r>
          </w:p>
        </w:tc>
        <w:tc>
          <w:tcPr>
            <w:tcW w:type="dxa" w:w="1234"/>
          </w:tcPr>
          <w:p>
            <w:r>
              <w:rPr>
                <w:rFonts w:ascii="Times New Roman" w:hAnsi="Times New Roman" w:eastAsia="Times New Roman"/>
              </w:rPr>
              <w:t>139</w:t>
            </w:r>
          </w:p>
        </w:tc>
        <w:tc>
          <w:tcPr>
            <w:tcW w:type="dxa" w:w="1234"/>
          </w:tcPr>
          <w:p>
            <w:r>
              <w:rPr>
                <w:rFonts w:ascii="Times New Roman" w:hAnsi="Times New Roman" w:eastAsia="Times New Roman"/>
              </w:rPr>
              <w:t>10/13</w:t>
            </w:r>
          </w:p>
        </w:tc>
        <w:tc>
          <w:tcPr>
            <w:tcW w:type="dxa" w:w="1234"/>
          </w:tcPr>
          <w:p>
            <w:r>
              <w:rPr>
                <w:rFonts w:ascii="Times New Roman" w:hAnsi="Times New Roman" w:eastAsia="Times New Roman"/>
              </w:rPr>
              <w:t>31/36</w:t>
            </w:r>
          </w:p>
        </w:tc>
        <w:tc>
          <w:tcPr>
            <w:tcW w:type="dxa" w:w="1234"/>
          </w:tcPr>
          <w:p>
            <w:r>
              <w:rPr>
                <w:rFonts w:ascii="Times New Roman" w:hAnsi="Times New Roman" w:eastAsia="Times New Roman"/>
              </w:rPr>
              <w:t>8/14</w:t>
            </w:r>
          </w:p>
        </w:tc>
        <w:tc>
          <w:tcPr>
            <w:tcW w:type="dxa" w:w="1234"/>
          </w:tcPr>
          <w:p>
            <w:r>
              <w:rPr>
                <w:rFonts w:ascii="Times New Roman" w:hAnsi="Times New Roman" w:eastAsia="Times New Roman"/>
              </w:rPr>
              <w:t>54/76</w:t>
            </w:r>
          </w:p>
        </w:tc>
        <w:tc>
          <w:tcPr>
            <w:tcW w:type="dxa" w:w="1234"/>
          </w:tcPr>
          <w:p>
            <w:r>
              <w:rPr>
                <w:rFonts w:ascii="Times New Roman" w:hAnsi="Times New Roman" w:eastAsia="Times New Roman"/>
              </w:rPr>
              <w:t>+0.047</w:t>
            </w:r>
          </w:p>
        </w:tc>
      </w:tr>
      <w:tr>
        <w:tc>
          <w:tcPr>
            <w:tcW w:type="dxa" w:w="1234"/>
          </w:tcPr>
          <w:p>
            <w:r>
              <w:rPr>
                <w:rFonts w:ascii="Times New Roman" w:hAnsi="Times New Roman" w:eastAsia="Times New Roman"/>
              </w:rPr>
              <w:t>PDIO_12</w:t>
            </w:r>
          </w:p>
        </w:tc>
        <w:tc>
          <w:tcPr>
            <w:tcW w:type="dxa" w:w="1234"/>
          </w:tcPr>
          <w:p>
            <w:r>
              <w:rPr>
                <w:rFonts w:ascii="Times New Roman" w:hAnsi="Times New Roman" w:eastAsia="Times New Roman"/>
              </w:rPr>
              <w:t>480</w:t>
            </w:r>
          </w:p>
        </w:tc>
        <w:tc>
          <w:tcPr>
            <w:tcW w:type="dxa" w:w="1234"/>
          </w:tcPr>
          <w:p>
            <w:r>
              <w:rPr>
                <w:rFonts w:ascii="Times New Roman" w:hAnsi="Times New Roman" w:eastAsia="Times New Roman"/>
              </w:rPr>
              <w:t>30/104</w:t>
            </w:r>
          </w:p>
        </w:tc>
        <w:tc>
          <w:tcPr>
            <w:tcW w:type="dxa" w:w="1234"/>
          </w:tcPr>
          <w:p>
            <w:r>
              <w:rPr>
                <w:rFonts w:ascii="Times New Roman" w:hAnsi="Times New Roman" w:eastAsia="Times New Roman"/>
              </w:rPr>
              <w:t>139/161</w:t>
            </w:r>
          </w:p>
        </w:tc>
        <w:tc>
          <w:tcPr>
            <w:tcW w:type="dxa" w:w="1234"/>
          </w:tcPr>
          <w:p>
            <w:r>
              <w:rPr>
                <w:rFonts w:ascii="Times New Roman" w:hAnsi="Times New Roman" w:eastAsia="Times New Roman"/>
              </w:rPr>
              <w:t>14/49</w:t>
            </w:r>
          </w:p>
        </w:tc>
        <w:tc>
          <w:tcPr>
            <w:tcW w:type="dxa" w:w="1234"/>
          </w:tcPr>
          <w:p>
            <w:r>
              <w:rPr>
                <w:rFonts w:ascii="Times New Roman" w:hAnsi="Times New Roman" w:eastAsia="Times New Roman"/>
              </w:rPr>
              <w:t>139/166</w:t>
            </w:r>
          </w:p>
        </w:tc>
        <w:tc>
          <w:tcPr>
            <w:tcW w:type="dxa" w:w="1234"/>
          </w:tcPr>
          <w:p>
            <w:r>
              <w:rPr>
                <w:rFonts w:ascii="Times New Roman" w:hAnsi="Times New Roman" w:eastAsia="Times New Roman"/>
              </w:rPr>
              <w:t>-0.023</w:t>
            </w:r>
          </w:p>
        </w:tc>
      </w:tr>
      <w:tr>
        <w:tc>
          <w:tcPr>
            <w:tcW w:type="dxa" w:w="1234"/>
          </w:tcPr>
          <w:p>
            <w:r>
              <w:rPr>
                <w:rFonts w:ascii="Times New Roman" w:hAnsi="Times New Roman" w:eastAsia="Times New Roman"/>
              </w:rPr>
              <w:t>PDIO_13</w:t>
            </w:r>
          </w:p>
        </w:tc>
        <w:tc>
          <w:tcPr>
            <w:tcW w:type="dxa" w:w="1234"/>
          </w:tcPr>
          <w:p>
            <w:r>
              <w:rPr>
                <w:rFonts w:ascii="Times New Roman" w:hAnsi="Times New Roman" w:eastAsia="Times New Roman"/>
              </w:rPr>
              <w:t>325</w:t>
            </w:r>
          </w:p>
        </w:tc>
        <w:tc>
          <w:tcPr>
            <w:tcW w:type="dxa" w:w="1234"/>
          </w:tcPr>
          <w:p>
            <w:r>
              <w:rPr>
                <w:rFonts w:ascii="Times New Roman" w:hAnsi="Times New Roman" w:eastAsia="Times New Roman"/>
              </w:rPr>
              <w:t>20/85</w:t>
            </w:r>
          </w:p>
        </w:tc>
        <w:tc>
          <w:tcPr>
            <w:tcW w:type="dxa" w:w="1234"/>
          </w:tcPr>
          <w:p>
            <w:r>
              <w:rPr>
                <w:rFonts w:ascii="Times New Roman" w:hAnsi="Times New Roman" w:eastAsia="Times New Roman"/>
              </w:rPr>
              <w:t>66/80</w:t>
            </w:r>
          </w:p>
        </w:tc>
        <w:tc>
          <w:tcPr>
            <w:tcW w:type="dxa" w:w="1234"/>
          </w:tcPr>
          <w:p>
            <w:r>
              <w:rPr>
                <w:rFonts w:ascii="Times New Roman" w:hAnsi="Times New Roman" w:eastAsia="Times New Roman"/>
              </w:rPr>
              <w:t>19/82</w:t>
            </w:r>
          </w:p>
        </w:tc>
        <w:tc>
          <w:tcPr>
            <w:tcW w:type="dxa" w:w="1234"/>
          </w:tcPr>
          <w:p>
            <w:r>
              <w:rPr>
                <w:rFonts w:ascii="Times New Roman" w:hAnsi="Times New Roman" w:eastAsia="Times New Roman"/>
              </w:rPr>
              <w:t>68/78</w:t>
            </w:r>
          </w:p>
        </w:tc>
        <w:tc>
          <w:tcPr>
            <w:tcW w:type="dxa" w:w="1234"/>
          </w:tcPr>
          <w:p>
            <w:r>
              <w:rPr>
                <w:rFonts w:ascii="Times New Roman" w:hAnsi="Times New Roman" w:eastAsia="Times New Roman"/>
              </w:rPr>
              <w:t>+0.050</w:t>
            </w:r>
          </w:p>
        </w:tc>
      </w:tr>
      <w:tr>
        <w:tc>
          <w:tcPr>
            <w:tcW w:type="dxa" w:w="1234"/>
          </w:tcPr>
          <w:p>
            <w:r>
              <w:rPr>
                <w:rFonts w:ascii="Times New Roman" w:hAnsi="Times New Roman" w:eastAsia="Times New Roman"/>
              </w:rPr>
              <w:t>PDIO_14</w:t>
            </w:r>
          </w:p>
        </w:tc>
        <w:tc>
          <w:tcPr>
            <w:tcW w:type="dxa" w:w="1234"/>
          </w:tcPr>
          <w:p>
            <w:r>
              <w:rPr>
                <w:rFonts w:ascii="Times New Roman" w:hAnsi="Times New Roman" w:eastAsia="Times New Roman"/>
              </w:rPr>
              <w:t>290</w:t>
            </w:r>
          </w:p>
        </w:tc>
        <w:tc>
          <w:tcPr>
            <w:tcW w:type="dxa" w:w="1234"/>
          </w:tcPr>
          <w:p>
            <w:r>
              <w:rPr>
                <w:rFonts w:ascii="Times New Roman" w:hAnsi="Times New Roman" w:eastAsia="Times New Roman"/>
              </w:rPr>
              <w:t>23/41</w:t>
            </w:r>
          </w:p>
        </w:tc>
        <w:tc>
          <w:tcPr>
            <w:tcW w:type="dxa" w:w="1234"/>
          </w:tcPr>
          <w:p>
            <w:r>
              <w:rPr>
                <w:rFonts w:ascii="Times New Roman" w:hAnsi="Times New Roman" w:eastAsia="Times New Roman"/>
              </w:rPr>
              <w:t>70/81</w:t>
            </w:r>
          </w:p>
        </w:tc>
        <w:tc>
          <w:tcPr>
            <w:tcW w:type="dxa" w:w="1234"/>
          </w:tcPr>
          <w:p>
            <w:r>
              <w:rPr>
                <w:rFonts w:ascii="Times New Roman" w:hAnsi="Times New Roman" w:eastAsia="Times New Roman"/>
              </w:rPr>
              <w:t>22/64</w:t>
            </w:r>
          </w:p>
        </w:tc>
        <w:tc>
          <w:tcPr>
            <w:tcW w:type="dxa" w:w="1234"/>
          </w:tcPr>
          <w:p>
            <w:r>
              <w:rPr>
                <w:rFonts w:ascii="Times New Roman" w:hAnsi="Times New Roman" w:eastAsia="Times New Roman"/>
              </w:rPr>
              <w:t>75/104</w:t>
            </w:r>
          </w:p>
        </w:tc>
        <w:tc>
          <w:tcPr>
            <w:tcW w:type="dxa" w:w="1234"/>
          </w:tcPr>
          <w:p>
            <w:r>
              <w:rPr>
                <w:rFonts w:ascii="Times New Roman" w:hAnsi="Times New Roman" w:eastAsia="Times New Roman"/>
              </w:rPr>
              <w:t>+0.074</w:t>
            </w:r>
          </w:p>
        </w:tc>
      </w:tr>
      <w:tr>
        <w:tc>
          <w:tcPr>
            <w:tcW w:type="dxa" w:w="1234"/>
          </w:tcPr>
          <w:p>
            <w:r>
              <w:rPr>
                <w:rFonts w:ascii="Times New Roman" w:hAnsi="Times New Roman" w:eastAsia="Times New Roman"/>
              </w:rPr>
              <w:t>PDIO_15</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31/82</w:t>
            </w:r>
          </w:p>
        </w:tc>
        <w:tc>
          <w:tcPr>
            <w:tcW w:type="dxa" w:w="1234"/>
          </w:tcPr>
          <w:p>
            <w:r>
              <w:rPr>
                <w:rFonts w:ascii="Times New Roman" w:hAnsi="Times New Roman" w:eastAsia="Times New Roman"/>
              </w:rPr>
              <w:t>150/162</w:t>
            </w:r>
          </w:p>
        </w:tc>
        <w:tc>
          <w:tcPr>
            <w:tcW w:type="dxa" w:w="1234"/>
          </w:tcPr>
          <w:p>
            <w:r>
              <w:rPr>
                <w:rFonts w:ascii="Times New Roman" w:hAnsi="Times New Roman" w:eastAsia="Times New Roman"/>
              </w:rPr>
              <w:t>18/50</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-0.104</w:t>
            </w:r>
          </w:p>
        </w:tc>
      </w:tr>
      <w:tr>
        <w:tc>
          <w:tcPr>
            <w:tcW w:type="dxa" w:w="1234"/>
          </w:tcPr>
          <w:p>
            <w:r>
              <w:rPr>
                <w:rFonts w:ascii="Times New Roman" w:hAnsi="Times New Roman" w:eastAsia="Times New Roman"/>
              </w:rPr>
              <w:t>PDIO_16</w:t>
            </w:r>
          </w:p>
        </w:tc>
        <w:tc>
          <w:tcPr>
            <w:tcW w:type="dxa" w:w="1234"/>
          </w:tcPr>
          <w:p>
            <w:r>
              <w:rPr>
                <w:rFonts w:ascii="Times New Roman" w:hAnsi="Times New Roman" w:eastAsia="Times New Roman"/>
              </w:rPr>
              <w:t>437</w:t>
            </w:r>
          </w:p>
        </w:tc>
        <w:tc>
          <w:tcPr>
            <w:tcW w:type="dxa" w:w="1234"/>
          </w:tcPr>
          <w:p>
            <w:r>
              <w:rPr>
                <w:rFonts w:ascii="Times New Roman" w:hAnsi="Times New Roman" w:eastAsia="Times New Roman"/>
              </w:rPr>
              <w:t>17/58</w:t>
            </w:r>
          </w:p>
        </w:tc>
        <w:tc>
          <w:tcPr>
            <w:tcW w:type="dxa" w:w="1234"/>
          </w:tcPr>
          <w:p>
            <w:r>
              <w:rPr>
                <w:rFonts w:ascii="Times New Roman" w:hAnsi="Times New Roman" w:eastAsia="Times New Roman"/>
              </w:rPr>
              <w:t>115/143</w:t>
            </w:r>
          </w:p>
        </w:tc>
        <w:tc>
          <w:tcPr>
            <w:tcW w:type="dxa" w:w="1234"/>
          </w:tcPr>
          <w:p>
            <w:r>
              <w:rPr>
                <w:rFonts w:ascii="Times New Roman" w:hAnsi="Times New Roman" w:eastAsia="Times New Roman"/>
              </w:rPr>
              <w:t>22/65</w:t>
            </w:r>
          </w:p>
        </w:tc>
        <w:tc>
          <w:tcPr>
            <w:tcW w:type="dxa" w:w="1234"/>
          </w:tcPr>
          <w:p>
            <w:r>
              <w:rPr>
                <w:rFonts w:ascii="Times New Roman" w:hAnsi="Times New Roman" w:eastAsia="Times New Roman"/>
              </w:rPr>
              <w:t>132/171</w:t>
            </w:r>
          </w:p>
        </w:tc>
        <w:tc>
          <w:tcPr>
            <w:tcW w:type="dxa" w:w="1234"/>
          </w:tcPr>
          <w:p>
            <w:r>
              <w:rPr>
                <w:rFonts w:ascii="Times New Roman" w:hAnsi="Times New Roman" w:eastAsia="Times New Roman"/>
              </w:rPr>
              <w:t>-0.078</w:t>
            </w:r>
          </w:p>
        </w:tc>
      </w:tr>
      <w:tr>
        <w:tc>
          <w:tcPr>
            <w:tcW w:type="dxa" w:w="1234"/>
          </w:tcPr>
          <w:p>
            <w:r>
              <w:rPr>
                <w:rFonts w:ascii="Times New Roman" w:hAnsi="Times New Roman" w:eastAsia="Times New Roman"/>
              </w:rPr>
              <w:t>PDIO_18</w:t>
            </w:r>
          </w:p>
        </w:tc>
        <w:tc>
          <w:tcPr>
            <w:tcW w:type="dxa" w:w="1234"/>
          </w:tcPr>
          <w:p>
            <w:r>
              <w:rPr>
                <w:rFonts w:ascii="Times New Roman" w:hAnsi="Times New Roman" w:eastAsia="Times New Roman"/>
              </w:rPr>
              <w:t>164</w:t>
            </w:r>
          </w:p>
        </w:tc>
        <w:tc>
          <w:tcPr>
            <w:tcW w:type="dxa" w:w="1234"/>
          </w:tcPr>
          <w:p>
            <w:r>
              <w:rPr>
                <w:rFonts w:ascii="Times New Roman" w:hAnsi="Times New Roman" w:eastAsia="Times New Roman"/>
              </w:rPr>
              <w:t>7/45</w:t>
            </w:r>
          </w:p>
        </w:tc>
        <w:tc>
          <w:tcPr>
            <w:tcW w:type="dxa" w:w="1234"/>
          </w:tcPr>
          <w:p>
            <w:r>
              <w:rPr>
                <w:rFonts w:ascii="Times New Roman" w:hAnsi="Times New Roman" w:eastAsia="Times New Roman"/>
              </w:rPr>
              <w:t>45/51</w:t>
            </w:r>
          </w:p>
        </w:tc>
        <w:tc>
          <w:tcPr>
            <w:tcW w:type="dxa" w:w="1234"/>
          </w:tcPr>
          <w:p>
            <w:r>
              <w:rPr>
                <w:rFonts w:ascii="Times New Roman" w:hAnsi="Times New Roman" w:eastAsia="Times New Roman"/>
              </w:rPr>
              <w:t>9/16</w:t>
            </w:r>
          </w:p>
        </w:tc>
        <w:tc>
          <w:tcPr>
            <w:tcW w:type="dxa" w:w="1234"/>
          </w:tcPr>
          <w:p>
            <w:r>
              <w:rPr>
                <w:rFonts w:ascii="Times New Roman" w:hAnsi="Times New Roman" w:eastAsia="Times New Roman"/>
              </w:rPr>
              <w:t>51/52</w:t>
            </w:r>
          </w:p>
        </w:tc>
        <w:tc>
          <w:tcPr>
            <w:tcW w:type="dxa" w:w="1234"/>
          </w:tcPr>
          <w:p>
            <w:r>
              <w:rPr>
                <w:rFonts w:ascii="Times New Roman" w:hAnsi="Times New Roman" w:eastAsia="Times New Roman"/>
              </w:rPr>
              <w:t>-0.309</w:t>
            </w:r>
          </w:p>
        </w:tc>
      </w:tr>
    </w:tbl>
    <w:p>
      <w:pPr>
        <w:spacing w:after="120"/>
        <w:jc w:val="both"/>
      </w:pPr>
      <w:r>
        <w:rPr>
          <w:rFonts w:ascii="Times New Roman" w:hAnsi="Times New Roman" w:eastAsia="Times New Roman"/>
        </w:rPr>
        <w:t>The donor-pooled visibility interaction is negative in 8 of 12 donors and positive in 4; its median is -0.041, range -0.467 to +0.074. Donor baseline-detected counts range from 139 to 1431. A previous analysis took within-block gaps then the median within each donor; this table instead pools blocks by donor, so its individual gaps can differ without contradiction. Neither summary resolves source-batch confounding, outcome-dependent missingness, or the absence of original masks and images. The score is a detection audit, not a new experiment, a missing-outcome correction or an independent validation cohort. Original sign/specificity gates remain failed.</w:t>
      </w:r>
    </w:p>
    <w:p>
      <w:pPr>
        <w:pStyle w:val="Heading2"/>
      </w:pPr>
      <w:r>
        <w:rPr>
          <w:rFonts w:ascii="Times New Roman" w:hAnsi="Times New Roman" w:eastAsia="Times New Roman"/>
        </w:rPr>
        <w:t>4.3u Can visibility differences explain the observed size contrast? Not from these rows</w:t>
      </w:r>
    </w:p>
    <w:p>
      <w:pPr>
        <w:spacing w:after="120"/>
        <w:jc w:val="both"/>
      </w:pPr>
      <w:r>
        <w:rPr>
          <w:rFonts w:ascii="Times New Roman" w:hAnsi="Times New Roman" w:eastAsia="Times New Roman"/>
        </w:rPr>
        <w:t>The donor table suggests a testable source of selection, but the critical 2,000 responses remain absent. In a separately locked post-result diagnostic, we paired each of the 12 donors' pooled large-minus-small treatment-by-size endpoint-visibility gaps with that donor's median block-level size contrast among source rows with positive A1. The resulting descriptive Pearson r is +0.349 and Spearman rho is +0.203. Leave-one-donor-out Pearson coefficients span +0.231 to +0.645; Spearman spans +0.100 to +0.564. Only 5/12 donors have matching signs. These associations are unstable and not a missingness correction: visibility pools blocks by count whereas swelling takes the donor median of within-block measured-pair contrasts. We report no p-value because the donor pairs and the selection question follow inspection of these outcomes. A positive r cannot show that detection caused an observed effect; a small r cannot rule out selection from the very responses we cannot see. Exact donor pairs are in results/postresult_visibility_effect_concordance.json. The pre-registered biological sign and specificity failures still hold.</w:t>
      </w:r>
    </w:p>
    <w:p>
      <w:pPr>
        <w:pStyle w:val="Heading2"/>
      </w:pPr>
      <w:r>
        <w:rPr>
          <w:rFonts w:ascii="Times New Roman" w:hAnsi="Times New Roman" w:eastAsia="Times New Roman"/>
        </w:rPr>
        <w:t>4.3v One-donor influence cannot explain the neighbor visibility gradient</w:t>
      </w:r>
    </w:p>
    <w:p>
      <w:pPr>
        <w:spacing w:after="120"/>
        <w:jc w:val="both"/>
      </w:pPr>
      <w:r>
        <w:rPr>
          <w:rFonts w:ascii="Times New Roman" w:hAnsi="Times New Roman" w:eastAsia="Times New Roman"/>
        </w:rPr>
        <w:t>The prior within-image x treatment x baseline-size nearest-neighbor audit splits each eligible stratum at its own distance median. An arithmetic recheck preserves 279 eligible and 5 sparse strata; 6,952 included plus 12 excluded objects reconcile exactly to the 6,964 baseline-detected objects. All twelve saved donor-average close-minus-far positive-A1 visibility differences are negative: median -0.083, range -0.159 to -0.002. The equal-donor mean is -0.077; leaving out each donor in turn spans -0.084 to -0.070. Thus no one donor reverses this descriptive selected-source association. The original 100 within-stratum exposure-label permutations are only a technical null, not randomized biology; we did not calculate a post-hoc donor p-value. Neither the sign unanimity nor leave-one-out stability identifies why 2,000 A1 outcomes are missing or whether the organoids without t0 detections differ. Precise per-donor numbers and source checks are in results/postresult_neighbor_gradient_donor_influence.json. Original treatment-size sign and zero-forskolin specificity gates stay failed.</w:t>
      </w:r>
    </w:p>
    <w:p>
      <w:pPr>
        <w:pStyle w:val="Heading2"/>
      </w:pPr>
      <w:r>
        <w:rPr>
          <w:rFonts w:ascii="Times New Roman" w:hAnsi="Times New Roman" w:eastAsia="Times New Roman"/>
        </w:rPr>
        <w:t>4.3w What the missing-outcome analysis identifies</w:t>
      </w:r>
    </w:p>
    <w:p>
      <w:pPr>
        <w:spacing w:after="120"/>
        <w:jc w:val="both"/>
      </w:pPr>
      <w:r>
        <w:rPr>
          <w:rFonts w:ascii="Times New Roman" w:hAnsi="Times New Roman" w:eastAsia="Times New Roman"/>
        </w:rPr>
        <w:t>The source denominator changes at three distinct steps, and a statement about one step must not be substituted for a statement about another. First, the DIS source contains baseline-detected objects with positive A0 in the original donor, experiment, dose, treatment and extreme-size cells. There are 6,964 such objects. Second, 4,964 have a positive finite A1 from which log(A1/A0) can be computed; the other 2,000 have no measured positive endpoint in these cells. Third, the analysis-ready derived table contains 4,776 of those positive pairs, excluding another 188. Cross-fit inclusion weights were calculated only for the third transition. They cannot, even in principle, estimate responses for the much larger second-step loss without additional assumptions about the unobserved A1 values. An object never detected at baseline has no A0 and lies outside even the first denominator. The three transitions are not three independent samples of patients or three biological stages; they are filters imposed by the source and analysis pipeline. Counts are checked against the exact source hash and cell ledger in results/postresult_attrition_model_limit.json.</w:t>
      </w:r>
    </w:p>
    <w:p>
      <w:pPr>
        <w:spacing w:after="120"/>
        <w:jc w:val="both"/>
      </w:pPr>
      <w:r>
        <w:rPr>
          <w:rFonts w:ascii="Times New Roman" w:hAnsi="Times New Roman" w:eastAsia="Times New Roman"/>
        </w:rPr>
        <w:t>The selected-track contrast and the full-baseline-detected contrast answer different questions. In a donor x experiment x dose block, define each of four arm-by-size means as the average log swelling among tracks whose endpoint is positive. The difference of differences, large treated minus large DMSO minus small treated plus small DMSO, is computable for the selected tracks. Replacing each cell mean with its mean over ALL baseline-detected objects asks for the unobserved log response in missing-endpoint rows. The source records a baseline size and an absent or nonpositive A1 for those rows, not a positive response value. No reweighting of the 4,776 derived rows can algebraically recover the latter estimand unless missingness is restricted by an untested model. Some absent values may correspond to technical linkage failure, segmentation below detection, objects leaving the field, or true nonpositive area; the tabular source does not distinguish these mechanisms. The distinction matters because the small cells lose more than half of their baseline-detected objects, whereas the large cells retain over four fifths. A tiny numerical difference after weighting the third transition says nothing about the missing half of the small cells.</w:t>
      </w:r>
    </w:p>
    <w:p>
      <w:pPr>
        <w:spacing w:after="120"/>
        <w:jc w:val="both"/>
      </w:pPr>
      <w:r>
        <w:rPr>
          <w:rFonts w:ascii="Times New Roman" w:hAnsi="Times New Roman" w:eastAsia="Times New Roman"/>
        </w:rPr>
        <w:t>A sign reversal is compatible with the recorded counts without contradicting any observed track. The conditional exercise in results/missing_endpoint_bounds.json leaves every positive-pair response unchanged and varies only the 2,000 absent endpoints within the observed 5th-to-95th-percentile interval of their own arm/size cell. For the original 31 blocks and 12 donors, the donor-equal contrast spans -0.745 to +1.362 log units under adverse and favorable assignments. These are not confidence limits and do not assert that missing responses actually occupy the selected-track central 90%; that is an imposed scenario. Nor does this range bound all logically possible responses outside those percentiles. Its role is an internal stress test: one quite explicit family of unverified endpoint assumptions changes the direction, so an observed positive-pair result cannot by itself establish the sign for the broader baseline-detected frame. A separate one-cell tipping scenario in results/missing_endpoint_tipping.json holds the other missing cells at their selected-track medians; it shows the direction of the assumption needed to cancel the positive contrast, not a fitted estimate of that assumption.</w:t>
      </w:r>
    </w:p>
    <w:p>
      <w:pPr>
        <w:spacing w:after="120"/>
        <w:jc w:val="both"/>
      </w:pPr>
      <w:r>
        <w:rPr>
          <w:rFonts w:ascii="Times New Roman" w:hAnsi="Times New Roman" w:eastAsia="Times New Roman"/>
        </w:rPr>
        <w:t>The baseline detector-score control is useful but addresses a different question. A model for whether baseline confidence exceeds a fixed cut can test whether the treatment-by-size structure is already visible in one recorded baseline quality measure. Its near-null interaction does not prove that endpoint ascertainment is exchangeable, because a single detector score is not an image-quality audit and neither future track-link errors nor absent A1 can be read from it. Similarly, the nearest-neighbor comparison holds image path, arm and size stratum fixed and finds a negative close-minus-far observability gradient across all twelve donor averages, but neighboring objects were not experimentally randomized. Image acquisition, local density and algorithmic track competition can jointly influence spacing and successful linkage. Source field paths may recur across acquisitions; they are not patient-independent units. These controls constrain simplistic explanations without identifying the cause of missingness or correcting the biological contrast (results/endpoint_observability.json; results/postresult_neighbor_stratified.json; results/postresult_neighbor_gradient_donor_influence.json).</w:t>
      </w:r>
    </w:p>
    <w:p>
      <w:pPr>
        <w:spacing w:after="120"/>
        <w:jc w:val="both"/>
      </w:pPr>
      <w:r>
        <w:rPr>
          <w:rFonts w:ascii="Times New Roman" w:hAnsi="Times New Roman" w:eastAsia="Times New Roman"/>
        </w:rPr>
        <w:t>The donor is the unit of the proposed biological claim. Thousands of objects in a small set of wells cannot substitute for independent donors or a second accession. The magnitude-aware model and exact donor sign flip test retain a positive same-accession result under their locked analysis, but the original sign-only result, zero-forskolin specificity test and matched plate-dose stress test fail. The donor-gap versus donor-swelling correlation also is descriptive, uses mismatched pooled-count and block-median estimators, and is unstable to donor omission; it cannot quantify how much of the measured size interaction is created by visibility. These tensions are not solved by choosing whichever estimator gives the lowest p-value. The missing-response envelope and the failed controls delimit the finding: a selected-track association and a reproducible way to expose unidentifiable endpoints, not an established CFTR-specific, donor-general or clinically predictive drug-by-size law.</w:t>
      </w:r>
    </w:p>
    <w:p>
      <w:pPr>
        <w:spacing w:after="120"/>
        <w:jc w:val="both"/>
      </w:pPr>
      <w:r>
        <w:rPr>
          <w:rFonts w:ascii="Times New Roman" w:hAnsi="Times New Roman" w:eastAsia="Times New Roman"/>
        </w:rPr>
        <w:t>An external test would need pre-specified donor-level selection and analysis rather than another within-accession threshold search. Before viewing new treatment outcomes, the study would fix what counts as a baseline object, a valid endpoint and a linked trajectory, the size cutoffs or continuous-size model, the treatment/dose windows, an analysis for the full baseline-detected denominator and a rule for losses. Raw baseline and endpoint images, masks, detector scores, track identifiers, field/plate labels and blinded manual review of disputed links would let investigators separate an imaging failure from a biological absence. Matching treated and DMSO wells by donor, experiment and dose avoids a change of composition masquerading as a size interaction; zero-forskolin and CFTR-inhibitor arms would challenge specificity. The planned primary claim would be evaluated in new donors with a sealed untouched cohort, while the present accession supplies only feasibility and failure-mode estimates. These requirements follow from the observed denominator and gate failures; they are proposed measurements, not completed validations.</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14.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15.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16.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17.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18.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19.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20.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21.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22.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23.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24.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25.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4.5p Whole-plate audit of the already-used external FIS demo</w:t>
      </w:r>
    </w:p>
    <w:p>
      <w:pPr>
        <w:spacing w:after="120"/>
        <w:jc w:val="both"/>
      </w:pPr>
      <w:r>
        <w:rPr>
          <w:rFonts w:ascii="Times New Roman" w:hAnsi="Times New Roman" w:eastAsia="Times New Roman"/>
        </w:rPr>
        <w:t>A post-result source-integrity recheck revisits the SAME demoplate_01 used for the preregistered Section 4.3d CellProfiler and Fiji comparisons, not a new cohort or experiment. The FIS_analysis repository (https://github.com/hmbotelho/FIS_analysis) republishes the FIS_image_analysis source. Across all 64 wells and seven frames, its CellProfiler combined table has 31,900 object rows, 1,080 rows without track labels, and 929 well x time x nonmissing-label groups containing multiple object rows (965 excess rows, up to three). The Fiji/ImageJ processing of the same images has 29,291 rows, zero missing labels, and 66 duplicate well x time x label groups (66 excess rows). This conflicts with a naive reading of the provider's TrackObjects label description as guaranteeing exactly one object per label per frame. The earlier Section 4.3d analyses explicitly removed candidate duplicated track/time rows before forming t0-to-t6 pairs among 32 selected matched wells; our whole-plate audit does NOT demonstrate that those earlier pairs used the duplicate rows. However, removal does not establish the remaining trajectories' identities without hand-tracked ground truth, and attrition remains algorithm-dependent. Both methods are one donor/plate, no zero-forskolin or inhibitor controls in this demonstration. Counts, source hashes and scope are in results/postresult_external_fis_dual_pipeline.json and notes/postresult_external_fis_dual_pipeline.md. No new swelling effect, independent cohort, or benchmark pass follows from this recheck.</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26.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50.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52.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54.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58.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