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Does Starting Organoid Size Modify the CFTR-Modulator Swelling Response? A Size-Aware, Missing-Data-Robust Computational Pipeline for Single-Organoid Response Analysis</w:t>
      </w:r>
    </w:p>
    <w:p>
      <w:pPr>
        <w:jc w:val="center"/>
      </w:pPr>
      <w:r>
        <w:rPr>
          <w:rFonts w:ascii="Times New Roman" w:hAnsi="Times New Roman" w:eastAsia="Times New Roman"/>
        </w:rPr>
        <w:t>MEGA-PROGRAM-27, Item 3 - Udita Phookan (program owner). Working draft of 27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ask one primary question: does starting organoid size modify the CFTR-modulator swelling response of single intestinal organoids after accounting for track attrition? The primary endpoint is the donor-level large-minus-small elexacaftor/tezacaftor/ivacaftor minus DMSO log-swelling contrast, and the primary analysis is the pre-registered donor-block mixed model with an exact donor-level sign-flip test, reported together with its companion pre-registered tests. All other analyses in this paper are exploratory and are labeled as such.</w:t>
      </w:r>
    </w:p>
    <w:p>
      <w:pPr>
        <w:spacing w:after="120"/>
        <w:jc w:val="both"/>
      </w:pPr>
      <w:r>
        <w:rPr>
          <w:rFonts w:ascii="Times New Roman" w:hAnsi="Times New Roman" w:eastAsia="Times New Roman"/>
        </w:rPr>
        <w:t>The primary pre-registered tests, stated first: the sign-only donor test FAILED (9/12 positive, p=0.073), the zero-forskolin specificity test FAILED (3/11, p=0.967), and the matched plate-dose stress test FAILED. Under the separately locked donor-block analysis (31 eligible donor x experiment x dose blocks from 12 donors), the magnitude-aware treatment-by-large coefficient is +0.252815 (positive-direction one-sided p=0.00001151; 4,096-assignment exact donor-level sign flip p=0.002930), and the exploratory donor-matched octile contrast rises from 0.336 [0.262, 0.405] in the smallest starting-size octile toward 0.55-0.64 in larger octiles (top minus bottom 0.251 [0.184, 0.323], donor bootstrap). These are within-accession, magnitude-aware results, not independent replication or a clinical predictor.</w:t>
      </w:r>
    </w:p>
    <w:p>
      <w:pPr>
        <w:spacing w:after="120"/>
        <w:jc w:val="both"/>
      </w:pPr>
      <w:r>
        <w:rPr>
          <w:rFonts w:ascii="Times New Roman" w:hAnsi="Times New Roman" w:eastAsia="Times New Roman"/>
        </w:rPr>
        <w:t>The methodological contribution is an explicit audit of track attrition: tracked organoids are not a random subset, because endpoint observability varies with starting size, treatment arm and local crowding. We quantify, with donor-clustered observability models, stratified neighbor analysis, track-retention tables and missing-endpoint bounds, how much of an apparent size contrast such structured attrition can create or hide. This size-aware, missing-data-robust pipeline is the part of the work other CFTR swelling studies can reuse.</w:t>
      </w:r>
    </w:p>
    <w:p>
      <w:pPr>
        <w:spacing w:after="120"/>
        <w:jc w:val="both"/>
      </w:pPr>
      <w:r>
        <w:rPr>
          <w:rFonts w:ascii="Times New Roman" w:hAnsi="Times New Roman" w:eastAsia="Times New Roman"/>
        </w:rPr>
        <w:t>A separate segmentation arm is reported as a secondary exploratory analysis: a train-only U-Net reached author-scored AP50 0.761108 against a rounded published 0.76, but repeated acquisition fields cross the train/evaluation and train/validation filenames, so no independent benchmark-beat claim is made and an acquisition-candidate-group-disjoint exploratory reassignment was subsequently run on previously seen files. This paper is an in vitro computational reanalysis only, not a diagnostic or treatment predictor. The repository preserves all gate outcomes, code and negative controls.</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2"/>
      </w:pPr>
      <w:r>
        <w:rPr>
          <w:rFonts w:ascii="Times New Roman" w:hAnsi="Times New Roman" w:eastAsia="Times New Roman"/>
        </w:rPr>
        <w:t>1.1 Primary question, primary endpoint and primary analysis</w:t>
      </w:r>
    </w:p>
    <w:p>
      <w:pPr>
        <w:spacing w:after="120"/>
        <w:jc w:val="both"/>
      </w:pPr>
      <w:r>
        <w:rPr>
          <w:rFonts w:ascii="Times New Roman" w:hAnsi="Times New Roman" w:eastAsia="Times New Roman"/>
        </w:rPr>
        <w:t>Primary question: does starting organoid size modify the CFTR-modulator swelling response of single intestinal organoids after accounting for track attrition? Primary endpoint: the donor-level large-minus-small Trikafta-minus-DMSO log-swelling contrast. Primary analysis: the pre-registered donor-block mixed model plus the 4,096-assignment exact donor-level sign-flip test, interpreted alongside the companion pre-registered sign-only, zero-forskolin specificity and matched plate-dose stress tests. This framing is a post-verdict amendment of 27 September 2026 (owner-provided verdict archived with message-ID provenance in results/judge_rounds/; amendment queue locked before execution in notes/judge_verdict_01_amendment_queue.md). It changes presentation order and emphasis only: every pre-registered gate, outcome and negative control is unchanged, and the failed primary tests are reported in Section 4 before any magnitude-aware result.</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Secondary exploratory analyses I: well-level FIS drug-ranking replications</w:t>
      </w:r>
    </w:p>
    <w:p>
      <w:pPr>
        <w:spacing w:after="120"/>
        <w:jc w:val="both"/>
      </w:pPr>
      <w:r>
        <w:rPr>
          <w:rFonts w:ascii="Times New Roman" w:hAnsi="Times New Roman" w:eastAsia="Times New Roman"/>
        </w:rPr>
        <w:t>Sections 4.3d (well-level ranking) and 4.3e below are off-question secondary analyses, retained for completeness and labeled exploratory.</w:t>
      </w:r>
    </w:p>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 Track attrition and selection-bias methodology (exploratory)</w:t>
      </w:r>
    </w:p>
    <w:p>
      <w:pPr>
        <w:spacing w:after="120"/>
        <w:jc w:val="both"/>
      </w:pPr>
      <w:r>
        <w:rPr>
          <w:rFonts w:ascii="Times New Roman" w:hAnsi="Times New Roman" w:eastAsia="Times New Roman"/>
        </w:rPr>
        <w:t>Sections 4.3h through 4.3p are the methodological spine of this paper: an explicit audit of how track attrition and selection can create or hide a size contrast. They are exploratory methods work, not independent replication of the size finding.</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4.3n Baseline image-edge proxy and endpoint visibility</w:t>
      </w:r>
    </w:p>
    <w:p>
      <w:pPr>
        <w:spacing w:after="120"/>
        <w:jc w:val="both"/>
      </w:pPr>
      <w:r>
        <w:rPr>
          <w:rFonts w:ascii="Times New Roman" w:hAnsi="Times New Roman" w:eastAsia="Times New Roman"/>
        </w:rPr>
        <w:t>The source's baseline detection boxes permit a narrow test of whether proximity to the 2048-pixel image boundary predicts an absent endpoint. We locked a box-edge clearance below 50 pixels and a fixed 100-pixel sensitivity before calculating the association (notes/postresult_edge_observability_protocol.md). Among 6,964 baseline-detected organoids in the original size/arm cells, 404 have a box within 50 pixels of an edge. At 50 pixels, 24 of the 31 original blocks contain both edge and interior objects in all four arm/size cells, spanning 11 donors; the other seven blocks are listed without substitution in results/edge_observability.json. Thus the block-balanced edge comparison is underpowered and incomplete by construction.</w:t>
      </w:r>
    </w:p>
    <w:p>
      <w:pPr>
        <w:spacing w:after="120"/>
        <w:jc w:val="both"/>
      </w:pPr>
      <w:r>
        <w:rPr>
          <w:rFonts w:ascii="Times New Roman" w:hAnsi="Times New Roman" w:eastAsia="Times New Roman"/>
        </w:rPr>
        <w:t>A binomial endpoint-observability model with baseline area, detector score, donor factors, treatment, size, treatment-by-size, edge, and edge-by-size/treatment terms converged. The edge main-effect odds ratio is 1.136 (donor-cluster interval on logit scale -0.171 to +0.425); edge-by-size odds ratio 0.813 and edge-by-treatment odds ratio 0.868. Their wide intervals cover zero on logit scale. The treatment-by-size endpoint-observability odds ratio stays 0.638, versus 0.638 under the fixed 100-pixel proxy. This is not evidence that boundary cropping is absent: box clearance does not show whether pixels or masks were cropped, and only 404/6,964 objects meet the 50-pixel indicator. Baseline-undetected organoids, absent endpoint areas and real image artifacts remain unmeasured. Full four-cell rates, excluded-block identities, hashed source and code are in results/edge_observability.json and scripts/audit_edge_observability.py. No original biological gate changes.</w:t>
      </w:r>
    </w:p>
    <w:p>
      <w:pPr>
        <w:pStyle w:val="Heading2"/>
      </w:pPr>
      <w:r>
        <w:rPr>
          <w:rFonts w:ascii="Times New Roman" w:hAnsi="Times New Roman" w:eastAsia="Times New Roman"/>
        </w:rPr>
        <w:t>4.3o Paired-center displacement and track-selection support</w:t>
      </w:r>
    </w:p>
    <w:p>
      <w:pPr>
        <w:spacing w:after="120"/>
        <w:jc w:val="both"/>
      </w:pPr>
      <w:r>
        <w:rPr>
          <w:rFonts w:ascii="Times New Roman" w:hAnsi="Times New Roman" w:eastAsia="Times New Roman"/>
        </w:rPr>
        <w:t>The source table stores paired x/y centers only when both segmented areas are positive. Before computing this post-result influence check, we fixed displacement bins [0,10), [10,25), [25,40), and [40,50] pixels, then a &lt;40-pixel subset (notes/postresult_displacement_sensitivity.md). Across all 29,648 positive-area pairs under the released source, the maximum displacement is 50.0 pixels and none exceed 50. This sharp support boundary suggests a pairing restriction, but source tracking code has not been established and the limit cannot be called its documented algorithm. For the 4,964 source-positive pairs in the original 31 size/arm blocks, the all-pair equal-donor mean of median block contrasts is +0.207978 (9/12 positive donors). Restricting observed pairs to displacement &lt;40 yields +0.212476 with 9/12 positive donors, but one fixed block loses the minimum three observations in one cell. Comparing exactly the same 30 retained blocks, all pairs give +0.213675 and the &lt;40 subset differs by -0.001199. This is not a newly chosen eligibility gate or an independent replication.</w:t>
      </w:r>
    </w:p>
    <w:p>
      <w:pPr>
        <w:spacing w:after="120"/>
        <w:jc w:val="both"/>
      </w:pPr>
      <w:r>
        <w:rPr>
          <w:rFonts w:ascii="Times New Roman" w:hAnsi="Times New Roman" w:eastAsia="Times New Roman"/>
        </w:rPr>
        <w:t>Within the DMSO-only observed pairs, the pooled displacement-response Spearman correlations are +0.069 for small and -0.060 for large; equal-donor means of within-well median correlations are -0.050 and -0.047. The paired-center boundary is a reproducible property of these selected rows, not proof of correct track identity or absence of selection bias. Without x/y for 2,000 baseline-detected objects missing positive A1, no displacement analysis can recover their swelling responses or test whether long-moving organoids were excluded. The full four-cell displacement histograms, lost-block ID, source hash and script are in results/displacement_sensitivity.json and scripts/audit_displacement_sensitivity.py. This audit leaves the original failed donor sign and zero-forskolin gates untouched and cannot tighten the hypothetical missing-response envelope.</w:t>
      </w:r>
    </w:p>
    <w:p>
      <w:pPr>
        <w:pStyle w:val="Heading2"/>
      </w:pPr>
      <w:r>
        <w:rPr>
          <w:rFonts w:ascii="Times New Roman" w:hAnsi="Times New Roman" w:eastAsia="Times New Roman"/>
        </w:rPr>
        <w:t>4.3p Baseline neighbor spacing and endpoint observability</w:t>
      </w:r>
    </w:p>
    <w:p>
      <w:pPr>
        <w:spacing w:after="120"/>
        <w:jc w:val="both"/>
      </w:pPr>
      <w:r>
        <w:rPr>
          <w:rFonts w:ascii="Times New Roman" w:hAnsi="Times New Roman" w:eastAsia="Times New Roman"/>
        </w:rPr>
        <w:t>A post-result, protocol-locked source-table audit measured the distance from each baseline-detected organoid to its nearest OTHER baseline-detected object in the same image, including middle-size objects in the neighbor pool (notes/postresult_neighbor_observability_protocol.md). The analysis frame is the original 31 positive-dose blocks and extreme-size cells: 6,964 baseline objects in 143 source image paths, with 4,964 positive finite endpoints. Nearest-distance quartiles are 70.9, 104.2, and 152.1 pixels. A descriptive donor-fixed-effects binomial model adjusted for arm, size, their interaction, baseline log area and detector score finds an odds ratio 1.724 for a unit increase in log(1 + nearest distance) in small objects (12-donor cluster interval on the coefficient +0.414 to +0.676); the size-by-distance ratio of odds ratios is 1.063, with an interval crossing 1. These are conditional object-level associations, not independent biological replicates.</w:t>
      </w:r>
    </w:p>
    <w:p>
      <w:pPr>
        <w:spacing w:after="120"/>
        <w:jc w:val="both"/>
      </w:pPr>
      <w:r>
        <w:rPr>
          <w:rFonts w:ascii="Times New Roman" w:hAnsi="Times New Roman" w:eastAsia="Times New Roman"/>
        </w:rPr>
        <w:t>Within 143 image paths, the closer half's mean positive-endpoint rate minus the farther half's rate is -0.101; 100 seeded within-field permutations of proximity labels give a descriptive 95% technical-null range [-0.018, +0.021]. Thus source baseline spacing marks an observability gradient, not a proven causal crowding or tracking mechanism. The source has paired t=0/t=1 keys even when A1 is blank; 2,000 endpoint responses remain unobserved, baseline-undetected organoids are outside the frame, and field paths may represent repeated acquisitions. Neither the failed original donor sign and zero-forskolin specificity gates nor the zero-crossing missing-response envelope changes. Full counts, source hash and code are in results/postresult_neighbor_observability.json and scripts/audit_postresult_neighbor_observability.py.</w:t>
      </w:r>
    </w:p>
    <w:p>
      <w:pPr>
        <w:spacing w:after="120"/>
        <w:jc w:val="both"/>
      </w:pPr>
      <w:r>
        <w:rPr>
          <w:rFonts w:ascii="Times New Roman" w:hAnsi="Times New Roman" w:eastAsia="Times New Roman"/>
        </w:rPr>
        <w:t>A retrospective composition check held image path, treatment arm and original size bin fixed before dividing each eligible stratum at its own nearest-neighbor median (notes/postresult_neighbor_stratified_sensitivity.md). 279 strata cover 6,952 of 6,964 frame objects; 5 sparse strata with 12 objects are reported, not silently dropped. The closer-minus-farther endpoint-observability difference is -0.082 with strata weighted equally, -0.068 when weighted by stratum object count and -0.077 when donor means are weighted equally (12/12 donor means negative). The largest cell-level gradient is the treated-small cell at -0.172; all four cells' counts are recorded. One hundred seeded within-stratum proximity-label permutations yield a technical-null 95% range [-0.023, +0.024] for the equal-stratum mean. The gradient therefore is not solely the pooled arm/size composition in this source frame. It is still a retrospective association, not a treatment-effect correction, tracking-causation test, or an answer for the 2,000 absent positive endpoints.</w:t>
      </w:r>
    </w:p>
    <w:p>
      <w:pPr>
        <w:pStyle w:val="Heading2"/>
      </w:pPr>
      <w:r>
        <w:rPr>
          <w:rFonts w:ascii="Times New Roman" w:hAnsi="Times New Roman" w:eastAsia="Times New Roman"/>
        </w:rPr>
        <w:t>4.3q What the observed tracks identify, and what they do not</w:t>
      </w:r>
    </w:p>
    <w:p>
      <w:pPr>
        <w:spacing w:after="120"/>
        <w:jc w:val="both"/>
      </w:pPr>
      <w:r>
        <w:rPr>
          <w:rFonts w:ascii="Times New Roman" w:hAnsi="Times New Roman" w:eastAsia="Times New Roman"/>
        </w:rPr>
        <w:t>The selection audit has three distinct denominators. The released paired-particle table contains baseline-detected organoids, including those with a blank or nonpositive endpoint; the derived response table contains a narrower subset with usable A0 and A1; the actual well may also contain organoids never detected at baseline, which neither table enumerates. These populations cannot be treated as interchangeable. The following accounting table uses only the original 31 donor-by-experiment-by-dose blocks and four pre-existing treatment/size cells, not a newly selected donor population. Its observed-endpoint fractions condition on baseline detection; they are not treatment-response rates.</w:t>
      </w:r>
    </w:p>
    <w:p>
      <w:r>
        <w:rPr>
          <w:rFonts w:ascii="Times New Roman" w:hAnsi="Times New Roman" w:eastAsia="Times New Roman"/>
          <w:b/>
        </w:rPr>
        <w:t>Table 11. Source-frame denominator audit for the four original cells. Percentiles describe selected positive-endpoint tracks and are assumptions, not known support bounds, for absent responses. Source: results/missing_endpoint_bounds.json and tabular_track_retention.json.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arm</w:t>
            </w:r>
          </w:p>
        </w:tc>
        <w:tc>
          <w:tcPr>
            <w:tcW w:type="dxa" w:w="1234"/>
          </w:tcPr>
          <w:p>
            <w:r>
              <w:rPr>
                <w:rFonts w:ascii="Times New Roman" w:hAnsi="Times New Roman" w:eastAsia="Times New Roman"/>
              </w:rPr>
              <w:t>baseline size</w:t>
            </w:r>
          </w:p>
        </w:tc>
        <w:tc>
          <w:tcPr>
            <w:tcW w:type="dxa" w:w="1234"/>
          </w:tcPr>
          <w:p>
            <w:r>
              <w:rPr>
                <w:rFonts w:ascii="Times New Roman" w:hAnsi="Times New Roman" w:eastAsia="Times New Roman"/>
              </w:rPr>
              <w:t>baseline detected</w:t>
            </w:r>
          </w:p>
        </w:tc>
        <w:tc>
          <w:tcPr>
            <w:tcW w:type="dxa" w:w="1234"/>
          </w:tcPr>
          <w:p>
            <w:r>
              <w:rPr>
                <w:rFonts w:ascii="Times New Roman" w:hAnsi="Times New Roman" w:eastAsia="Times New Roman"/>
              </w:rPr>
              <w:t>positive A1</w:t>
            </w:r>
          </w:p>
        </w:tc>
        <w:tc>
          <w:tcPr>
            <w:tcW w:type="dxa" w:w="1234"/>
          </w:tcPr>
          <w:p>
            <w:r>
              <w:rPr>
                <w:rFonts w:ascii="Times New Roman" w:hAnsi="Times New Roman" w:eastAsia="Times New Roman"/>
              </w:rPr>
              <w:t>missing A1</w:t>
            </w:r>
          </w:p>
        </w:tc>
        <w:tc>
          <w:tcPr>
            <w:tcW w:type="dxa" w:w="1234"/>
          </w:tcPr>
          <w:p>
            <w:r>
              <w:rPr>
                <w:rFonts w:ascii="Times New Roman" w:hAnsi="Times New Roman" w:eastAsia="Times New Roman"/>
              </w:rPr>
              <w:t>visible fraction</w:t>
            </w:r>
          </w:p>
        </w:tc>
        <w:tc>
          <w:tcPr>
            <w:tcW w:type="dxa" w:w="1234"/>
          </w:tcPr>
          <w:p>
            <w:r>
              <w:rPr>
                <w:rFonts w:ascii="Times New Roman" w:hAnsi="Times New Roman" w:eastAsia="Times New Roman"/>
              </w:rPr>
              <w:t>observed log-response 5-95%</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1248</w:t>
            </w:r>
          </w:p>
        </w:tc>
        <w:tc>
          <w:tcPr>
            <w:tcW w:type="dxa" w:w="1234"/>
          </w:tcPr>
          <w:p>
            <w:r>
              <w:rPr>
                <w:rFonts w:ascii="Times New Roman" w:hAnsi="Times New Roman" w:eastAsia="Times New Roman"/>
              </w:rPr>
              <w:t>563</w:t>
            </w:r>
          </w:p>
        </w:tc>
        <w:tc>
          <w:tcPr>
            <w:tcW w:type="dxa" w:w="1234"/>
          </w:tcPr>
          <w:p>
            <w:r>
              <w:rPr>
                <w:rFonts w:ascii="Times New Roman" w:hAnsi="Times New Roman" w:eastAsia="Times New Roman"/>
              </w:rPr>
              <w:t>685</w:t>
            </w:r>
          </w:p>
        </w:tc>
        <w:tc>
          <w:tcPr>
            <w:tcW w:type="dxa" w:w="1234"/>
          </w:tcPr>
          <w:p>
            <w:r>
              <w:rPr>
                <w:rFonts w:ascii="Times New Roman" w:hAnsi="Times New Roman" w:eastAsia="Times New Roman"/>
              </w:rPr>
              <w:t>0.451</w:t>
            </w:r>
          </w:p>
        </w:tc>
        <w:tc>
          <w:tcPr>
            <w:tcW w:type="dxa" w:w="1234"/>
          </w:tcPr>
          <w:p>
            <w:r>
              <w:rPr>
                <w:rFonts w:ascii="Times New Roman" w:hAnsi="Times New Roman" w:eastAsia="Times New Roman"/>
              </w:rPr>
              <w:t>[-0.351, +1.157]</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2058</w:t>
            </w:r>
          </w:p>
        </w:tc>
        <w:tc>
          <w:tcPr>
            <w:tcW w:type="dxa" w:w="1234"/>
          </w:tcPr>
          <w:p>
            <w:r>
              <w:rPr>
                <w:rFonts w:ascii="Times New Roman" w:hAnsi="Times New Roman" w:eastAsia="Times New Roman"/>
              </w:rPr>
              <w:t>1825</w:t>
            </w:r>
          </w:p>
        </w:tc>
        <w:tc>
          <w:tcPr>
            <w:tcW w:type="dxa" w:w="1234"/>
          </w:tcPr>
          <w:p>
            <w:r>
              <w:rPr>
                <w:rFonts w:ascii="Times New Roman" w:hAnsi="Times New Roman" w:eastAsia="Times New Roman"/>
              </w:rPr>
              <w:t>233</w:t>
            </w:r>
          </w:p>
        </w:tc>
        <w:tc>
          <w:tcPr>
            <w:tcW w:type="dxa" w:w="1234"/>
          </w:tcPr>
          <w:p>
            <w:r>
              <w:rPr>
                <w:rFonts w:ascii="Times New Roman" w:hAnsi="Times New Roman" w:eastAsia="Times New Roman"/>
              </w:rPr>
              <w:t>0.887</w:t>
            </w:r>
          </w:p>
        </w:tc>
        <w:tc>
          <w:tcPr>
            <w:tcW w:type="dxa" w:w="1234"/>
          </w:tcPr>
          <w:p>
            <w:r>
              <w:rPr>
                <w:rFonts w:ascii="Times New Roman" w:hAnsi="Times New Roman" w:eastAsia="Times New Roman"/>
              </w:rPr>
              <w:t>[-0.415, +0.992]</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1250</w:t>
            </w:r>
          </w:p>
        </w:tc>
        <w:tc>
          <w:tcPr>
            <w:tcW w:type="dxa" w:w="1234"/>
          </w:tcPr>
          <w:p>
            <w:r>
              <w:rPr>
                <w:rFonts w:ascii="Times New Roman" w:hAnsi="Times New Roman" w:eastAsia="Times New Roman"/>
              </w:rPr>
              <w:t>571</w:t>
            </w:r>
          </w:p>
        </w:tc>
        <w:tc>
          <w:tcPr>
            <w:tcW w:type="dxa" w:w="1234"/>
          </w:tcPr>
          <w:p>
            <w:r>
              <w:rPr>
                <w:rFonts w:ascii="Times New Roman" w:hAnsi="Times New Roman" w:eastAsia="Times New Roman"/>
              </w:rPr>
              <w:t>679</w:t>
            </w:r>
          </w:p>
        </w:tc>
        <w:tc>
          <w:tcPr>
            <w:tcW w:type="dxa" w:w="1234"/>
          </w:tcPr>
          <w:p>
            <w:r>
              <w:rPr>
                <w:rFonts w:ascii="Times New Roman" w:hAnsi="Times New Roman" w:eastAsia="Times New Roman"/>
              </w:rPr>
              <w:t>0.457</w:t>
            </w:r>
          </w:p>
        </w:tc>
        <w:tc>
          <w:tcPr>
            <w:tcW w:type="dxa" w:w="1234"/>
          </w:tcPr>
          <w:p>
            <w:r>
              <w:rPr>
                <w:rFonts w:ascii="Times New Roman" w:hAnsi="Times New Roman" w:eastAsia="Times New Roman"/>
              </w:rPr>
              <w:t>[-0.258, +1.415]</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2408</w:t>
            </w:r>
          </w:p>
        </w:tc>
        <w:tc>
          <w:tcPr>
            <w:tcW w:type="dxa" w:w="1234"/>
          </w:tcPr>
          <w:p>
            <w:r>
              <w:rPr>
                <w:rFonts w:ascii="Times New Roman" w:hAnsi="Times New Roman" w:eastAsia="Times New Roman"/>
              </w:rPr>
              <w:t>2005</w:t>
            </w:r>
          </w:p>
        </w:tc>
        <w:tc>
          <w:tcPr>
            <w:tcW w:type="dxa" w:w="1234"/>
          </w:tcPr>
          <w:p>
            <w:r>
              <w:rPr>
                <w:rFonts w:ascii="Times New Roman" w:hAnsi="Times New Roman" w:eastAsia="Times New Roman"/>
              </w:rPr>
              <w:t>403</w:t>
            </w:r>
          </w:p>
        </w:tc>
        <w:tc>
          <w:tcPr>
            <w:tcW w:type="dxa" w:w="1234"/>
          </w:tcPr>
          <w:p>
            <w:r>
              <w:rPr>
                <w:rFonts w:ascii="Times New Roman" w:hAnsi="Times New Roman" w:eastAsia="Times New Roman"/>
              </w:rPr>
              <w:t>0.833</w:t>
            </w:r>
          </w:p>
        </w:tc>
        <w:tc>
          <w:tcPr>
            <w:tcW w:type="dxa" w:w="1234"/>
          </w:tcPr>
          <w:p>
            <w:r>
              <w:rPr>
                <w:rFonts w:ascii="Times New Roman" w:hAnsi="Times New Roman" w:eastAsia="Times New Roman"/>
              </w:rPr>
              <w:t>[-0.005, +1.557]</w:t>
            </w:r>
          </w:p>
        </w:tc>
      </w:tr>
    </w:tbl>
    <w:p>
      <w:pPr>
        <w:spacing w:after="120"/>
        <w:jc w:val="both"/>
      </w:pPr>
      <w:r>
        <w:rPr>
          <w:rFonts w:ascii="Times New Roman" w:hAnsi="Times New Roman" w:eastAsia="Times New Roman"/>
        </w:rPr>
        <w:t>The difference between small and large organoids is not a minor rounding issue. Conditional positive-endpoint visibility is about 45% in small DMSO and 46% in small treated objects, versus 89% and 83% in the respective large cells. The treatment gap in visibility reverses across these size strata; the donor-equal gap contrast is -0.093. A donor-adjusted observability model that also includes log baseline area and detector score estimates a treatment-by-large odds ratio 0.639. The baseline high-detector-score control has the analogous odds ratio 0.976. These are features of a selected imaging pipeline, not evidence that missing small objects would swell more or less. Donor fixed effects and twelve clusters do not remove plate, imaging, field, or track-assignment confounding.</w:t>
      </w:r>
    </w:p>
    <w:p>
      <w:pPr>
        <w:spacing w:after="120"/>
        <w:jc w:val="both"/>
      </w:pPr>
      <w:r>
        <w:rPr>
          <w:rFonts w:ascii="Times New Roman" w:hAnsi="Times New Roman" w:eastAsia="Times New Roman"/>
        </w:rPr>
        <w:t>The original biological estimand is the donor-level drug-minus-DMSO contrast in large versus small log swelling. It differs from the estimand of the observability model, which is whether a baseline-detected object receives a positive A1. Conditioning the swelling analysis on a positive A1 may induce selection dependence between initial size and an unmeasured cause of endpoint detection. An inverse-inclusion model fitted among rows with both positive areas can address only selection into the derived table among those already observed; it cannot recover the 2,000 absent positive endpoints. This is why the small shift in cross-fit inclusion-weighted means is not a missing-data correction, and why a baseline score control does not identify unmeasured endpoint values.</w:t>
      </w:r>
    </w:p>
    <w:p>
      <w:pPr>
        <w:spacing w:after="120"/>
        <w:jc w:val="both"/>
      </w:pPr>
      <w:r>
        <w:rPr>
          <w:rFonts w:ascii="Times New Roman" w:hAnsi="Times New Roman" w:eastAsia="Times New Roman"/>
        </w:rPr>
        <w:t>A separate spacing audit gives a measured example of this selection structure. Within image-path, treatment and size strata, closer baseline neighbors have an equal-stratum positive-endpoint rate 0.082 below farther neighbors; 279 eligible strata retain 6,952 of 6,964 source-frame objects and all twelve donor-equal differences have the same negative direction. Distance is a baseline geometry proxy, not a randomized crowding intervention: object density, image quality, local tracking competition and acquisition repetition can all generate it. A field-stratified association is informative about where data are lost, but does not estimate the missing swelling response or the biological size mechanism.</w:t>
      </w:r>
    </w:p>
    <w:p>
      <w:pPr>
        <w:pStyle w:val="Heading2"/>
      </w:pPr>
      <w:r>
        <w:rPr>
          <w:rFonts w:ascii="Times New Roman" w:hAnsi="Times New Roman" w:eastAsia="Times New Roman"/>
        </w:rPr>
        <w:t>4.3r Conditional missing-response bounds across donors</w:t>
      </w:r>
    </w:p>
    <w:p>
      <w:pPr>
        <w:spacing w:after="120"/>
        <w:jc w:val="both"/>
      </w:pPr>
      <w:r>
        <w:rPr>
          <w:rFonts w:ascii="Times New Roman" w:hAnsi="Times New Roman" w:eastAsia="Times New Roman"/>
        </w:rPr>
        <w:t>To expose how much the missing responses matter at the donor level rather than only in a pooled interval, The following table lists the fixed-donor contrast under three previously committed analyses. The first uses only source pairs with positive A0 and A1; the latter two impute each missing endpoint at an adverse or favorable observed cell-specific percentile. These endpoints are conditional scenario bounds, not formal identification bounds: the 5th and 95th percentiles of observed tracks need not contain the missing outcomes. The same donor, experiment, dose and size eligibility from the original blocked test is kept throughout.</w:t>
      </w:r>
    </w:p>
    <w:p>
      <w:r>
        <w:rPr>
          <w:rFonts w:ascii="Times New Roman" w:hAnsi="Times New Roman" w:eastAsia="Times New Roman"/>
          <w:b/>
        </w:rPr>
        <w:t>Table 12. Fixed donor-level median block contrasts in log swelling. Scenario columns do not constitute confidence intervals or imputed outcomes; source: results/tabular_track_retention.json and results/missing_endpoint_bounds.json.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donor</w:t>
            </w:r>
          </w:p>
        </w:tc>
        <w:tc>
          <w:tcPr>
            <w:tcW w:type="dxa" w:w="2160"/>
          </w:tcPr>
          <w:p>
            <w:r>
              <w:rPr>
                <w:rFonts w:ascii="Times New Roman" w:hAnsi="Times New Roman" w:eastAsia="Times New Roman"/>
              </w:rPr>
              <w:t>observed positive-pair contrast</w:t>
            </w:r>
          </w:p>
        </w:tc>
        <w:tc>
          <w:tcPr>
            <w:tcW w:type="dxa" w:w="2160"/>
          </w:tcPr>
          <w:p>
            <w:r>
              <w:rPr>
                <w:rFonts w:ascii="Times New Roman" w:hAnsi="Times New Roman" w:eastAsia="Times New Roman"/>
              </w:rPr>
              <w:t>adverse percentile scenario</w:t>
            </w:r>
          </w:p>
        </w:tc>
        <w:tc>
          <w:tcPr>
            <w:tcW w:type="dxa" w:w="2160"/>
          </w:tcPr>
          <w:p>
            <w:r>
              <w:rPr>
                <w:rFonts w:ascii="Times New Roman" w:hAnsi="Times New Roman" w:eastAsia="Times New Roman"/>
              </w:rPr>
              <w:t>favorable percentile scenario</w:t>
            </w:r>
          </w:p>
        </w:tc>
      </w:tr>
      <w:tr>
        <w:tc>
          <w:tcPr>
            <w:tcW w:type="dxa" w:w="2160"/>
          </w:tcPr>
          <w:p>
            <w:r>
              <w:rPr>
                <w:rFonts w:ascii="Times New Roman" w:hAnsi="Times New Roman" w:eastAsia="Times New Roman"/>
              </w:rPr>
              <w:t>PDIO_01</w:t>
            </w:r>
          </w:p>
        </w:tc>
        <w:tc>
          <w:tcPr>
            <w:tcW w:type="dxa" w:w="2160"/>
          </w:tcPr>
          <w:p>
            <w:r>
              <w:rPr>
                <w:rFonts w:ascii="Times New Roman" w:hAnsi="Times New Roman" w:eastAsia="Times New Roman"/>
              </w:rPr>
              <w:t>+0.039</w:t>
            </w:r>
          </w:p>
        </w:tc>
        <w:tc>
          <w:tcPr>
            <w:tcW w:type="dxa" w:w="2160"/>
          </w:tcPr>
          <w:p>
            <w:r>
              <w:rPr>
                <w:rFonts w:ascii="Times New Roman" w:hAnsi="Times New Roman" w:eastAsia="Times New Roman"/>
              </w:rPr>
              <w:t>-0.669</w:t>
            </w:r>
          </w:p>
        </w:tc>
        <w:tc>
          <w:tcPr>
            <w:tcW w:type="dxa" w:w="2160"/>
          </w:tcPr>
          <w:p>
            <w:r>
              <w:rPr>
                <w:rFonts w:ascii="Times New Roman" w:hAnsi="Times New Roman" w:eastAsia="Times New Roman"/>
              </w:rPr>
              <w:t>+1.304</w:t>
            </w:r>
          </w:p>
        </w:tc>
      </w:tr>
      <w:tr>
        <w:tc>
          <w:tcPr>
            <w:tcW w:type="dxa" w:w="2160"/>
          </w:tcPr>
          <w:p>
            <w:r>
              <w:rPr>
                <w:rFonts w:ascii="Times New Roman" w:hAnsi="Times New Roman" w:eastAsia="Times New Roman"/>
              </w:rPr>
              <w:t>PDIO_03</w:t>
            </w:r>
          </w:p>
        </w:tc>
        <w:tc>
          <w:tcPr>
            <w:tcW w:type="dxa" w:w="2160"/>
          </w:tcPr>
          <w:p>
            <w:r>
              <w:rPr>
                <w:rFonts w:ascii="Times New Roman" w:hAnsi="Times New Roman" w:eastAsia="Times New Roman"/>
              </w:rPr>
              <w:t>+0.351</w:t>
            </w:r>
          </w:p>
        </w:tc>
        <w:tc>
          <w:tcPr>
            <w:tcW w:type="dxa" w:w="2160"/>
          </w:tcPr>
          <w:p>
            <w:r>
              <w:rPr>
                <w:rFonts w:ascii="Times New Roman" w:hAnsi="Times New Roman" w:eastAsia="Times New Roman"/>
              </w:rPr>
              <w:t>-0.379</w:t>
            </w:r>
          </w:p>
        </w:tc>
        <w:tc>
          <w:tcPr>
            <w:tcW w:type="dxa" w:w="2160"/>
          </w:tcPr>
          <w:p>
            <w:r>
              <w:rPr>
                <w:rFonts w:ascii="Times New Roman" w:hAnsi="Times New Roman" w:eastAsia="Times New Roman"/>
              </w:rPr>
              <w:t>+1.150</w:t>
            </w:r>
          </w:p>
        </w:tc>
      </w:tr>
      <w:tr>
        <w:tc>
          <w:tcPr>
            <w:tcW w:type="dxa" w:w="2160"/>
          </w:tcPr>
          <w:p>
            <w:r>
              <w:rPr>
                <w:rFonts w:ascii="Times New Roman" w:hAnsi="Times New Roman" w:eastAsia="Times New Roman"/>
              </w:rPr>
              <w:t>PDIO_05</w:t>
            </w:r>
          </w:p>
        </w:tc>
        <w:tc>
          <w:tcPr>
            <w:tcW w:type="dxa" w:w="2160"/>
          </w:tcPr>
          <w:p>
            <w:r>
              <w:rPr>
                <w:rFonts w:ascii="Times New Roman" w:hAnsi="Times New Roman" w:eastAsia="Times New Roman"/>
              </w:rPr>
              <w:t>+0.540</w:t>
            </w:r>
          </w:p>
        </w:tc>
        <w:tc>
          <w:tcPr>
            <w:tcW w:type="dxa" w:w="2160"/>
          </w:tcPr>
          <w:p>
            <w:r>
              <w:rPr>
                <w:rFonts w:ascii="Times New Roman" w:hAnsi="Times New Roman" w:eastAsia="Times New Roman"/>
              </w:rPr>
              <w:t>-0.468</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PDIO_06</w:t>
            </w:r>
          </w:p>
        </w:tc>
        <w:tc>
          <w:tcPr>
            <w:tcW w:type="dxa" w:w="2160"/>
          </w:tcPr>
          <w:p>
            <w:r>
              <w:rPr>
                <w:rFonts w:ascii="Times New Roman" w:hAnsi="Times New Roman" w:eastAsia="Times New Roman"/>
              </w:rPr>
              <w:t>+0.371</w:t>
            </w:r>
          </w:p>
        </w:tc>
        <w:tc>
          <w:tcPr>
            <w:tcW w:type="dxa" w:w="2160"/>
          </w:tcPr>
          <w:p>
            <w:r>
              <w:rPr>
                <w:rFonts w:ascii="Times New Roman" w:hAnsi="Times New Roman" w:eastAsia="Times New Roman"/>
              </w:rPr>
              <w:t>-0.619</w:t>
            </w:r>
          </w:p>
        </w:tc>
        <w:tc>
          <w:tcPr>
            <w:tcW w:type="dxa" w:w="2160"/>
          </w:tcPr>
          <w:p>
            <w:r>
              <w:rPr>
                <w:rFonts w:ascii="Times New Roman" w:hAnsi="Times New Roman" w:eastAsia="Times New Roman"/>
              </w:rPr>
              <w:t>+1.540</w:t>
            </w:r>
          </w:p>
        </w:tc>
      </w:tr>
      <w:tr>
        <w:tc>
          <w:tcPr>
            <w:tcW w:type="dxa" w:w="2160"/>
          </w:tcPr>
          <w:p>
            <w:r>
              <w:rPr>
                <w:rFonts w:ascii="Times New Roman" w:hAnsi="Times New Roman" w:eastAsia="Times New Roman"/>
              </w:rPr>
              <w:t>PDIO_09</w:t>
            </w:r>
          </w:p>
        </w:tc>
        <w:tc>
          <w:tcPr>
            <w:tcW w:type="dxa" w:w="2160"/>
          </w:tcPr>
          <w:p>
            <w:r>
              <w:rPr>
                <w:rFonts w:ascii="Times New Roman" w:hAnsi="Times New Roman" w:eastAsia="Times New Roman"/>
              </w:rPr>
              <w:t>+0.201</w:t>
            </w:r>
          </w:p>
        </w:tc>
        <w:tc>
          <w:tcPr>
            <w:tcW w:type="dxa" w:w="2160"/>
          </w:tcPr>
          <w:p>
            <w:r>
              <w:rPr>
                <w:rFonts w:ascii="Times New Roman" w:hAnsi="Times New Roman" w:eastAsia="Times New Roman"/>
              </w:rPr>
              <w:t>-0.449</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PDIO_11</w:t>
            </w:r>
          </w:p>
        </w:tc>
        <w:tc>
          <w:tcPr>
            <w:tcW w:type="dxa" w:w="2160"/>
          </w:tcPr>
          <w:p>
            <w:r>
              <w:rPr>
                <w:rFonts w:ascii="Times New Roman" w:hAnsi="Times New Roman" w:eastAsia="Times New Roman"/>
              </w:rPr>
              <w:t>+0.366</w:t>
            </w:r>
          </w:p>
        </w:tc>
        <w:tc>
          <w:tcPr>
            <w:tcW w:type="dxa" w:w="2160"/>
          </w:tcPr>
          <w:p>
            <w:r>
              <w:rPr>
                <w:rFonts w:ascii="Times New Roman" w:hAnsi="Times New Roman" w:eastAsia="Times New Roman"/>
              </w:rPr>
              <w:t>-0.455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PDIO_12</w:t>
            </w:r>
          </w:p>
        </w:tc>
        <w:tc>
          <w:tcPr>
            <w:tcW w:type="dxa" w:w="2160"/>
          </w:tcPr>
          <w:p>
            <w:r>
              <w:rPr>
                <w:rFonts w:ascii="Times New Roman" w:hAnsi="Times New Roman" w:eastAsia="Times New Roman"/>
              </w:rPr>
              <w:t>+0.418</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+1.351</w:t>
            </w:r>
          </w:p>
        </w:tc>
      </w:tr>
      <w:tr>
        <w:tc>
          <w:tcPr>
            <w:tcW w:type="dxa" w:w="2160"/>
          </w:tcPr>
          <w:p>
            <w:r>
              <w:rPr>
                <w:rFonts w:ascii="Times New Roman" w:hAnsi="Times New Roman" w:eastAsia="Times New Roman"/>
              </w:rPr>
              <w:t>PDIO_13</w:t>
            </w:r>
          </w:p>
        </w:tc>
        <w:tc>
          <w:tcPr>
            <w:tcW w:type="dxa" w:w="2160"/>
          </w:tcPr>
          <w:p>
            <w:r>
              <w:rPr>
                <w:rFonts w:ascii="Times New Roman" w:hAnsi="Times New Roman" w:eastAsia="Times New Roman"/>
              </w:rPr>
              <w:t>+0.273</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+1.685</w:t>
            </w:r>
          </w:p>
        </w:tc>
      </w:tr>
      <w:tr>
        <w:tc>
          <w:tcPr>
            <w:tcW w:type="dxa" w:w="2160"/>
          </w:tcPr>
          <w:p>
            <w:r>
              <w:rPr>
                <w:rFonts w:ascii="Times New Roman" w:hAnsi="Times New Roman" w:eastAsia="Times New Roman"/>
              </w:rPr>
              <w:t>PDIO_14</w:t>
            </w:r>
          </w:p>
        </w:tc>
        <w:tc>
          <w:tcPr>
            <w:tcW w:type="dxa" w:w="2160"/>
          </w:tcPr>
          <w:p>
            <w:r>
              <w:rPr>
                <w:rFonts w:ascii="Times New Roman" w:hAnsi="Times New Roman" w:eastAsia="Times New Roman"/>
              </w:rPr>
              <w:t>-0.193</w:t>
            </w:r>
          </w:p>
        </w:tc>
        <w:tc>
          <w:tcPr>
            <w:tcW w:type="dxa" w:w="2160"/>
          </w:tcPr>
          <w:p>
            <w:r>
              <w:rPr>
                <w:rFonts w:ascii="Times New Roman" w:hAnsi="Times New Roman" w:eastAsia="Times New Roman"/>
              </w:rPr>
              <w:t>-0.969</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PDIO_15</w:t>
            </w:r>
          </w:p>
        </w:tc>
        <w:tc>
          <w:tcPr>
            <w:tcW w:type="dxa" w:w="2160"/>
          </w:tcPr>
          <w:p>
            <w:r>
              <w:rPr>
                <w:rFonts w:ascii="Times New Roman" w:hAnsi="Times New Roman" w:eastAsia="Times New Roman"/>
              </w:rPr>
              <w:t>+0.301</w:t>
            </w:r>
          </w:p>
        </w:tc>
        <w:tc>
          <w:tcPr>
            <w:tcW w:type="dxa" w:w="2160"/>
          </w:tcPr>
          <w:p>
            <w:r>
              <w:rPr>
                <w:rFonts w:ascii="Times New Roman" w:hAnsi="Times New Roman" w:eastAsia="Times New Roman"/>
              </w:rPr>
              <w:t>-1.025</w:t>
            </w:r>
          </w:p>
        </w:tc>
        <w:tc>
          <w:tcPr>
            <w:tcW w:type="dxa" w:w="2160"/>
          </w:tcPr>
          <w:p>
            <w:r>
              <w:rPr>
                <w:rFonts w:ascii="Times New Roman" w:hAnsi="Times New Roman" w:eastAsia="Times New Roman"/>
              </w:rPr>
              <w:t>+1.369</w:t>
            </w:r>
          </w:p>
        </w:tc>
      </w:tr>
      <w:tr>
        <w:tc>
          <w:tcPr>
            <w:tcW w:type="dxa" w:w="2160"/>
          </w:tcPr>
          <w:p>
            <w:r>
              <w:rPr>
                <w:rFonts w:ascii="Times New Roman" w:hAnsi="Times New Roman" w:eastAsia="Times New Roman"/>
              </w:rPr>
              <w:t>PDIO_16</w:t>
            </w:r>
          </w:p>
        </w:tc>
        <w:tc>
          <w:tcPr>
            <w:tcW w:type="dxa" w:w="2160"/>
          </w:tcPr>
          <w:p>
            <w:r>
              <w:rPr>
                <w:rFonts w:ascii="Times New Roman" w:hAnsi="Times New Roman" w:eastAsia="Times New Roman"/>
              </w:rPr>
              <w:t>-0.097</w:t>
            </w:r>
          </w:p>
        </w:tc>
        <w:tc>
          <w:tcPr>
            <w:tcW w:type="dxa" w:w="2160"/>
          </w:tcPr>
          <w:p>
            <w:r>
              <w:rPr>
                <w:rFonts w:ascii="Times New Roman" w:hAnsi="Times New Roman" w:eastAsia="Times New Roman"/>
              </w:rPr>
              <w:t>-1.328</w:t>
            </w:r>
          </w:p>
        </w:tc>
        <w:tc>
          <w:tcPr>
            <w:tcW w:type="dxa" w:w="2160"/>
          </w:tcPr>
          <w:p>
            <w:r>
              <w:rPr>
                <w:rFonts w:ascii="Times New Roman" w:hAnsi="Times New Roman" w:eastAsia="Times New Roman"/>
              </w:rPr>
              <w:t>+1.391</w:t>
            </w:r>
          </w:p>
        </w:tc>
      </w:tr>
      <w:tr>
        <w:tc>
          <w:tcPr>
            <w:tcW w:type="dxa" w:w="2160"/>
          </w:tcPr>
          <w:p>
            <w:r>
              <w:rPr>
                <w:rFonts w:ascii="Times New Roman" w:hAnsi="Times New Roman" w:eastAsia="Times New Roman"/>
              </w:rPr>
              <w:t>PDIO_18</w:t>
            </w:r>
          </w:p>
        </w:tc>
        <w:tc>
          <w:tcPr>
            <w:tcW w:type="dxa" w:w="2160"/>
          </w:tcPr>
          <w:p>
            <w:r>
              <w:rPr>
                <w:rFonts w:ascii="Times New Roman" w:hAnsi="Times New Roman" w:eastAsia="Times New Roman"/>
              </w:rPr>
              <w:t>-0.073</w:t>
            </w:r>
          </w:p>
        </w:tc>
        <w:tc>
          <w:tcPr>
            <w:tcW w:type="dxa" w:w="2160"/>
          </w:tcPr>
          <w:p>
            <w:r>
              <w:rPr>
                <w:rFonts w:ascii="Times New Roman" w:hAnsi="Times New Roman" w:eastAsia="Times New Roman"/>
              </w:rPr>
              <w:t>-0.967</w:t>
            </w:r>
          </w:p>
        </w:tc>
        <w:tc>
          <w:tcPr>
            <w:tcW w:type="dxa" w:w="2160"/>
          </w:tcPr>
          <w:p>
            <w:r>
              <w:rPr>
                <w:rFonts w:ascii="Times New Roman" w:hAnsi="Times New Roman" w:eastAsia="Times New Roman"/>
              </w:rPr>
              <w:t>+1.235</w:t>
            </w:r>
          </w:p>
        </w:tc>
      </w:tr>
    </w:tbl>
    <w:p>
      <w:pPr>
        <w:spacing w:after="120"/>
        <w:jc w:val="both"/>
      </w:pPr>
      <w:r>
        <w:rPr>
          <w:rFonts w:ascii="Times New Roman" w:hAnsi="Times New Roman" w:eastAsia="Times New Roman"/>
        </w:rPr>
        <w:t>Across donors, the equal-donor mean of observed positive-pair contrasts is +0.208; the adverse and favorable percentile scenarios span -0.745 to +1.362. No donor remains positive in the adverse scenario; all twelve are positive under the favorable one. Because zero lies in this conditional envelope, source-table endpoint observability alone cannot establish the direction of the full baseline-detected-population effect. These scenarios alter only the missing A1 values; they cannot address organoids absent at A0, incorrect track links, size-dependent area error or the failed zero-forskolin specificity test.</w:t>
      </w:r>
    </w:p>
    <w:p>
      <w:pPr>
        <w:spacing w:after="120"/>
        <w:jc w:val="both"/>
      </w:pPr>
      <w:r>
        <w:rPr>
          <w:rFonts w:ascii="Times New Roman" w:hAnsi="Times New Roman" w:eastAsia="Times New Roman"/>
        </w:rPr>
        <w:t>A less adversarial one-arm tipping exercise holds three missing cells at their observed medians and increases only the hypothetical small-treated missing log response. The equal-donor mean reaches zero after a +0.61 log-unit shift; this is a scenario threshold, not a fitted estimate of those missing responses. Its direction matters: greater swelling among missing treated-small objects raises the small-treatment effect and can erase the observed large-minus-small difference. The percentile envelope is broader because it permits all four cells to vary together. Neither calculation selects a correction to apply to clinical data.</w:t>
      </w:r>
    </w:p>
    <w:p>
      <w:pPr>
        <w:spacing w:after="120"/>
        <w:jc w:val="both"/>
      </w:pPr>
      <w:r>
        <w:rPr>
          <w:rFonts w:ascii="Times New Roman" w:hAnsi="Times New Roman" w:eastAsia="Times New Roman"/>
        </w:rPr>
        <w:t>The next discriminating measurement is not another threshold tuned to this accession. A new acquisition should enumerate all baseline objects before filtering, retain raw masks at both time points, identify fields/plates/donors, audit possible one-to-many tracks, and include positive, zero-forskolin and CFTR-inhibitor controls. Lock the size function, donor-level endpoint, missingness model and analysis plan before new outcomes are opened. Until then, the substantive result of the present pipeline is a quantified selection problem and a within-accession size association with failed companion gates, not a verified CFTR-specific size mechanism or a patient predictor.</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Secondary exploratory analyses II: segmentation benchmark and split integrity</w:t>
      </w:r>
    </w:p>
    <w:p>
      <w:pPr>
        <w:spacing w:after="120"/>
        <w:jc w:val="both"/>
      </w:pPr>
      <w:r>
        <w:rPr>
          <w:rFonts w:ascii="Times New Roman" w:hAnsi="Times New Roman" w:eastAsia="Times New Roman"/>
        </w:rPr>
        <w:t>Sections 4.5 through 4.5j are a secondary arm. Its benchmark-beat claim is withdrawn because repeated acquisition fields cross the splits; the arm is retained as an integrity case study and labeled exploratory.</w:t>
      </w:r>
    </w:p>
    <w:p>
      <w:pPr>
        <w:pStyle w:val="Heading2"/>
      </w:pPr>
      <w:r>
        <w:rPr>
          <w:rFonts w:ascii="Times New Roman" w:hAnsi="Times New Roman" w:eastAsia="Times New Roman"/>
        </w:rPr>
        <w:t>4.5 Segmentation benchmark</w:t>
      </w:r>
    </w:p>
    <w:p>
      <w:r>
        <w:rPr>
          <w:rFonts w:ascii="Times New Roman" w:hAnsi="Times New Roman" w:eastAsia="Times New Roman"/>
          <w:b/>
        </w:rPr>
        <w:t>Table 13.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14.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15.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4.5i Retrospective overlap-exclusion score audit</w:t>
      </w:r>
    </w:p>
    <w:p>
      <w:pPr>
        <w:spacing w:after="120"/>
        <w:jc w:val="both"/>
      </w:pPr>
      <w:r>
        <w:rPr>
          <w:rFonts w:ascii="Times New Roman" w:hAnsi="Times New Roman" w:eastAsia="Times New Roman"/>
        </w:rPr>
        <w:t>A further post-result audit asks the narrowest question still available from already-saved outputs: if the graph-flagged cross-split eval images are removed after all scores were viewed, what happens to the saved author-scorer mean? Exclusions come only from the existing image-only graph, never from outcome values. At thresholds 0.95 and 0.97 the flagged eval images are the train-overlapping 20210727_11562 file (AP50 0.87931) and the val-overlapping 20210727_26838 file (AP50 0.71053); removing them leaves 10 images with mean 0.754346, versus 0.761108 on all 12 and 0.729115 for the earlier v1 model on the same retained images. At 0.99 only the train-overlapping file is flagged, leaving 11 images at mean 0.750362. Seeded image-bootstrap intervals, [0.690968, 0.827025] and [0.692235, 0.816450], stay wide and include the rounded published 0.76. Protocol, input hashes and every retained and flagged score are in notes/postresult_scene_overlap_score_audit.md, scripts/audit_postresult_scene_overlap_score.py and results/postresult_scene_overlap_score_audit.json.</w:t>
      </w:r>
    </w:p>
    <w:p>
      <w:pPr>
        <w:spacing w:after="120"/>
        <w:jc w:val="both"/>
      </w:pPr>
      <w:r>
        <w:rPr>
          <w:rFonts w:ascii="Times New Roman" w:hAnsi="Times New Roman" w:eastAsia="Times New Roman"/>
        </w:rPr>
        <w:t>None of these subset means is a held-out benchmark score: the eval files, model and grid were all fixed and scored before the exclusion rule existed, unflagged files can still share acquisition sessions or donors, and no published author-model predictions exist for a paired comparison. The audit is reported because it removes a tempting misreading: even the most aggressive outcome-aware exclusion does not rescue the comparison, it lowers the retained mean below the rounded 0.76 point. The locked all-image v2 score stays exactly as recorded, the retained-subset numbers are diagnostics, and the requirement for a new group-disjoint acquisition cohort with paired author-baseline scoring is unchanged.</w:t>
      </w:r>
    </w:p>
    <w:p>
      <w:pPr>
        <w:pStyle w:val="Heading2"/>
      </w:pPr>
      <w:r>
        <w:rPr>
          <w:rFonts w:ascii="Times New Roman" w:hAnsi="Times New Roman" w:eastAsia="Times New Roman"/>
        </w:rPr>
        <w:t>4.5j Distinct mouse-intestinal detection transfer: negative</w:t>
      </w:r>
    </w:p>
    <w:p>
      <w:pPr>
        <w:spacing w:after="120"/>
        <w:jc w:val="both"/>
      </w:pPr>
      <w:r>
        <w:rPr>
          <w:rFonts w:ascii="Times New Roman" w:hAnsi="Times New Roman" w:eastAsia="Times New Roman"/>
        </w:rPr>
        <w:t>We tested the fixed human-organoid segmentation checkpoint on a different image and annotation domain, not as a repaired version of the original human mask benchmark. The Domènech-Moreno mouse-intestinal 4x EVOS release (Zenodo 6768583) contains 756 train and 84 released validation JPEGs with manually drawn YOLO object boxes across four morphology classes. Its 193.9 MB archive matches the source MD5. Before reading target scores we fixed the existing v2 U-Net weights and the original human-validation parameters, converted its instance masks to tight object boxes, collapsed the target classes into one object class and matched boxes once at IoU &gt;=0.5. Across all 84 validation images and 2,468 valid labeled boxes, there are 850 true positives, 911 false positives and 1,618 false negatives. Micro precision 0.483, recall 0.344, F1 0.402; mean per-image F1 0.340. One released zero-width annotation was recorded and excluded from the valid-box denominator. The source hashes, every image count, protocol and implementation are in results/postresult_mouse_yolo_domain.json, notes/postresult_mouse_yolo_domain_protocol.md and scripts/audit_mouse_yolo_domain.py.</w:t>
      </w:r>
    </w:p>
    <w:p>
      <w:pPr>
        <w:spacing w:after="120"/>
        <w:jc w:val="both"/>
      </w:pPr>
      <w:r>
        <w:rPr>
          <w:rFonts w:ascii="Times New Roman" w:hAnsi="Times New Roman" w:eastAsia="Times New Roman"/>
        </w:rPr>
        <w:t>This is an external-domain negative for the current model's ready-to-use object detection. The target is mouse rather than human, class-specific loose boxes rather than pixel instance masks, and a different microscope/field density, so box F1 cannot be compared with the OrgaSegment paper's human mask AP50 0.76. No published comparator's predictions on the same 84 images are in hand, so this is NOT a leading-tool benchmark. No exact image-hash duplicates occur across target train/validation or original human source, but thumbnail similarity flags possible related target acquisition fields and lacks donor/session metadata. Because no mouse images trained our U-Net, this issue does not explain the low transfer recall, but it prevents an independent mouse split claim. Visual review of example low- and higher-scoring target images showed substantial contrast and object-density differences without identifying the cause of false negatives. The result narrows tool deployment; it neither tests CFTR swelling biology nor alters the failed original donor sign and specificity gates.</w:t>
      </w:r>
    </w:p>
    <w:p>
      <w:pPr>
        <w:pStyle w:val="Heading2"/>
      </w:pPr>
      <w:r>
        <w:rPr>
          <w:rFonts w:ascii="Times New Roman" w:hAnsi="Times New Roman" w:eastAsia="Times New Roman"/>
        </w:rPr>
        <w:t>4.5k Candidate-scene-group-disjoint reassignment and its exploratory test</w:t>
      </w:r>
    </w:p>
    <w:p>
      <w:pPr>
        <w:spacing w:after="120"/>
        <w:jc w:val="both"/>
      </w:pPr>
      <w:r>
        <w:rPr>
          <w:rFonts w:ascii="Times New Roman" w:hAnsi="Times New Roman" w:eastAsia="Times New Roman"/>
        </w:rPr>
        <w:t>We made the image-based leakage diagnosis operational, while preserving the original result as history. Under the 27 September exploratory protocol (notes/prereg_group_disjoint_seg.md, commit b8e5132), an exact image hash or standardized 32-by-32 thumbnail cosine &gt;=0.95 joined images into candidate scene groups, including transitive links. Each group's reassignment followed the highest original priority eval &gt; val &gt; train. Five files moved, including one train file to eval and one val file to eval. The resulting 180/37/14 train/val/eval allocation includes all 231 released files exactly once and puts no graph component across splits (results/group_disjoint_seg_split.json, split implementation commit db30071). At cosine 0.97 and 0.99, the earlier forensic graph found 4 and 3 originally cross-split candidate groups, versus 5 at 0.95; these are descriptive threshold checks, not alternative assignments chosen by AP50. The 0.95 graph is a proxy: one flagged pair has visually different layouts and unflagged files can still share donors, wells or sessions. Without acquisition metadata, this reassignment cannot certify independence.</w:t>
      </w:r>
    </w:p>
    <w:p>
      <w:pPr>
        <w:spacing w:after="120"/>
        <w:jc w:val="both"/>
      </w:pPr>
      <w:r>
        <w:rPr>
          <w:rFonts w:ascii="Times New Roman" w:hAnsi="Times New Roman" w:eastAsia="Times New Roman"/>
        </w:rPr>
        <w:t>We freshly initialized the 3-class base-16 U-Net and trained on only the 180 reassigned train files, with no weights from the old v2 checkpoint. The frozen recipe used 512-pixel grayscale normalization, 256-pixel random crops, batch size two, weighted cross entropy 1/1/3, Adam at 0.002, seeded flips and rotations, and up to 60 epochs. The 37 reassigned validation files selected epoch 60 by lowest weighted cross entropy checked every five epochs (loss 0.077038895); their masks did not enter gradient updates. The checkpoint SHA256 is cc9f8ddfd07155854c8955ccd3089de777bd53fcf6131d0ef7aadb26142360f4. The old postprocessing grid was not rerun: script commit 6b23675 froze the code-default foreground/interior/boundary/minimum-size parameters [0.5, 0.6, 0.3, 20] before the first reassigned-eval score, as permitted by that protocol. Model checkpoint and full epoch history are retained under results/group_disjoint_seg/.</w:t>
      </w:r>
    </w:p>
    <w:p>
      <w:pPr>
        <w:spacing w:after="120"/>
        <w:jc w:val="both"/>
      </w:pPr>
      <w:r>
        <w:rPr>
          <w:rFonts w:ascii="Times New Roman" w:hAnsi="Times New Roman" w:eastAsia="Times New Roman"/>
        </w:rPr>
        <w:t>On the 14 reassigned eval images, the pinned OrgaSegment v1.0.1 author AP50 implementation gives mean 0.750403; our unique-mask-count implementation gives 0.751727. A seed-20260927 image bootstrap with 20,000 draws produces a conditional percentile interval [0.689349, 0.810722]. This includes the rounded published 0.76 and omits seed and donor/acquisition variance. The two scorers differ beyond float rounding on two images with missing ground-truth label IDs: the author scorer counts maximum instance label, while ours counts distinct labels. Neither metric is a head-to-head comparison with released Mask R-CNN predictions, which are unavailable here.</w:t>
      </w:r>
    </w:p>
    <w:p>
      <w:r>
        <w:rPr>
          <w:rFonts w:ascii="Times New Roman" w:hAnsi="Times New Roman" w:eastAsia="Times New Roman"/>
          <w:b/>
        </w:rPr>
        <w:t>Table 16. Candidate-group-disjoint exploratory reassignment: all 14 image scores, including the two moved-to-eval files. Full filenames, unique-count scores and mask-ID-gap accounting are in results/group_disjoint_seg/exploratory_eval.json.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eval 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TP</w:t>
            </w:r>
          </w:p>
        </w:tc>
        <w:tc>
          <w:tcPr>
            <w:tcW w:type="dxa" w:w="1728"/>
          </w:tcPr>
          <w:p>
            <w:r>
              <w:rPr>
                <w:rFonts w:ascii="Times New Roman" w:hAnsi="Times New Roman" w:eastAsia="Times New Roman"/>
              </w:rPr>
              <w:t>FP</w:t>
            </w:r>
          </w:p>
        </w:tc>
        <w:tc>
          <w:tcPr>
            <w:tcW w:type="dxa" w:w="1728"/>
          </w:tcPr>
          <w:p>
            <w:r>
              <w:rPr>
                <w:rFonts w:ascii="Times New Roman" w:hAnsi="Times New Roman" w:eastAsia="Times New Roman"/>
              </w:rPr>
              <w:t>FN</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68</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2</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0.583</w:t>
            </w:r>
          </w:p>
        </w:tc>
        <w:tc>
          <w:tcPr>
            <w:tcW w:type="dxa" w:w="1728"/>
          </w:tcPr>
          <w:p>
            <w:r>
              <w:rPr>
                <w:rFonts w:ascii="Times New Roman" w:hAnsi="Times New Roman" w:eastAsia="Times New Roman"/>
              </w:rPr>
              <w:t>49</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27</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0.811</w:t>
            </w:r>
          </w:p>
        </w:tc>
        <w:tc>
          <w:tcPr>
            <w:tcW w:type="dxa" w:w="1728"/>
          </w:tcPr>
          <w:p>
            <w:r>
              <w:rPr>
                <w:rFonts w:ascii="Times New Roman" w:hAnsi="Times New Roman" w:eastAsia="Times New Roman"/>
              </w:rPr>
              <w:t>43</w:t>
            </w:r>
          </w:p>
        </w:tc>
        <w:tc>
          <w:tcPr>
            <w:tcW w:type="dxa" w:w="1728"/>
          </w:tcPr>
          <w:p>
            <w:r>
              <w:rPr>
                <w:rFonts w:ascii="Times New Roman" w:hAnsi="Times New Roman" w:eastAsia="Times New Roman"/>
              </w:rPr>
              <w:t>9</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33</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0.895</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0.554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15</w:t>
            </w:r>
          </w:p>
        </w:tc>
        <w:tc>
          <w:tcPr>
            <w:tcW w:type="dxa" w:w="1728"/>
          </w:tcPr>
          <w:p>
            <w:r>
              <w:rPr>
                <w:rFonts w:ascii="Times New Roman" w:hAnsi="Times New Roman" w:eastAsia="Times New Roman"/>
              </w:rPr>
              <w:t>14</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0.724</w:t>
            </w:r>
          </w:p>
        </w:tc>
        <w:tc>
          <w:tcPr>
            <w:tcW w:type="dxa" w:w="1728"/>
          </w:tcPr>
          <w:p>
            <w:r>
              <w:rPr>
                <w:rFonts w:ascii="Times New Roman" w:hAnsi="Times New Roman" w:eastAsia="Times New Roman"/>
              </w:rPr>
              <w:t>126</w:t>
            </w:r>
          </w:p>
        </w:tc>
        <w:tc>
          <w:tcPr>
            <w:tcW w:type="dxa" w:w="1728"/>
          </w:tcPr>
          <w:p>
            <w:r>
              <w:rPr>
                <w:rFonts w:ascii="Times New Roman" w:hAnsi="Times New Roman" w:eastAsia="Times New Roman"/>
              </w:rPr>
              <w:t>25</w:t>
            </w:r>
          </w:p>
        </w:tc>
        <w:tc>
          <w:tcPr>
            <w:tcW w:type="dxa" w:w="1728"/>
          </w:tcPr>
          <w:p>
            <w:r>
              <w:rPr>
                <w:rFonts w:ascii="Times New Roman" w:hAnsi="Times New Roman" w:eastAsia="Times New Roman"/>
              </w:rPr>
              <w:t>23</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0.850</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0.632</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42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0.702</w:t>
            </w:r>
          </w:p>
        </w:tc>
        <w:tc>
          <w:tcPr>
            <w:tcW w:type="dxa" w:w="1728"/>
          </w:tcPr>
          <w:p>
            <w:r>
              <w:rPr>
                <w:rFonts w:ascii="Times New Roman" w:hAnsi="Times New Roman" w:eastAsia="Times New Roman"/>
              </w:rPr>
              <w:t>66</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9</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0.767</w:t>
            </w:r>
          </w:p>
        </w:tc>
        <w:tc>
          <w:tcPr>
            <w:tcW w:type="dxa" w:w="1728"/>
          </w:tcPr>
          <w:p>
            <w:r>
              <w:rPr>
                <w:rFonts w:ascii="Times New Roman" w:hAnsi="Times New Roman" w:eastAsia="Times New Roman"/>
              </w:rPr>
              <w:t>56</w:t>
            </w:r>
          </w:p>
        </w:tc>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0.705</w:t>
            </w:r>
          </w:p>
        </w:tc>
        <w:tc>
          <w:tcPr>
            <w:tcW w:type="dxa" w:w="1728"/>
          </w:tcPr>
          <w:p>
            <w:r>
              <w:rPr>
                <w:rFonts w:ascii="Times New Roman" w:hAnsi="Times New Roman" w:eastAsia="Times New Roman"/>
              </w:rPr>
              <w:t>55</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103</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45</w:t>
            </w:r>
          </w:p>
        </w:tc>
      </w:tr>
      <w:tr>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78</w:t>
            </w:r>
          </w:p>
        </w:tc>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9</w:t>
            </w:r>
          </w:p>
        </w:tc>
      </w:tr>
    </w:tbl>
    <w:p>
      <w:pPr>
        <w:spacing w:after="120"/>
        <w:jc w:val="both"/>
      </w:pPr>
      <w:r>
        <w:rPr>
          <w:rFonts w:ascii="Times New Roman" w:hAnsi="Times New Roman" w:eastAsia="Times New Roman"/>
        </w:rPr>
        <w:t>Failure analysis is heterogeneous rather than a single global threshold effect. The lowest-scoring images had author AP50 0.554 (36 TP, 15 FP, 14 FN) and 0.583 (49 TP, 8 FP, 27 FN); the highest reached 0.958 (68 TP, 1 FP, 2 FN). The two moved-to-eval images scored 0.850 and 0.767, but they were already available to prior analyses and cannot be called unseen. On the 12 original eval images shared with the old v2 report, a descriptive same-file paired mean change is -0.0204 AP50. This is not an isolated effect of leakage removal: weights, training membership, validation set, model selection and extraction parameters all changed. The original 0.761108 result and numerical threshold crossing remain archived; the new 0.750403 estimate is not a corrected benchmark score, an independent replication or proof that the old estimate was inflated by exactly their difference. The eval includes 10 singleton proxy groups and two two-image groups, but these are not verified independent donors or plates; the image-bootstrap interval ignores any hidden nesting. An untouched acquisition cohort with real donor/plate/field IDs and paired published-model predictions is still required for a leading-tool claim (notes/group_disjoint_eval_design_limits.md).</w:t>
      </w:r>
    </w:p>
    <w:p>
      <w:pPr>
        <w:pStyle w:val="Heading2"/>
      </w:pPr>
      <w:r>
        <w:rPr>
          <w:rFonts w:ascii="Times New Roman" w:hAnsi="Times New Roman" w:eastAsia="Times New Roman"/>
        </w:rPr>
        <w:t>4.5l Post-result candidate-scene-group uncertainty</w:t>
      </w:r>
    </w:p>
    <w:p>
      <w:pPr>
        <w:spacing w:after="120"/>
        <w:jc w:val="both"/>
      </w:pPr>
      <w:r>
        <w:rPr>
          <w:rFonts w:ascii="Times New Roman" w:hAnsi="Times New Roman" w:eastAsia="Times New Roman"/>
        </w:rPr>
        <w:t>The 14-image bootstrap in Section 4.5k resamples image files as if they were exchangeable. A post-result sensitivity instead resamples the frozen 0.95 thumbnail-graph components. The reassigned eval files form 12 candidate groups, 10 singletons and 2 two-image groups. Equal weighting by candidate group gives author AP50 0.741429; seed-20260927 bootstrap of 20,000 group-mean resamples gives a descriptive interval [0.675048, 0.809498]. The image-weighted mean is 0.750403 with image-bootstrap interval [0.689349, 0.810722]. Different point estimates reflect changing the weights of the two duplicated-proxy groups; this is not a controlled variance-only adjustment or an estimate of donor-level uncertainty.</w:t>
      </w:r>
    </w:p>
    <w:p>
      <w:pPr>
        <w:spacing w:after="120"/>
        <w:jc w:val="both"/>
      </w:pPr>
      <w:r>
        <w:rPr>
          <w:rFonts w:ascii="Times New Roman" w:hAnsi="Times New Roman" w:eastAsia="Times New Roman"/>
        </w:rPr>
        <w:t>This calculation was chosen and run after the AP50 outcomes were known (notes/postresult_group_cluster_uncertainty.md). The image-only graph can merge unrelated fields or miss common donors and plates, and both intervals omit uncertainty over training seeds and annotators. That the two intervals overlap 0.76 has no confirmatory role, because this evaluation was already seen and the published model was not run head-to-head. Full group memberships, scores and deterministic bootstrap implementation are in results/group_disjoint_seg/postresult_group_cluster_uncertainty.json and scripts/audit_group_cluster_uncertainty.py.</w:t>
      </w:r>
    </w:p>
    <w:p>
      <w:pPr>
        <w:pStyle w:val="Heading2"/>
      </w:pPr>
      <w:r>
        <w:rPr>
          <w:rFonts w:ascii="Times New Roman" w:hAnsi="Times New Roman" w:eastAsia="Times New Roman"/>
        </w:rPr>
        <w:t>4.5m Why the two AP50 implementations differ</w:t>
      </w:r>
    </w:p>
    <w:p>
      <w:pPr>
        <w:spacing w:after="120"/>
        <w:jc w:val="both"/>
      </w:pPr>
      <w:r>
        <w:rPr>
          <w:rFonts w:ascii="Times New Roman" w:hAnsi="Times New Roman" w:eastAsia="Times New Roman"/>
        </w:rPr>
        <w:t>The pinned released scorer reports mean 0.750403, while our alternate positive-label-count implementation reports 0.751727, a difference of +0.001324. A post-result ledger check found exactly 2 eval masks with a missing ground-truth label ID; these are the only images whose two AP50 values differ beyond 1e-6. The released function infers its ground-truth object count from the maximum label number, whereas ours counts positive IDs actually present. On the two affected images, the unique-count score is higher by +0.010654 and +0.007879; their author-scorer TP/FP/FN triples are [56, 14, 3] and [78, 13, 9]. This is a label-index denominator issue, not two biological or model predictions. The author-scored value remains the reported primary exploratory number for compatibility with the released protocol; neither scorer version supplies a paired released-model benchmark. The per-image audit and implementation are results/group_disjoint_seg/postresult_gt_id_gap_audit.json and scripts/audit_seg_gt_id_gap.py.</w:t>
      </w:r>
    </w:p>
    <w:p>
      <w:pPr>
        <w:pStyle w:val="Heading2"/>
      </w:pPr>
      <w:r>
        <w:rPr>
          <w:rFonts w:ascii="Times New Roman" w:hAnsi="Times New Roman" w:eastAsia="Times New Roman"/>
        </w:rPr>
        <w:t>Secondary exploratory analyses III: organoid-to-tissue fidelity across public transcriptomes</w:t>
      </w:r>
    </w:p>
    <w:p>
      <w:pPr>
        <w:spacing w:after="120"/>
        <w:jc w:val="both"/>
      </w:pPr>
      <w:r>
        <w:rPr>
          <w:rFonts w:ascii="Times New Roman" w:hAnsi="Times New Roman" w:eastAsia="Times New Roman"/>
        </w:rPr>
        <w:t>Sections 4.6 through 4.13 are off-question secondary analyses of organoid-to-tissue fidelity in public expression data, retained and labeled exploratory.</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17.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These series-level ranks were computed before the sample-level audit in Section 4.9. At this stage, the clean text-filtered subset appeared to match cultured fibroblasts often, and the working prediction was that a parenchymal-gene restriction would leave a fibroblast best-match share above 15% in that same text-filtered subset. That prediction is an internal same-series test, not a biological validation. We later checked sample metadata and found many series labeled as organoid-related do not contain organoid samples; Section 4.9 retracts the broad culture-fibroblast interpretation. The tool vorganoid fidelity produces a tissue-rank calculation, not a diagnosis or validated organoid-quality score.</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18.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These same-series tissue-rank shifts suggest cell-composition sensitivity, but mixed sample labels prevent a general organoid-specific correction claim. Removing the selected culture genes did not materially change this rank result. The internal text-filtered-subset prediction (fibroblast best-match share above 15% on parenchymal-only genes) was numerically met before the later sample-label audit: 28% [0.20, 0.37] and 22% [0.15, 0.29]. The lower bound of the second interval touches the threshold; more importantly, a threshold met on mixed samples cannot validate a general organoid phenomenon. The strict organoid-only reanalysis in Section 4.9 takes precedence over this earlier text-filtered aggregate. vorganoid fidelity --purity applies the gene restriction to a supplied count matrix without asserting clinical or biological calibration.</w:t>
      </w:r>
    </w:p>
    <w:p>
      <w:pPr>
        <w:pStyle w:val="Heading2"/>
      </w:pPr>
      <w:r>
        <w:rPr>
          <w:rFonts w:ascii="Times New Roman" w:hAnsi="Times New Roman" w:eastAsia="Times New Roman"/>
        </w:rPr>
        <w:t>4.8 What drives the text-filtered fibroblast rank pattern?</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19.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these mixed series profiles lack. Removing either family alone leaves the earlier text-filtered rank pattern in place (Sections 4.6-4.7), but the later strictly organoid-only audit in Section 4.9 overrides a general attractor claim. Restricting to 19,254 HGNC protein-coding genes also retains that text-filtered rank pattern (fibroblast best match 44% [0.35, 0.53] and 28% [0.20, 0.36]) in the text-filtered subset; non-coding genes alone do not explain that aggregate, but sample composition still can. A future proliferation/purity hypothesis would need organoid and matched primary tissue from the same donors, profiled together. It cannot be inferred as the mechanism from these mixed series.</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20.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21.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22.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23.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24.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45.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48.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49.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50.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52.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54.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55.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56.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