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Does Starting Organoid Size Modify the CFTR-Modulator Swelling Response? A Size-Aware, Missing-Data-Robust Computational Pipeline for Single-Organoid Response Analysis</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does starting organoid size modify the CFTR-modulator swelling response of single intestinal organoids after accounting for track attrition?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tracked organoids are not a random subset, because endpoint observability varies with starting size, treatment arm and local crowding. We quantify, with donor-clustered observability models, stratified neighbor analysis, track-retention tables and missing-endpoint bounds, how much of an apparent size contrast such structured attrition can create or hide. This size-aware, missing-data-robust pipeline is the part of the work other CFTR swelling studies can reuse.</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previously seen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does starting organoid size modify the CFTR-modulator swelling response of single intestinal organoids after accounting for track attrition?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but they were already available to prior analyses and cannot be called unseen.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this evaluation was already seen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48.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