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4.3g.1 Why eligibility and specificity cannot be reduced to the mixed-model p-value</w:t>
      </w:r>
    </w:p>
    <w:p>
      <w:pPr>
        <w:spacing w:after="120"/>
        <w:jc w:val="both"/>
      </w:pPr>
      <w:r>
        <w:rPr>
          <w:rFonts w:ascii="Times New Roman" w:hAnsi="Times New Roman" w:eastAsia="Times New Roman"/>
        </w:rPr>
        <w:t>The locked tests emphasize different functions of the same organoid measurements. The original donor x experiment x positive-forskolin dose analysis averages log swelling within each of four treatment-by-size cells, takes the treated-minus-DMSO difference in large cells minus that in small cells, then takes a median over eligible blocks within a donor. With a minimum of three measured objects in each of the four cells, 31 blocks from 12 donors qualify. Nine donor medians are positive. The exact one-sided sign p is 0.072998, and the predeclared H1 fails. A donor with five qualifying doses still supplies only one sign to this test, so repeated wells and organoids do not masquerade as extra patients. But the sign test intentionally discards how far a donor effect is from zero, treating a very small positive and a large positive alike. The later separately locked mixed model and donor sign flip retain magnitude, yielding a positive same-accession test. That does not make the sign-only failure a rounding issue: changing the statistic changes the sensitivity to heterogeneous effect sizes, and neither statistic can repair source selection or establish CFTR specificity (results/finding_blocked_size.md; results/size_lmm.json).</w:t>
      </w:r>
    </w:p>
    <w:p>
      <w:pPr>
        <w:spacing w:after="120"/>
        <w:jc w:val="both"/>
      </w:pPr>
      <w:r>
        <w:rPr>
          <w:rFonts w:ascii="Times New Roman" w:hAnsi="Times New Roman" w:eastAsia="Times New Roman"/>
        </w:rPr>
        <w:t>Eligibility is itself a measurement choice. Requiring all four cells to meet a minimum of five measured objects instead of three leaves 28 blocks but still twelve donors; only eight donor medians are positive and the one-sided p rises to 0.193848. Raising the minimum to ten leaves fifteen blocks and six donors, all with positive medians, yielding a nominal p of 0.015625. That apparently favorable six-of-six result violates the predeclared minimum of eight donors and selects out all three donors whose medians were nonpositive at the original three-object threshold. Twenty per cell retains only nine blocks and three donors. None of these secondary cutoffs can be chosen after the failed three-object test to claim an independent win. The stress check fixes the same treatment, dose, baseline size cutoffs and donor-median statistic, varying only this cell-count requirement; it demonstrates that who remains eligible changes the question. It does not tell whether selection comes from biology, image quality or plate layout (results/preregistration_block_eligibility_sensitivity.md; results/block_eligibility_sensitivity.json; results/finding_eligibility_composition.md).</w:t>
      </w:r>
    </w:p>
    <w:p>
      <w:pPr>
        <w:spacing w:after="120"/>
        <w:jc w:val="both"/>
      </w:pPr>
      <w:r>
        <w:rPr>
          <w:rFonts w:ascii="Times New Roman" w:hAnsi="Times New Roman" w:eastAsia="Times New Roman"/>
        </w:rPr>
        <w:t>The no-forskolin comparison addresses a different requirement: if a size-dependent contrast is claimed to reflect CFTR activation, does that contrast get more positive when forskolin is present than in paired unstimulated wells? The fixed diagnostic pairs zero and 0.128 micromolar forskolin within a donor and experiment, retaining only pairs with all four size-by-arm cells populated to the same minimum at both doses. Twenty-four experiments from eleven donors qualify; six of the seventeen source donors have no eligible paired experiment. Only three of the eleven donor-median positive-dose-minus-zero-dose differences are positive, exact one-sided p 0.967285. The frozen at-least-eight donor condition is met, but the directional specificity H1 fails. This does not prove CFTR modulation has no effect, because baseline maturation, pretreatment, image selection and response scale at zero dose can matter. It does mean the particular size interaction observed in selected positive-forskolin tracks cannot be promoted as CFTR-specific on the strength of the available paired control. Changing the dose or excluding donors after looking at that negative would shift the test rather than explain it (results/preregistration_zero_fsk_control.md; results/zero_fsk_control.json).</w:t>
      </w:r>
    </w:p>
    <w:p>
      <w:pPr>
        <w:spacing w:after="120"/>
        <w:jc w:val="both"/>
      </w:pPr>
      <w:r>
        <w:rPr>
          <w:rFonts w:ascii="Times New Roman" w:hAnsi="Times New Roman" w:eastAsia="Times New Roman"/>
        </w:rPr>
        <w:t>Even if the mixed-model interaction, exact donor sign flip and within-accession bootstrap were all positive, they would not jointly identify a population-level size law. The cell means are based on unequal numbers of measured objects, from three to 109 in the source robustness check, with a median of 31. A standard mixed-model likelihood on those means need not reflect the variable precision of every block-cell mean; its convergence confirms that the specified model was fit, not that its error distribution is biologically calibrated. The later twenty-percent trimmed-mean and ten-percent size-boundary perturbations are exploratory sensitivity analyses on the same records. They retain a positive average in the saved outputs, but their donor sign counts vary and no untouched donor set validates them. A donor bootstrap likewise resamples the twelve observed donors conditional on the already selected thresholds and observed endpoints; it cannot represent the missing A1 values, the six donors excluded from the paired specificity check, or an independent clinical population (results/measurement_invariance.json).</w:t>
      </w:r>
    </w:p>
    <w:p>
      <w:pPr>
        <w:spacing w:after="120"/>
        <w:jc w:val="both"/>
      </w:pPr>
      <w:r>
        <w:rPr>
          <w:rFonts w:ascii="Times New Roman" w:hAnsi="Times New Roman" w:eastAsia="Times New Roman"/>
        </w:rPr>
        <w:t>These choices clarify the prospective test rather than furnish another after-the-fact pass. A fresh multi-donor study would define the smallest and largest baseline-area regions before outcomes, a minimum per arm/size/dose cell that preserves a predeclared donor floor, and an analysis of donors that fail eligibility rather than silently dropping them. It would record both zero-forskolin and active-dose wells under the same plate and imaging rules, plus an inhibitor or genetic control if the biological mechanism is CFTR-specific. The primary donor-level estimand, mixed-model error structure and missing-track analysis would be specified together, so a positive size contrast could be weighed against its paired specificity check without switching thresholds. Raw masks and track IDs would adjudicate whether objects disappear because of detection or a biological response. None of that measurement was performed here. Current evidence is a conditional selected-track magnitude signal with a failed sign-only gate, failed dose-specificity gate and attrition that leaves the broader baseline-detected contrast unidentified.</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4.3w What the missing-outcome analysis identifies</w:t>
      </w:r>
    </w:p>
    <w:p>
      <w:pPr>
        <w:spacing w:after="120"/>
        <w:jc w:val="both"/>
      </w:pPr>
      <w:r>
        <w:rPr>
          <w:rFonts w:ascii="Times New Roman" w:hAnsi="Times New Roman" w:eastAsia="Times New Roman"/>
        </w:rPr>
        <w:t>The source denominator changes at three distinct steps, and a statement about one step must not be substituted for a statement about another. First, the DIS source contains baseline-detected objects with positive A0 in the original donor, experiment, dose, treatment and extreme-size cells. There are 6,964 such objects. Second, 4,964 have a positive finite A1 from which log(A1/A0) can be computed; the other 2,000 have no measured positive endpoint in these cells. Third, the analysis-ready derived table contains 4,776 of those positive pairs, excluding another 188. Cross-fit inclusion weights were calculated only for the third transition. They cannot, even in principle, estimate responses for the much larger second-step loss without additional assumptions about the unobserved A1 values. An object never detected at baseline has no A0 and lies outside even the first denominator. The three transitions are not three independent samples of patients or three biological stages; they are filters imposed by the source and analysis pipeline. Counts are checked against the exact source hash and cell ledger in results/postresult_attrition_model_limit.json.</w:t>
      </w:r>
    </w:p>
    <w:p>
      <w:pPr>
        <w:spacing w:after="120"/>
        <w:jc w:val="both"/>
      </w:pPr>
      <w:r>
        <w:rPr>
          <w:rFonts w:ascii="Times New Roman" w:hAnsi="Times New Roman" w:eastAsia="Times New Roman"/>
        </w:rPr>
        <w:t>The selected-track contrast and the full-baseline-detected contrast answer different questions. In a donor x experiment x dose block, define each of four arm-by-size means as the average log swelling among tracks whose endpoint is positive. The difference of differences, large treated minus large DMSO minus small treated plus small DMSO, is computable for the selected tracks. Replacing each cell mean with its mean over ALL baseline-detected objects asks for the unobserved log response in missing-endpoint rows. The source records a baseline size and an absent or nonpositive A1 for those rows, not a positive response value. No reweighting of the 4,776 derived rows can algebraically recover the latter estimand unless missingness is restricted by an untested model. Some absent values may correspond to technical linkage failure, segmentation below detection, objects leaving the field, or true nonpositive area; the tabular source does not distinguish these mechanisms. The distinction matters because the small cells lose more than half of their baseline-detected objects, whereas the large cells retain over four fifths. A tiny numerical difference after weighting the third transition says nothing about the missing half of the small cells.</w:t>
      </w:r>
    </w:p>
    <w:p>
      <w:pPr>
        <w:spacing w:after="120"/>
        <w:jc w:val="both"/>
      </w:pPr>
      <w:r>
        <w:rPr>
          <w:rFonts w:ascii="Times New Roman" w:hAnsi="Times New Roman" w:eastAsia="Times New Roman"/>
        </w:rPr>
        <w:t>A sign reversal is compatible with the recorded counts without contradicting any observed track. The conditional exercise in results/missing_endpoint_bounds.json leaves every positive-pair response unchanged and varies only the 2,000 absent endpoints within the observed 5th-to-95th-percentile interval of their own arm/size cell. For the original 31 blocks and 12 donors, the donor-equal contrast spans -0.745 to +1.362 log units under adverse and favorable assignments. These are not confidence limits and do not assert that missing responses actually occupy the selected-track central 90%; that is an imposed scenario. Nor does this range bound all logically possible responses outside those percentiles. Its role is an internal stress test: one quite explicit family of unverified endpoint assumptions changes the direction, so an observed positive-pair result cannot by itself establish the sign for the broader baseline-detected frame. A separate one-cell tipping scenario in results/missing_endpoint_tipping.json holds the other missing cells at their selected-track medians; it shows the direction of the assumption needed to cancel the positive contrast, not a fitted estimate of that assumption.</w:t>
      </w:r>
    </w:p>
    <w:p>
      <w:pPr>
        <w:spacing w:after="120"/>
        <w:jc w:val="both"/>
      </w:pPr>
      <w:r>
        <w:rPr>
          <w:rFonts w:ascii="Times New Roman" w:hAnsi="Times New Roman" w:eastAsia="Times New Roman"/>
        </w:rPr>
        <w:t>The baseline detector-score control is useful but addresses a different question. A model for whether baseline confidence exceeds a fixed cut can test whether the treatment-by-size structure is already visible in one recorded baseline quality measure. Its near-null interaction does not prove that endpoint ascertainment is exchangeable, because a single detector score is not an image-quality audit and neither future track-link errors nor absent A1 can be read from it. Similarly, the nearest-neighbor comparison holds image path, arm and size stratum fixed and finds a negative close-minus-far observability gradient across all twelve donor averages, but neighboring objects were not experimentally randomized. Image acquisition, local density and algorithmic track competition can jointly influence spacing and successful linkage. Source field paths may recur across acquisitions; they are not patient-independent units. These controls constrain simplistic explanations without identifying the cause of missingness or correcting the biological contrast (results/endpoint_observability.json; results/postresult_neighbor_stratified.json; results/postresult_neighbor_gradient_donor_influence.json).</w:t>
      </w:r>
    </w:p>
    <w:p>
      <w:pPr>
        <w:spacing w:after="120"/>
        <w:jc w:val="both"/>
      </w:pPr>
      <w:r>
        <w:rPr>
          <w:rFonts w:ascii="Times New Roman" w:hAnsi="Times New Roman" w:eastAsia="Times New Roman"/>
        </w:rPr>
        <w:t>The donor is the unit of the proposed biological claim. Thousands of objects in a small set of wells cannot substitute for independent donors or a second accession. The magnitude-aware model and exact donor sign flip test retain a positive same-accession result under their locked analysis, but the original sign-only result, zero-forskolin specificity test and matched plate-dose stress test fail. The donor-gap versus donor-swelling correlation also is descriptive, uses mismatched pooled-count and block-median estimators, and is unstable to donor omission; it cannot quantify how much of the measured size interaction is created by visibility. These tensions are not solved by choosing whichever estimator gives the lowest p-value. The missing-response envelope and the failed controls delimit the finding: a selected-track association and a reproducible way to expose unidentifiable endpoints, not an established CFTR-specific, donor-general or clinically predictive drug-by-size law.</w:t>
      </w:r>
    </w:p>
    <w:p>
      <w:pPr>
        <w:spacing w:after="120"/>
        <w:jc w:val="both"/>
      </w:pPr>
      <w:r>
        <w:rPr>
          <w:rFonts w:ascii="Times New Roman" w:hAnsi="Times New Roman" w:eastAsia="Times New Roman"/>
        </w:rPr>
        <w:t>An external test would need pre-specified donor-level selection and analysis rather than another within-accession threshold search. Before viewing new treatment outcomes, the study would fix what counts as a baseline object, a valid endpoint and a linked trajectory, the size cutoffs or continuous-size model, the treatment/dose windows, an analysis for the full baseline-detected denominator and a rule for losses. Raw baseline and endpoint images, masks, detector scores, track identifiers, field/plate labels and blinded manual review of disputed links would let investigators separate an imaging failure from a biological absence. Matching treated and DMSO wells by donor, experiment and dose avoids a change of composition masquerading as a size interaction; zero-forskolin and CFTR-inhibitor arms would challenge specificity. The planned primary claim would be evaluated in new donors with a sealed untouched cohort, while the present accession supplies only feasibility and failure-mode estimates. These requirements follow from the observed denominator and gate failures; they are proposed measurements, not completed validations.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4.5j.1 What a benchmark requires after the scene audit</w:t>
      </w:r>
    </w:p>
    <w:p>
      <w:pPr>
        <w:spacing w:after="120"/>
        <w:jc w:val="both"/>
      </w:pPr>
      <w:r>
        <w:rPr>
          <w:rFonts w:ascii="Times New Roman" w:hAnsi="Times New Roman" w:eastAsia="Times New Roman"/>
        </w:rPr>
        <w:t>The principal split problem is neither an identical-file copy nor a recalculation of AP50. The 231 released image and mask filenames can differ while depicting many of the same organoids in the same layout. A train/eval pair and two train/validation pairs were confirmed by pixels and aligned mask objects; exact image and mask SHA256 overlaps across splits were zero. A model trained on one frame can therefore encounter corresponding structures in a filename-distinct evaluation frame, and a validation-set grid can select postprocessing on material related to training. This does not quantify the amount by which a given AP50 was inflated: paired acquisitions also vary in contrast and annotation, and the model was not refit with every other factor held constant. It establishes that the needed unseen-acquisition premise did not hold for the nominal original split. Numerical crossing of 0.760000 by 0.001108 is preserved as arithmetic, while the inference that this is an independent benchmark improvement is withdrawn (results/seg_split_integrity_v2.json; results/scene_label_consistency.json; results/paired_scene_boundary_consistency.json).</w:t>
      </w:r>
    </w:p>
    <w:p>
      <w:pPr>
        <w:spacing w:after="120"/>
        <w:jc w:val="both"/>
      </w:pPr>
      <w:r>
        <w:rPr>
          <w:rFonts w:ascii="Times New Roman" w:hAnsi="Times New Roman" w:eastAsia="Times New Roman"/>
        </w:rPr>
        <w:t>Three distinct controls make the provenance diagnosis harder to dismiss and keep it within scope. First, SHA256 checks show no exact image or mask duplicate across the 184/35/12 original files; a simple file hash audit alone would have falsely reassured us. Second, standardized thumbnails identify candidate repeated scenes, and direct image inspection adjudicates their layout: the top train/eval pair, for example, reaches cosine 0.996584, while one weaker candidate near 0.95065 visibly contains a different arrangement. The similarity threshold is a scouting tool with false positives, not a certified source acquisition ID. Third, raw instance masks at the same coordinates share dozens of organoid matches in the three strongest pairs, while distinct-layout controls have zero matched objects. A label-ID gap in two later exploratory masks explains the difference between two implementations of the scoring denominator, but it does not explain away the repeated scenes. Those denominator discrepancies were recorded separately from the split-integrity question; the original threshold crossing used the pinned author scorer, not whichever version gave a higher value (results/group_disjoint_seg/postresult_gt_id_gap_audit.json).</w:t>
      </w:r>
    </w:p>
    <w:p>
      <w:pPr>
        <w:spacing w:after="120"/>
        <w:jc w:val="both"/>
      </w:pPr>
      <w:r>
        <w:rPr>
          <w:rFonts w:ascii="Times New Roman" w:hAnsi="Times New Roman" w:eastAsia="Times New Roman"/>
        </w:rPr>
        <w:t>The subsequent candidate-group reassignment is useful as a failure-mode test, not a cure. Grouping by a fixed image-similarity graph before the new fit places linked candidate components together, then reassigns 180 files to train, 37 to validation and 14 to evaluation. The new training starts fresh; the old v2 weights do not cross into it. Yet twelve of the 14 new eval filenames had already been scored in the original evaluation. The other two belonged to the original train/validation source and are linked to original-eval candidate scenes; moving them changes file allocation but does not manufacture an untouched acquisition cohort. The graph can also miss same-donor, same-plate or adjacent fields when they are visually dissimilar. Without metadata for donor, plate, well, time and acquisition, zero graph components crossing the new split is only a proxy condition. Its 0.750403 author-scorer mean and wide conditional image-bootstrap interval are exploratory diagnostics. They cannot be compared as an isolated estimate of leakage inflation against 0.761108 because training membership, checkpoint, selection and postprocessing all changed, and neither evaluation is a second independent cohort (results/group_disjoint_seg_split.json; results/group_disjoint_seg/exploratory_eval.json; results/group_disjoint_seg/postresult_samefile_delta.json).</w:t>
      </w:r>
    </w:p>
    <w:p>
      <w:pPr>
        <w:spacing w:after="120"/>
        <w:jc w:val="both"/>
      </w:pPr>
      <w:r>
        <w:rPr>
          <w:rFonts w:ascii="Times New Roman" w:hAnsi="Times New Roman" w:eastAsia="Times New Roman"/>
        </w:rPr>
        <w:t>Error analysis of that exploratory 14-image set finds several competing explanations rather than one selected cause. The median ground-truth instance count is 64.5; splitting at that fixed descriptive median after all outcomes were known gives seven low-count and seven high-count images. Mean author AP50 is 0.7820 versus 0.7188, and aggregated false-negative fractions are 0.0845 versus 0.2142. But the groups differ in morphology, illumination, crowding, acquired field and annotation count, and the two moved-to-eval files are both in the low-count group. The split was not a preregistered predictor test; the fourteen files are neither donor-independent nor an externally sourced replication. The observed association cannot prove density causes misses or justify a new image-specific threshold (results/group_disjoint_seg/postresult_object_density.json).</w:t>
      </w:r>
    </w:p>
    <w:p>
      <w:pPr>
        <w:spacing w:after="120"/>
        <w:jc w:val="both"/>
      </w:pPr>
      <w:r>
        <w:rPr>
          <w:rFonts w:ascii="Times New Roman" w:hAnsi="Times New Roman" w:eastAsia="Times New Roman"/>
        </w:rPr>
        <w:t>Changing the matching strictness from IoU 0.50 to 0.75 with the frozen checkpoint, image set and extraction parameters produces mean author AP75 0.569097, versus reproduced AP50 0.750403. Matching sums change from 901 TP, 152 FP and 187 FN at 0.50 to 738 TP, 315 FP and 350 FN at 0.75. These values show that exact overlap quality is a material axis of the saved predictions. They do not isolate whether borders, instance separation, source mask curation or image acquisition explains the difference. There is no released baseline model evaluated at AP75 on these exact files in this workflow. Reporting a strict-overlap decline is a useful diagnostic for what a paired comparator would need to test, not a new benchmark failure or gain (results/group_disjoint_seg/postresult_ap75_diagnostic.json).</w:t>
      </w:r>
    </w:p>
    <w:p>
      <w:pPr>
        <w:spacing w:after="120"/>
        <w:jc w:val="both"/>
      </w:pPr>
      <w:r>
        <w:rPr>
          <w:rFonts w:ascii="Times New Roman" w:hAnsi="Times New Roman" w:eastAsia="Times New Roman"/>
        </w:rPr>
        <w:t>A credible replacement comparison needs its unit of generalization specified before images or scores are opened. Acquisition metadata must group all views of one field and, where the intended use is across patients or sessions, hold entire donors or acquisition batches apart. Freeze the trained checkpoint, preprocessing and instance-extraction thresholds using training and validation groups only. Score an independent evaluation cohort once under the same released-author AP implementation, run the published model's predictions head-to-head on the identical images, and disclose per-image AP, matched object counts, grouping, uncertainty over groups and training seeds. It would remain necessary to distinguish a segmentation score from the downstream CFTR assay: even strong instance AP does not prove track identity, positive-endpoint ascertainment, donor-level size biology or clinical treatment prediction. None of these confirmatory conditions was completed for the original 12 or exploratory 14 known-source files.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4.5p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