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disjoint train/val segmentation v2 numerically passes the predeclared published AP50 threshold by a thin margin; it is not a statistically established or head-to-head state-of-the-art improvement.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Neither this thin threshold crossing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10.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11.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held-out 12-image eval split. Fine-tuning trained solely on 184 train images for 30 extra epochs with stronger augmentation and a lower learning rate; the checkpoint at epoch 30 minimized cross-entropy on the disjoint validation split. The unchanged 108-combination grid was scored only on the first 20 validation images. Grid index 41 selected [0.5, 0.5, 0.3, 40] at validation AP50 0.826061; selection was frozen at commit 7eaa46c17a610ac8173ad1194d992668403a6760 before one v2 held-out score.</w:t>
      </w:r>
    </w:p>
    <w:p>
      <w:pPr>
        <w:spacing w:after="120"/>
        <w:jc w:val="both"/>
      </w:pPr>
      <w:r>
        <w:rPr>
          <w:rFonts w:ascii="Times New Roman" w:hAnsi="Times New Roman" w:eastAsia="Times New Roman"/>
        </w:rPr>
        <w:t>The released author scorer (OrgaSegment v1.0.1 commit aeaec17c42fefde61a8b2215a616d419e8126e9f) gives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this does not prove a statistically significant, robust, or general state-of-the-art gain, and the model cannot be called the best virtual organoid in the world.</w:t>
      </w:r>
    </w:p>
    <w:p>
      <w:r>
        <w:rPr>
          <w:rFonts w:ascii="Times New Roman" w:hAnsi="Times New Roman" w:eastAsia="Times New Roman"/>
          <w:b/>
        </w:rPr>
        <w:t>Table 12. V2 single sealed author-scorer evaluation. Full image names, TP, FP, FN, and mask-ID-gap accounting: results/trainonly_seg/sealed_eval_v2.json. This is an eval comparison after frozen val selection, not additional validation data.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13.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14.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15.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16.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17.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18.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19.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clean v1 segmentation is below the published 0.76 average; frozen v2 numerically crosses it by 0.001108, with no head-to-head uncertainty or external replication.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20.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44.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46.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