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Does Starting Organoid Size Modify the CFTR-Modulator Swelling Response? A Size-Aware, Missing-Data-Robust Computational Pipeline for Single-Organoid Response Analysis</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does starting organoid size modify the CFTR-modulator swelling response of single intestinal organoids after accounting for track attrition?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tracked organoids are not a random subset, because endpoint observability varies with starting size, treatment arm and local crowding. We quantify, with donor-clustered observability models, stratified neighbor analysis, track-retention tables and missing-endpoint bounds, how much of an apparent size contrast such structured attrition can create or hide. This size-aware, missing-data-robust pipeline is the part of the work other CFTR swelling studies can reuse.</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previously seen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does starting organoid size modify the CFTR-modulator swelling response of single intestinal organoids after accounting for track attrition?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 (well-level ranking) and 4.3e below are off-question secondary analyses, retained for completeness and labeled exploratory.</w:t>
      </w:r>
    </w:p>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13.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14.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15.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16.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but they were already available to prior analyses and cannot be called unseen.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An untouched acquisition cohort with real donor/plate/field IDs and paired published-model predictions is still required for a leading-tool claim.</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17.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18.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19.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20.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21.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22.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23.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24.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48.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50.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52.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54.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