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Original negative audit (retained as historical result, superseded only where cited below). This working project tests whether baseline organoid size moderates CFTR-modulator swelling, using a donor-matched analysis and a swelling-geometry model. This is a testable candidate, NOT an established new biological discovery. Its stronger pre-registered donor x plate x dose check and a paired no-forskolin specificity test both failed to confirm the size-response hypothesis; this does not prove the absence of a size effect.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Original negative audit (retained; see updated benchmark and VO3-R2 result below). Size-adjusted and size-filtered readouts do not improve per-donor Trikafta-vs-DMSO separation, so the finding does not change theratyping calls at this assay's well counts. A pre-registered donor x plate x dose test is 9/12 positive (p=0.073), failing H1. A paired no-forskolin specificity stress test is 3/11 positive (p=0.967), also failing.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spacing w:after="120"/>
        <w:jc w:val="both"/>
      </w:pPr>
      <w:r>
        <w:rPr>
          <w:rFonts w:ascii="Times New Roman" w:hAnsi="Times New Roman" w:eastAsia="Times New Roman"/>
        </w:rPr>
        <w:t>Current status, 26 September 2026. A locked magnitude-aware donor-block reanalysis detects a positive treatment-by-size interaction in the same 12-donor accession (mixed-model and exact donor-level tests); the earlier sign-only and no-forskolin negative controls remain. A disjoint train/val v2 U-Net reaches author-scored held-out mean AP50 0.761108 against a published rounded 0.76 numerical gate on 12 images. The latter margin is only 0.001108, with no released model head-to-head or independent image set; it should not be read as demonstrated state-of-the-art superiority. Neither result establishes clinical utility or a universally general biological mechanism. See Sections 4.3f and 4.5c for frozen evidence and remaining gaps.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held-out 12-image eval split. Fine-tuning trained solely on 184 train images for 30 extra epochs with stronger augmentation and a lower learning rate; the checkpoint at epoch 30 minimized cross-entropy on the disjoint validation split. The unchanged 108-combination grid was scored only on the first 20 validation images. Grid index 41 selected [0.5, 0.5, 0.3, 40] at validation AP50 0.826061; selection was frozen at commit 7eaa46c17a610ac8173ad1194d992668403a6760 before one v2 held-out score.</w:t>
      </w:r>
    </w:p>
    <w:p>
      <w:pPr>
        <w:spacing w:after="120"/>
        <w:jc w:val="both"/>
      </w:pPr>
      <w:r>
        <w:rPr>
          <w:rFonts w:ascii="Times New Roman" w:hAnsi="Times New Roman" w:eastAsia="Times New Roman"/>
        </w:rPr>
        <w:t>The released author scorer (OrgaSegment v1.0.1 commit aeaec17c42fefde61a8b2215a616d419e8126e9f) gives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this does not prove a statistically significant, robust, or general state-of-the-art gain, and the model cannot be called the best virtual organoid in the world.</w:t>
      </w:r>
    </w:p>
    <w:p>
      <w:r>
        <w:rPr>
          <w:rFonts w:ascii="Times New Roman" w:hAnsi="Times New Roman" w:eastAsia="Times New Roman"/>
          <w:b/>
        </w:rPr>
        <w:t>Table 12. V2 single sealed author-scorer evaluation. Full image names, TP, FP, FN, and mask-ID-gap accounting: results/trainonly_seg/sealed_eval_v2.json. This is an eval comparison after frozen val selection, not additional validation data.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13.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14.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15.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16.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17.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18.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19.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20.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46.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