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nominally split-separated segmentation v2 crossed the published AP50 point estimate by a thin margin, but a later pixel-level audit found repeated fields of view across train, validation and evaluation files. We withdraw the independent benchmark-beat interpretation and require acquisition-group-separated retraining and new evaluation.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The apparent benchmark crossing is not an independent holdout result because repeated fields of view span splits. Neither it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A fifth recorded ChatGPT role-play critique suggested converting the observed leakage from an anecdote into a reproducible scene-group diagnostic. 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nominally clean v1 segmentation is below the published 0.76 average; frozen v2 numerically crosses it by 0.001108, but repeated fields of view cross train/val/eval boundaries. This is not an independent benchmark win.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