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an Exploratory Single-Organoid Re-Analysis and Negative Validation Tests</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Novelty status. This working project tests whether baseline organoid size moderates CFTR-modulator swelling, using a donor-matched analysis and a swelling-geometry model. This is a testable candidate, NOT an established new biological discovery. Its stronger pre-registered donor x plate x dose check and a paired no-forskolin specificity test both failed; the tested segmentation pipeline does not match the published benchmark; no diagnostic tool has been validated. The contribution is a transparent, reproducible analysis with negative controls, not an award or clinical claim.</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In this accession, estimated modulator-induced swelling is lower in the smallest tracked organoids and approaches a plateau across larger size bins; this is a post hoc descriptive curve, not a validated biological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simple uniform-area-noise artefact under the tested model; track-selection bias and source-specific confounding remain unbounded. Stronger matched-block and no-forskolin specificity tests fail, so this is neither donor-general nor CFTR-stimulation-specific evidence.</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A pre-registered donor x plate x dose test is 9/12 positive (p=0.073), failing H1. A paired no-forskolin specificity stress test is 3/11 positive (p=0.967), also failing. Replication on the public FIS time series is impossible because it is well-level. Our best U-Net segmentation (512 px, tuned) reaches mAP@0.5 = 0.733 +/- 0.129 on the OrgaSegment eval split (published 0.76 +/- 0.12): below the reported reference. A separate train-only, validation-only pipeline also fails (0.73867 by the published AP scorer). Neither score establishes a match, superiority, or clinical use.</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10.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disjoint validation images, 12 evaluation images untouched until final selection.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train/val overlap, but it is not a novel model breakthrough or a benchmark match. Per-image TP/FP/FN and both AP versions are preserved in results/trainonly_seg/sealed_eval.json; selection frozen before eval at commit 120f944.</w:t>
      </w:r>
    </w:p>
    <w:p>
      <w:r>
        <w:rPr>
          <w:rFonts w:ascii="Times New Roman" w:hAnsi="Times New Roman" w:eastAsia="Times New Roman"/>
          <w:b/>
        </w:rPr>
        <w:t>Table 11.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12.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13.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14.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15.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16.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17.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18.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the 20-patient triple-vs-double ranking passes, but the separate VTI-vs-ETI ranking fails (6/9, p=0.254).</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plate-and-dose-matched donor sign test fails at alpha 0.05, so we do not establish a reliable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a sign-test p&lt;0.05.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may affect single-organoid readouts, but size correction did not improve per-donor discrimination. A lab comparing assays across passages may record its starting-size distribution as a quality-control variable; no clinical adjustment is recommended from these data.</w:t>
      </w:r>
    </w:p>
    <w:p>
      <w:pPr>
        <w:spacing w:after="120"/>
        <w:jc w:val="both"/>
      </w:pPr>
      <w:r>
        <w:rPr>
          <w:rFonts w:ascii="Times New Roman" w:hAnsi="Times New Roman" w:eastAsia="Times New Roman"/>
        </w:rPr>
        <w:t>Novelty remains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19.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20.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21.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43.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