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165 primary GEO/ArrayExpress accessions (including GSE108291) used for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rPr>
          <w:rFonts w:ascii="Times New Roman" w:hAnsi="Times New Roman" w:eastAsia="Times New Roman"/>
        </w:rPr>
        <w:t>Practical note. Well-level FIS readouts depend on the size mix. Labs comparing drug response across passages or sites should report the starting-size distribution.</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12. Tools genuinely used (results/tools_ledger.csv): 42 entries, 35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