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Four distinct assay/image datasets shown here; the committed accession ledger now has 167 primary entries, including one independent FIS demo plate and one 20-patient FIS accession each counted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independent well-level treatment-ranking test; no individual organoid areas in this accession.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n plate-dose blocks</w:t>
            </w:r>
          </w:p>
        </w:tc>
        <w:tc>
          <w:tcPr>
            <w:tcW w:type="dxa" w:w="2880"/>
          </w:tcPr>
          <w:p>
            <w:r>
              <w:rPr>
                <w:rFonts w:ascii="Times New Roman" w:hAnsi="Times New Roman" w:eastAsia="Times New Roman"/>
              </w:rPr>
              <w:t>normalized triple-double AUC</w:t>
            </w:r>
          </w:p>
        </w:tc>
      </w:tr>
      <w:tr>
        <w:tc>
          <w:tcPr>
            <w:tcW w:type="dxa" w:w="2880"/>
          </w:tcPr>
          <w:p>
            <w:r>
              <w:rPr>
                <w:rFonts w:ascii="Times New Roman" w:hAnsi="Times New Roman" w:eastAsia="Times New Roman"/>
              </w:rPr>
              <w:t>04-CF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+0.240</w:t>
            </w:r>
          </w:p>
        </w:tc>
      </w:tr>
      <w:tr>
        <w:tc>
          <w:tcPr>
            <w:tcW w:type="dxa" w:w="2880"/>
          </w:tcPr>
          <w:p>
            <w:r>
              <w:rPr>
                <w:rFonts w:ascii="Times New Roman" w:hAnsi="Times New Roman" w:eastAsia="Times New Roman"/>
              </w:rPr>
              <w:t>05-CF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+0.244</w:t>
            </w:r>
          </w:p>
        </w:tc>
      </w:tr>
      <w:tr>
        <w:tc>
          <w:tcPr>
            <w:tcW w:type="dxa" w:w="2880"/>
          </w:tcPr>
          <w:p>
            <w:r>
              <w:rPr>
                <w:rFonts w:ascii="Times New Roman" w:hAnsi="Times New Roman" w:eastAsia="Times New Roman"/>
              </w:rPr>
              <w:t>10-CF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+0.250</w:t>
            </w:r>
          </w:p>
        </w:tc>
      </w:tr>
      <w:tr>
        <w:tc>
          <w:tcPr>
            <w:tcW w:type="dxa" w:w="2880"/>
          </w:tcPr>
          <w:p>
            <w:r>
              <w:rPr>
                <w:rFonts w:ascii="Times New Roman" w:hAnsi="Times New Roman" w:eastAsia="Times New Roman"/>
              </w:rPr>
              <w:t>20-CF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+0.153</w:t>
            </w:r>
          </w:p>
        </w:tc>
      </w:tr>
      <w:tr>
        <w:tc>
          <w:tcPr>
            <w:tcW w:type="dxa" w:w="2880"/>
          </w:tcPr>
          <w:p>
            <w:r>
              <w:rPr>
                <w:rFonts w:ascii="Times New Roman" w:hAnsi="Times New Roman" w:eastAsia="Times New Roman"/>
              </w:rPr>
              <w:t>21-CF</w:t>
            </w:r>
          </w:p>
        </w:tc>
        <w:tc>
          <w:tcPr>
            <w:tcW w:type="dxa" w:w="2880"/>
          </w:tcPr>
          <w:p>
            <w:r>
              <w:rPr>
                <w:rFonts w:ascii="Times New Roman" w:hAnsi="Times New Roman" w:eastAsia="Times New Roman"/>
              </w:rPr>
              <w:t>23</w:t>
            </w:r>
          </w:p>
        </w:tc>
        <w:tc>
          <w:tcPr>
            <w:tcW w:type="dxa" w:w="2880"/>
          </w:tcPr>
          <w:p>
            <w:r>
              <w:rPr>
                <w:rFonts w:ascii="Times New Roman" w:hAnsi="Times New Roman" w:eastAsia="Times New Roman"/>
              </w:rPr>
              <w:t>+0.253</w:t>
            </w:r>
          </w:p>
        </w:tc>
      </w:tr>
      <w:tr>
        <w:tc>
          <w:tcPr>
            <w:tcW w:type="dxa" w:w="2880"/>
          </w:tcPr>
          <w:p>
            <w:r>
              <w:rPr>
                <w:rFonts w:ascii="Times New Roman" w:hAnsi="Times New Roman" w:eastAsia="Times New Roman"/>
              </w:rPr>
              <w:t>22-CF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+0.216</w:t>
            </w:r>
          </w:p>
        </w:tc>
      </w:tr>
      <w:tr>
        <w:tc>
          <w:tcPr>
            <w:tcW w:type="dxa" w:w="2880"/>
          </w:tcPr>
          <w:p>
            <w:r>
              <w:rPr>
                <w:rFonts w:ascii="Times New Roman" w:hAnsi="Times New Roman" w:eastAsia="Times New Roman"/>
              </w:rPr>
              <w:t>41-CF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+0.328</w:t>
            </w:r>
          </w:p>
        </w:tc>
      </w:tr>
      <w:tr>
        <w:tc>
          <w:tcPr>
            <w:tcW w:type="dxa" w:w="2880"/>
          </w:tcPr>
          <w:p>
            <w:r>
              <w:rPr>
                <w:rFonts w:ascii="Times New Roman" w:hAnsi="Times New Roman" w:eastAsia="Times New Roman"/>
              </w:rPr>
              <w:t>47-CF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+0.300</w:t>
            </w:r>
          </w:p>
        </w:tc>
      </w:tr>
      <w:tr>
        <w:tc>
          <w:tcPr>
            <w:tcW w:type="dxa" w:w="2880"/>
          </w:tcPr>
          <w:p>
            <w:r>
              <w:rPr>
                <w:rFonts w:ascii="Times New Roman" w:hAnsi="Times New Roman" w:eastAsia="Times New Roman"/>
              </w:rPr>
              <w:t>57-CF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+0.275</w:t>
            </w:r>
          </w:p>
        </w:tc>
      </w:tr>
      <w:tr>
        <w:tc>
          <w:tcPr>
            <w:tcW w:type="dxa" w:w="2880"/>
          </w:tcPr>
          <w:p>
            <w:r>
              <w:rPr>
                <w:rFonts w:ascii="Times New Roman" w:hAnsi="Times New Roman" w:eastAsia="Times New Roman"/>
              </w:rPr>
              <w:t>58-CF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+0.019</w:t>
            </w:r>
          </w:p>
        </w:tc>
      </w:tr>
      <w:tr>
        <w:tc>
          <w:tcPr>
            <w:tcW w:type="dxa" w:w="2880"/>
          </w:tcPr>
          <w:p>
            <w:r>
              <w:rPr>
                <w:rFonts w:ascii="Times New Roman" w:hAnsi="Times New Roman" w:eastAsia="Times New Roman"/>
              </w:rPr>
              <w:t>59-CF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+0.374</w:t>
            </w:r>
          </w:p>
        </w:tc>
      </w:tr>
      <w:tr>
        <w:tc>
          <w:tcPr>
            <w:tcW w:type="dxa" w:w="2880"/>
          </w:tcPr>
          <w:p>
            <w:r>
              <w:rPr>
                <w:rFonts w:ascii="Times New Roman" w:hAnsi="Times New Roman" w:eastAsia="Times New Roman"/>
              </w:rPr>
              <w:t>60-CF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+0.285</w:t>
            </w:r>
          </w:p>
        </w:tc>
      </w:tr>
      <w:tr>
        <w:tc>
          <w:tcPr>
            <w:tcW w:type="dxa" w:w="2880"/>
          </w:tcPr>
          <w:p>
            <w:r>
              <w:rPr>
                <w:rFonts w:ascii="Times New Roman" w:hAnsi="Times New Roman" w:eastAsia="Times New Roman"/>
              </w:rPr>
              <w:t>61-CF</w:t>
            </w:r>
          </w:p>
        </w:tc>
        <w:tc>
          <w:tcPr>
            <w:tcW w:type="dxa" w:w="2880"/>
          </w:tcPr>
          <w:p>
            <w:r>
              <w:rPr>
                <w:rFonts w:ascii="Times New Roman" w:hAnsi="Times New Roman" w:eastAsia="Times New Roman"/>
              </w:rPr>
              <w:t>8</w:t>
            </w:r>
          </w:p>
        </w:tc>
        <w:tc>
          <w:tcPr>
            <w:tcW w:type="dxa" w:w="2880"/>
          </w:tcPr>
          <w:p>
            <w:r>
              <w:rPr>
                <w:rFonts w:ascii="Times New Roman" w:hAnsi="Times New Roman" w:eastAsia="Times New Roman"/>
              </w:rPr>
              <w:t>+0.207</w:t>
            </w:r>
          </w:p>
        </w:tc>
      </w:tr>
      <w:tr>
        <w:tc>
          <w:tcPr>
            <w:tcW w:type="dxa" w:w="2880"/>
          </w:tcPr>
          <w:p>
            <w:r>
              <w:rPr>
                <w:rFonts w:ascii="Times New Roman" w:hAnsi="Times New Roman" w:eastAsia="Times New Roman"/>
              </w:rPr>
              <w:t>62-CF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+0.246</w:t>
            </w:r>
          </w:p>
        </w:tc>
      </w:tr>
      <w:tr>
        <w:tc>
          <w:tcPr>
            <w:tcW w:type="dxa" w:w="2880"/>
          </w:tcPr>
          <w:p>
            <w:r>
              <w:rPr>
                <w:rFonts w:ascii="Times New Roman" w:hAnsi="Times New Roman" w:eastAsia="Times New Roman"/>
              </w:rPr>
              <w:t>63-CF</w:t>
            </w:r>
          </w:p>
        </w:tc>
        <w:tc>
          <w:tcPr>
            <w:tcW w:type="dxa" w:w="2880"/>
          </w:tcPr>
          <w:p>
            <w:r>
              <w:rPr>
                <w:rFonts w:ascii="Times New Roman" w:hAnsi="Times New Roman" w:eastAsia="Times New Roman"/>
              </w:rPr>
              <w:t>8</w:t>
            </w:r>
          </w:p>
        </w:tc>
        <w:tc>
          <w:tcPr>
            <w:tcW w:type="dxa" w:w="2880"/>
          </w:tcPr>
          <w:p>
            <w:r>
              <w:rPr>
                <w:rFonts w:ascii="Times New Roman" w:hAnsi="Times New Roman" w:eastAsia="Times New Roman"/>
              </w:rPr>
              <w:t>+0.108</w:t>
            </w:r>
          </w:p>
        </w:tc>
      </w:tr>
      <w:tr>
        <w:tc>
          <w:tcPr>
            <w:tcW w:type="dxa" w:w="2880"/>
          </w:tcPr>
          <w:p>
            <w:r>
              <w:rPr>
                <w:rFonts w:ascii="Times New Roman" w:hAnsi="Times New Roman" w:eastAsia="Times New Roman"/>
              </w:rPr>
              <w:t>64-CF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+0.264</w:t>
            </w:r>
          </w:p>
        </w:tc>
      </w:tr>
      <w:tr>
        <w:tc>
          <w:tcPr>
            <w:tcW w:type="dxa" w:w="2880"/>
          </w:tcPr>
          <w:p>
            <w:r>
              <w:rPr>
                <w:rFonts w:ascii="Times New Roman" w:hAnsi="Times New Roman" w:eastAsia="Times New Roman"/>
              </w:rPr>
              <w:t>65-CF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+0.247</w:t>
            </w:r>
          </w:p>
        </w:tc>
      </w:tr>
      <w:tr>
        <w:tc>
          <w:tcPr>
            <w:tcW w:type="dxa" w:w="2880"/>
          </w:tcPr>
          <w:p>
            <w:r>
              <w:rPr>
                <w:rFonts w:ascii="Times New Roman" w:hAnsi="Times New Roman" w:eastAsia="Times New Roman"/>
              </w:rPr>
              <w:t>66-CF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+0.295</w:t>
            </w:r>
          </w:p>
        </w:tc>
      </w:tr>
      <w:tr>
        <w:tc>
          <w:tcPr>
            <w:tcW w:type="dxa" w:w="2880"/>
          </w:tcPr>
          <w:p>
            <w:r>
              <w:rPr>
                <w:rFonts w:ascii="Times New Roman" w:hAnsi="Times New Roman" w:eastAsia="Times New Roman"/>
              </w:rPr>
              <w:t>68-CF</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+0.283</w:t>
            </w:r>
          </w:p>
        </w:tc>
      </w:tr>
      <w:tr>
        <w:tc>
          <w:tcPr>
            <w:tcW w:type="dxa" w:w="2880"/>
          </w:tcPr>
          <w:p>
            <w:r>
              <w:rPr>
                <w:rFonts w:ascii="Times New Roman" w:hAnsi="Times New Roman" w:eastAsia="Times New Roman"/>
              </w:rPr>
              <w:t>69-CF</w:t>
            </w:r>
          </w:p>
        </w:tc>
        <w:tc>
          <w:tcPr>
            <w:tcW w:type="dxa" w:w="2880"/>
          </w:tcPr>
          <w:p>
            <w:r>
              <w:rPr>
                <w:rFonts w:ascii="Times New Roman" w:hAnsi="Times New Roman" w:eastAsia="Times New Roman"/>
              </w:rPr>
              <w:t>8</w:t>
            </w:r>
          </w:p>
        </w:tc>
        <w:tc>
          <w:tcPr>
            <w:tcW w:type="dxa" w:w="2880"/>
          </w:tcPr>
          <w:p>
            <w:r>
              <w:rPr>
                <w:rFonts w:ascii="Times New Roman" w:hAnsi="Times New Roman" w:eastAsia="Times New Roman"/>
              </w:rPr>
              <w:t>+0.172</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7.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8.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9.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10.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11.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12.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13.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14.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its separate 20-patient treatment-ranking test passes but cannot resolve individual-size moderation.</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15.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