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Current interpretation. A preregistered donor-block reanalysis with a locked pre-scoring amendment supports a positive treatment-by-starting-size interaction within the same public accession. The original sign-only matched-block and no-forskolin specificity tests remain negative. This does not establish independent replication, a CFTR-specific mechanism, or a patient-level diagnostic. A nominally split-separated segmentation v2 crossed the published AP50 point estimate by a thin margin, but a later pixel-level audit found repeated fields of view across train, validation and evaluation files. We withdraw the independent benchmark-beat interpretation and require acquisition-group-separated retraining and new evaluation. Detailed gates and caveats are in Sections 4.3f and 4.5c.</w:t>
      </w:r>
    </w:p>
    <w:p>
      <w:pPr>
        <w:spacing w:after="120"/>
        <w:jc w:val="both"/>
      </w:pPr>
      <w:r>
        <w:rPr>
          <w:rFonts w:ascii="Times New Roman" w:hAnsi="Times New Roman" w:eastAsia="Times New Roman"/>
        </w:rPr>
        <w:t>The forskolin-induced swelling (FIS) assay on patient-derived intestinal organoids has been studied as an in-vitro guide to CFTR-modulator response; this work does not establish a patient-level predictor.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Stronger matched-block and no-forskolin specificity tests fail, so this is neither donor-general nor CFTR-stimulation-specific evidence.</w:t>
      </w:r>
    </w:p>
    <w:p>
      <w:pPr>
        <w:spacing w:after="120"/>
        <w:jc w:val="both"/>
      </w:pPr>
      <w:r>
        <w:rPr>
          <w:rFonts w:ascii="Times New Roman" w:hAnsi="Times New Roman" w:eastAsia="Times New Roman"/>
        </w:rPr>
        <w:t>Preserved negatives and subsequent checks. The first sign-only donor-block H1 was 9/12 positive (p=0.073), failing its gate; a paired zero-forskolin specificity H1 was 3/11 positive (p=0.967), also failing. Size correction did not improve per-donor separation. A later, differently preregistered magnitude-aware exact donor sign-flip and mixed model both met their locked positive-direction thresholds within this accession. The clean train-only first U-Net failed at author-scored AP50 0.73867; a separately fine-tuned, pre-frozen v2 reached 0.761108 versus the published rounded 0.76. The apparent benchmark crossing is not an independent holdout result because repeated fields of view span splits. Neither it nor the size reanalysis establishes clinical utility or a universal biological mechanism.</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public analyzed CSV contains A0, A1, donor, experiment, well, condition and dose, but not raw segmentation masks, excluded tracks, confidence scores or per-frame missingness. We cannot erode/dilate masks, measure selective retention, or validate manual area from it. A genuinely new donor cohort with raw tracks and masks, locked size cutoffs and a blinded manual subset is required for a biological measurement-invariance claim. The earlier zero-forskolin specificity negative remains a separate counterexample to a CFTR-specific mechanism. A future image-acquisition shift test must use new labeled images rather than retuning the 12-image sealed benchmark.</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Earlier nominally clean v1 segmentation is below the published 0.76 average; frozen v2 numerically crosses it by 0.001108, but repeated fields of view cross train/val/eval boundaries. This is not an independent benchmark win.</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