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4.6 New-source eligibility without new outcome scoring</w:t>
      </w:r>
    </w:p>
    <w:p>
      <w:pPr>
        <w:spacing w:after="120"/>
        <w:jc w:val="both"/>
      </w:pPr>
      <w:r>
        <w:rPr>
          <w:rFonts w:ascii="Times New Roman" w:hAnsi="Times New Roman" w:eastAsia="Times New Roman"/>
        </w:rPr>
        <w:t>The 28 September eligibility protocols were frozen before a new object-level assay or segmentation mask was scored (results/preregistration_external_object_cohort_20260928.md and results/preregistration_independent_seg_benchmark_20260928.md). The earlier source audit distinguishes biological treatment similarity from raw-object usability. Drevinek's independent twenty-patient intestinal study publishes well-level area trajectories; a new patient count alone cannot validate the initial-size interaction if the individual baseline object cannot be joined to its endpoint. Berical et al. supply prior art for single-airway-spheroid swelling, but the public figure workbook does not link an individual spheroid's baseline area to a donor-matched modulator and vehicle response. A respiratory FIS dataset screened out small baseline objects and lacks the matched modulator-versus-DMSO contrast. These are explicit exclusion reasons for this question, not adverse results for those studies. The updated ledger is results/new_source_eligibility_screen_20260928.md, with the earlier source audit retained.</w:t>
      </w:r>
    </w:p>
    <w:p>
      <w:pPr>
        <w:spacing w:after="120"/>
        <w:jc w:val="both"/>
      </w:pPr>
      <w:r>
        <w:rPr>
          <w:rFonts w:ascii="Times New Roman" w:hAnsi="Times New Roman" w:eastAsia="Times New Roman"/>
        </w:rPr>
        <w:t>The source requirements are intentionally conjunctive. A multi-donor table without persistent object IDs cannot estimate the same object's baseline-to-endpoint log swelling. An object table without matched drug, vehicle and zero-forskolin conditions cannot retest the failed specificity contrast. Repeated wells within one patient cannot replace an independent donor unit, and two deposits of the same study cannot be counted as two cohorts. The released examples do not yet satisfy these conditions together. We therefore report no new effect size, donor sign count or specificity p-value. In particular the original 9-of-12 donor sign failure and 3-of-11 zero-forskolin failure remain the preregistered findings, regardless of later same-accession magnitude-aware analyses.</w:t>
      </w:r>
    </w:p>
    <w:p>
      <w:pPr>
        <w:spacing w:after="120"/>
        <w:jc w:val="both"/>
      </w:pPr>
      <w:r>
        <w:rPr>
          <w:rFonts w:ascii="Times New Roman" w:hAnsi="Times New Roman" w:eastAsia="Times New Roman"/>
        </w:rPr>
        <w:t>A separate question is whether the segmentation comparison can be run on a genuinely new acquisition. The published OrgaSegment v1.0.1 release at https://github.com/Living-Technologies/OrgaSegment/releases/tag/v1.0.1 contains the publication-era OrganoidBasic20211215.h5 Mask R-CNN weights, a roughly 256 MB asset, and the tagged repository exposes scorer and prediction code. This locates the comparator artifact but is not an executed paired comparison. The original Zenodo Organoid Basic release https://zenodo.org/records/10278229 supplies the train/validation/evaluation image masks already used by our work. Image filenames do not state patient, plate or imaging-session independence; pixels and matched masks already demonstrated repeated fields across the nominal splits. Holding out two further filenames after their scores were seen changes neither provenance nor the fact that the target was exposed.</w:t>
      </w:r>
    </w:p>
    <w:p>
      <w:pPr>
        <w:spacing w:after="120"/>
        <w:jc w:val="both"/>
      </w:pPr>
      <w:r>
        <w:rPr>
          <w:rFonts w:ascii="Times New Roman" w:hAnsi="Times New Roman" w:eastAsia="Times New Roman"/>
        </w:rPr>
        <w:t>The next benchmark must name the donor or acquisition batch as its unit before opening test masks, prove it disjoint from all training and selection images, and run both frozen models on exactly the same paired images. The paper's rounded 0.76 author mean is not a paired per-image prediction, so a one-model comparison with that number lacks a valid uncertainty estimate for the difference. Published weights, compatible runtime and evaluator are necessary but insufficient; a third-party masked source with donor/plate/field metadata remains unverified. The benchmark claim stays withdrawn until these conditions are met, even though the weight-file URL itself is now known.</w:t>
      </w:r>
    </w:p>
    <w:p>
      <w:pPr>
        <w:spacing w:after="120"/>
        <w:jc w:val="both"/>
      </w:pPr>
      <w:r>
        <w:rPr>
          <w:rFonts w:ascii="Times New Roman" w:hAnsi="Times New Roman" w:eastAsia="Times New Roman"/>
        </w:rPr>
        <w:t>A later curator, OrgLine v4 (https://zenodo.org/records/16355179), does not by itself provide a fresh intestinal acquisition. Its own source ledger says the intestinal instance masks are curated from the same OrgaSegment Zenodo accession already used in this study. Changing labels into a common format or refining boxes can improve a benchmark, but it does not separate the people, plates, fields or imaging sessions from the model-development source. Its other object-detection contributors, Tellu and OrgaQuant, have detection boxes rather than an established new set of manually verified intestinal instance masks. No OrgLine mask was scored in this screen. This distinction prevents an attractive, newer aggregate dataset from hiding the same original samples under new filenames.</w:t>
      </w:r>
    </w:p>
    <w:p>
      <w:pPr>
        <w:spacing w:after="120"/>
        <w:jc w:val="both"/>
      </w:pPr>
      <w:r>
        <w:rPr>
          <w:rFonts w:ascii="Times New Roman" w:hAnsi="Times New Roman" w:eastAsia="Times New Roman"/>
        </w:rPr>
        <w:t>OrgaExtractor (Park et al., Scientific Reports 2023, https://www.nature.com/articles/s41598-023-46485-2) is a more interesting acquisition lead but not a qualified AP test. Its article describes human normal-colon organoids: 30 development images with manual binary foreground masks from one PDO, and an evaluation series from three other PDOs with 28 paired manual masks. That is a reported source distinction, not proof that the public download supplies each evaluation image, per-object identity and plate or field metadata. Its GitHub README links a separate Drive folder yet advertises only 15/5/10 development files, and the repository tree exposes code without raw image-mask pairs. Binary semantic foreground need not encode individual instances when contours touch. Even if the evaluation data are recovered, conversion rules and acquisition grouping must be fixed before comparing two checkpoints on paired images. This cancer-adjacent colon-imaging source is also not a CFTR modulator/vehicle object-track replication. Source-specific limits and URLs are in results/new_source_eligibility_screen_20260928.md.</w:t>
      </w:r>
    </w:p>
    <w:p>
      <w:pPr>
        <w:spacing w:after="120"/>
        <w:jc w:val="both"/>
      </w:pPr>
      <w:r>
        <w:rPr>
          <w:rFonts w:ascii="Times New Roman" w:hAnsi="Times New Roman" w:eastAsia="Times New Roman"/>
        </w:rPr>
        <w:t>Two other public microscopy deposits illustrate the assay-unit boundary. A 2025 Zenodo release of human iPSC-derived gut-organoid images (https://zenodo.org/records/17583211) has brightfield fields, HALO area tables and infection/staining metadata for mock versus EBOV or MARV samples, not the stated CFTR modulator, vehicle and zero-forskolin object pairs. A 50-frame intestinal OrganoidTracker 2.0 example (https://zenodo.org/records/13982844) supplies automated cell-nucleus tracking in one organoid movie, not independent CF donors or manual whole-organoid instance masks. The first is the right tissue but a different perturbation and image readout; the second has tracking but at the wrong biological level. Neither deposit was scored for AP or treatment effect. Listing them prevents a shared word such as 'track' from standing in for the required same-organoid area join or an independent mask test.</w:t>
      </w:r>
    </w:p>
    <w:p>
      <w:pPr>
        <w:pStyle w:val="Heading2"/>
      </w:pPr>
      <w:r>
        <w:rPr>
          <w:rFonts w:ascii="Times New Roman" w:hAnsi="Times New Roman" w:eastAsia="Times New Roman"/>
        </w:rPr>
        <w:t>4.6a Synthetic masking does not validate the missing-track envelope</w:t>
      </w:r>
    </w:p>
    <w:p>
      <w:pPr>
        <w:spacing w:after="120"/>
        <w:jc w:val="both"/>
      </w:pPr>
      <w:r>
        <w:rPr>
          <w:rFonts w:ascii="Times New Roman" w:hAnsi="Times New Roman" w:eastAsia="Times New Roman"/>
        </w:rPr>
        <w:t>We tested one candidate method contribution rather than simply naming it: the four-arm, two-size donor/block-aware missing-track envelope is compared with a pooled global envelope after simulated masking of already observed tracks. The 28 September protocol was frozen and pushed before the simulation (notes/prereg_masked_observability_method_benchmark_20260928.md, commit e534528). This experiment uses 4,964 originally positive baseline/end pairs and keeps the original 31 blocks and 12 donors; it has no information about the truly absent endpoints or objects that were never visible at baseline. The full-known positive-pair donor-equal contrast is +0.207978 log units, a simulation reference only, not the population effect.</w:t>
      </w:r>
    </w:p>
    <w:p>
      <w:pPr>
        <w:spacing w:after="120"/>
        <w:jc w:val="both"/>
      </w:pPr>
      <w:r>
        <w:rPr>
          <w:rFonts w:ascii="Times New Roman" w:hAnsi="Times New Roman" w:eastAsia="Times New Roman"/>
        </w:rPr>
        <w:t>Under MCAR masking, all 100 preregistered repetitions remained eligible. Complete-case and the favorable known-baseline-propensity weighted reference had mean absolute errors 0.0231 and 0.0231, respectively. The cell-specific and pooled global 5th-95th response-scenario envelopes each contained the one known aggregate truth in 100% of repetitions; the median cell/global width ratio was 0.9078. Still, 10.3%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MAR masking, all 100 preregistered repetitions remained eligible. Complete-case and the favorable known-baseline-propensity weighted reference had mean absolute errors 0.0248 and 0.0253, respectively. The cell-specific and pooled global 5th-95th response-scenario envelopes each contained the one known aggregate truth in 100% of repetitions; the median cell/global width ratio was 0.9008. Still, 11.0%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MNAR masking, all 100 preregistered repetitions remained eligible. Complete-case and the favorable known-baseline-propensity weighted reference had mean absolute errors 0.0295 and 0.0303, respectively. The cell-specific and pooled global 5th-95th response-scenario envelopes each contained the one known aggregate truth in 100% of repetitions; the median cell/global width ratio was 0.9016. Still, 14.2%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The predeclared method criterion required at least 90% aggregate-truth containment and a width ratio no greater than 0.90 in every mechanism. The width ratios of 0.9078, 0.9008 and 0.9016 fail it, despite the broad intervals' containment. In the outcome-dependent missingness simulation the weighting reference deliberately omits the hidden response, so a small observed bias here is not evidence of a correct missing-not-at-random model. This one-source study gives no superior-algorithm claim; it makes the method's uncertainty boundary inspectable. The original donor sign and zero-forskolin gates stay failed, and generic missing-outcome sensitivity analysis predates the present work (e.g. https://pmc.ncbi.nlm.nih.gov/articles/PMC10524136/). Full mask-level results, including a documented RNG-redraw stream deviation that affected no replicate eligibility, are in results/masked_observability_method_benchmark.json and results/finding_masked_observability_method_benchmark.md.</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