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4.3v One-donor influence cannot explain the neighbor visibility gradient</w:t>
      </w:r>
    </w:p>
    <w:p>
      <w:pPr>
        <w:spacing w:after="120"/>
        <w:jc w:val="both"/>
      </w:pPr>
      <w:r>
        <w:rPr>
          <w:rFonts w:ascii="Times New Roman" w:hAnsi="Times New Roman" w:eastAsia="Times New Roman"/>
        </w:rPr>
        <w:t>The prior within-image x treatment x baseline-size nearest-neighbor audit splits each eligible stratum at its own distance median. An arithmetic recheck preserves 279 eligible and 5 sparse strata; 6,952 included plus 12 excluded objects reconcile exactly to the 6,964 baseline-detected objects. All twelve saved donor-average close-minus-far positive-A1 visibility differences are negative: median -0.083, range -0.159 to -0.002. The equal-donor mean is -0.077; leaving out each donor in turn spans -0.084 to -0.070. Thus no one donor reverses this descriptive selected-source association. The original 100 within-stratum exposure-label permutations are only a technical null, not randomized biology; we did not calculate a post-hoc donor p-value. Neither the sign unanimity nor leave-one-out stability identifies why 2,000 A1 outcomes are missing or whether the organoids without t0 detections differ. Precise per-donor numbers and source checks are in results/postresult_neighbor_gradient_donor_influence.json. Original treatment-size sign and zero-forskolin specificity gates stay failed.</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