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Exploratory CFTR-Modulator Swelling Analysis in Patient-Derived Intestinal Organoids: a Computational Workflow, Size-Response Reanalysis and Segmentation Benchmark</w:t>
      </w:r>
    </w:p>
    <w:p>
      <w:pPr>
        <w:jc w:val="center"/>
      </w:pPr>
      <w:r>
        <w:rPr>
          <w:rFonts w:ascii="Times New Roman" w:hAnsi="Times New Roman" w:eastAsia="Times New Roman"/>
        </w:rPr>
        <w:t>MEGA-PROGRAM-27, Item 3 - Udita Phookan (program owner); computational work by an AI research agent. Working draft of 26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Current interpretation. A preregistered donor-block reanalysis with a locked pre-scoring amendment supports a positive treatment-by-starting-size interaction within the same public accession. The original sign-only matched-block and no-forskolin specificity tests remain negative. This does not establish independent replication, a CFTR-specific mechanism, or a patient-level diagnostic. A nominally split-separated segmentation v2 crossed the published AP50 point estimate by a thin margin, but a later pixel-level audit found repeated fields of view across train, validation and evaluation files. We withdraw the independent benchmark-beat interpretation and require acquisition-group-separated retraining and new evaluation. Detailed gates and caveats are in Sections 4.3f and 4.5c.</w:t>
      </w:r>
    </w:p>
    <w:p>
      <w:pPr>
        <w:spacing w:after="120"/>
        <w:jc w:val="both"/>
      </w:pPr>
      <w:r>
        <w:rPr>
          <w:rFonts w:ascii="Times New Roman" w:hAnsi="Times New Roman" w:eastAsia="Times New Roman"/>
        </w:rPr>
        <w:t>The forskolin-induced swelling (FIS) assay on patient-derived intestinal organoids has been studied as an in-vitro guide to CFTR-modulator response; this work does not establish a patient-level predictor.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rPr>
          <w:rFonts w:ascii="Times New Roman" w:hAnsi="Times New Roman" w:eastAsia="Times New Roman"/>
        </w:rPr>
        <w:t>Finding (candidate). In this accession, estimated modulator-induced swelling is lower in the smallest tracked organoids and approaches a plateau across larger size bins; this is a post hoc descriptive curve, not a validated biological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simple uniform-area-noise artefact under the tested model; track-selection bias and source-specific confounding remain unbounded. Stronger matched-block and no-forskolin specificity tests fail, so this is neither donor-general nor CFTR-stimulation-specific evidence.</w:t>
      </w:r>
    </w:p>
    <w:p>
      <w:pPr>
        <w:spacing w:after="120"/>
        <w:jc w:val="both"/>
      </w:pPr>
      <w:r>
        <w:rPr>
          <w:rFonts w:ascii="Times New Roman" w:hAnsi="Times New Roman" w:eastAsia="Times New Roman"/>
        </w:rPr>
        <w:t>Preserved negatives and subsequent checks. The first sign-only donor-block H1 was 9/12 positive (p=0.073), failing its gate; a paired zero-forskolin specificity H1 was 3/11 positive (p=0.967), also failing. Size correction did not improve per-donor separation. A later, differently preregistered magnitude-aware exact donor sign-flip and mixed model both met their locked positive-direction thresholds within this accession. The clean train-only first U-Net failed at author-scored AP50 0.73867; a separately fine-tuned, pre-frozen v2 reached 0.761108 versus the published rounded 0.76. The apparent benchmark crossing is not an independent holdout result because repeated fields of view span splits. Neither it nor the size reanalysis establishes clinical utility or a universal biological mechanism.</w:t>
      </w:r>
    </w:p>
    <w:p>
      <w:pPr>
        <w:spacing w:after="120"/>
        <w:jc w:val="both"/>
      </w:pPr>
      <w:r>
        <w:rPr>
          <w:rFonts w:ascii="Times New Roman" w:hAnsi="Times New Roman" w:eastAsia="Times New Roman"/>
        </w:rP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public analyzed CSV contains A0, A1, donor, experiment, well, condition and dose, but not raw segmentation masks, excluded tracks, confidence scores or per-frame missingness. We cannot erode/dilate masks, measure selective retention, or validate manual area from it. A genuinely new donor cohort with raw tracks and masks, locked size cutoffs and a blinded manual subset is required for a biological measurement-invariance claim. The earlier zero-forskolin specificity negative remains a separate counterexample to a CFTR-specific mechanism. A future image-acquisition shift test must use new labeled images rather than retuning the 12-image sealed benchmark.</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11.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12.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13.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A fifth recorded ChatGPT role-play critique suggested converting the observed leakage from an anecdote into a reproducible scene-group diagnostic. 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group-disjoint *new* acquisition cohort and published-model paired predictions are still required.</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14.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15.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16.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17.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18.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19.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20.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1"/>
      </w:pPr>
      <w:r>
        <w:rPr>
          <w:rFonts w:ascii="Times New Roman" w:hAnsi="Times New Roman" w:eastAsia="Times New Roman"/>
        </w:rPr>
        <w:t>5. Negative results (kept by design)</w:t>
      </w:r>
    </w:p>
    <w:p>
      <w:pPr>
        <w:spacing w:after="120"/>
        <w:jc w:val="both"/>
      </w:pPr>
      <w:r>
        <w:rPr>
          <w:rFonts w:ascii="Times New Roman" w:hAnsi="Times New Roman" w:eastAsia="Times New Roman"/>
        </w:rPr>
        <w:t>- The initial power-law (alpha &gt; 1) interpretation was withdrawn after large-organoid checks contradicted it.</w:t>
      </w:r>
    </w:p>
    <w:p>
      <w:pPr>
        <w:spacing w:after="120"/>
        <w:jc w:val="both"/>
      </w:pPr>
      <w:r>
        <w:rPr>
          <w:rFonts w:ascii="Times New Roman" w:hAnsi="Times New Roman" w:eastAsia="Times New Roman"/>
        </w:rPr>
        <w:t>- Size-adjusted and size-filtered readouts do not improve donor-level modulator discrimination.</w:t>
      </w:r>
    </w:p>
    <w:p>
      <w:pPr>
        <w:spacing w:after="120"/>
        <w:jc w:val="both"/>
      </w:pPr>
      <w:r>
        <w:rPr>
          <w:rFonts w:ascii="Times New Roman" w:hAnsi="Times New Roman" w:eastAsia="Times New Roman"/>
        </w:rPr>
        <w:t>- Matched donor x plate x dose robustness H1 fails: 9/12 positive donor medians, p=0.073, despite the pooled later-date result.</w:t>
      </w:r>
    </w:p>
    <w:p>
      <w:pPr>
        <w:spacing w:after="120"/>
        <w:jc w:val="both"/>
      </w:pPr>
      <w:r>
        <w:rPr>
          <w:rFonts w:ascii="Times New Roman" w:hAnsi="Times New Roman" w:eastAsia="Times New Roman"/>
        </w:rPr>
        <w:t>- Small-organoid replication on the public FIS time series is impossible: it is well-level; the 20-patient triple-vs-double ranking passes, but the separate VTI-vs-ETI ranking fails (6/9, p=0.254).</w:t>
      </w:r>
    </w:p>
    <w:p>
      <w:pPr>
        <w:spacing w:after="120"/>
        <w:jc w:val="both"/>
      </w:pPr>
      <w:r>
        <w:rPr>
          <w:rFonts w:ascii="Times New Roman" w:hAnsi="Times New Roman" w:eastAsia="Times New Roman"/>
        </w:rPr>
        <w:t>- Earlier nominally clean v1 segmentation is below the published 0.76 average; frozen v2 numerically crosses it by 0.001108, but repeated fields of view cross train/val/eval boundaries. This is not an independent benchmark win.</w:t>
      </w:r>
    </w:p>
    <w:p>
      <w:pPr>
        <w:spacing w:after="120"/>
        <w:jc w:val="both"/>
      </w:pPr>
      <w:r>
        <w:rPr>
          <w:rFonts w:ascii="Times New Roman" w:hAnsi="Times New Roman" w:eastAsia="Times New Roman"/>
        </w:rPr>
        <w:t>- Fidelity: 'Pancreas' as best match (35/151 series with S3000) disappears with other methods, so it is a method artefact.</w:t>
      </w:r>
    </w:p>
    <w:p>
      <w:pPr>
        <w:spacing w:after="120"/>
        <w:jc w:val="both"/>
      </w:pPr>
      <w:r>
        <w:rPr>
          <w:rFonts w:ascii="Times New Roman" w:hAnsi="Times New Roman" w:eastAsia="Times New Roman"/>
        </w:rPr>
        <w:t>- Fidelity: a 'liver disease' series (GSE278954) ranks Liver 50th of 54, and lung and breast organoids are rarely matched to their organ.</w:t>
      </w:r>
    </w:p>
    <w:p>
      <w:pPr>
        <w:spacing w:after="120"/>
        <w:jc w:val="both"/>
      </w:pPr>
      <w:r>
        <w:rPr>
          <w:rFonts w:ascii="Times New Roman" w:hAnsi="Times New Roman" w:eastAsia="Times New Roman"/>
        </w:rPr>
        <w:t>- Fidelity: organ labels come from text, and series profiles average all samples, including any non-organoid controls.</w:t>
      </w:r>
    </w:p>
    <w:p>
      <w:pPr>
        <w:spacing w:after="120"/>
        <w:jc w:val="both"/>
      </w:pPr>
      <w:r>
        <w:rPr>
          <w:rFonts w:ascii="Times New Roman" w:hAnsi="Times New Roman" w:eastAsia="Times New Roman"/>
        </w:rPr>
        <w:t>- Fidelity: the HPA parenchymal share of deficit genes does not clearly separate faithful from unfaithful organs (p = 0.061); lung organoids break the pattern.</w:t>
      </w:r>
    </w:p>
    <w:p>
      <w:pPr>
        <w:spacing w:after="120"/>
        <w:jc w:val="both"/>
      </w:pPr>
      <w:r>
        <w:rPr>
          <w:rFonts w:ascii="Times New Roman" w:hAnsi="Times New Roman" w:eastAsia="Times New Roman"/>
        </w:rPr>
        <w:t>- Fidelity: all organoid types lack secreted proteins (UniProt), so the secretome does not explain the organ split.</w:t>
      </w:r>
    </w:p>
    <w:p>
      <w:pPr>
        <w:spacing w:after="120"/>
        <w:jc w:val="both"/>
      </w:pPr>
      <w:r>
        <w:rPr>
          <w:rFonts w:ascii="Times New Roman" w:hAnsi="Times New Roman" w:eastAsia="Times New Roman"/>
        </w:rPr>
        <w:t>- Replication: the kidney part of the organ split failed out of sample (two ArrayExpress kidney datasets rank kidney 1st and 2nd).</w:t>
      </w:r>
    </w:p>
    <w:p>
      <w:pPr>
        <w:spacing w:after="120"/>
        <w:jc w:val="both"/>
      </w:pPr>
      <w:r>
        <w:rPr>
          <w:rFonts w:ascii="Times New Roman" w:hAnsi="Times New Roman" w:eastAsia="Times New Roman"/>
        </w:rPr>
        <w:t>- GSEA: metabolic deficits are also present in faithful brain organoids; not specific to poor fidelity.</w:t>
      </w:r>
    </w:p>
    <w:p>
      <w:pPr>
        <w:spacing w:after="120"/>
        <w:jc w:val="both"/>
      </w:pPr>
      <w:r>
        <w:rPr>
          <w:rFonts w:ascii="Times New Roman" w:hAnsi="Times New Roman" w:eastAsia="Times New Roman"/>
        </w:rPr>
        <w:t>- Open Targets: liver deficits show no liver-disease enrichment despite the aggregate diagonal-dominance pass.</w:t>
      </w:r>
    </w:p>
    <w:p>
      <w:pPr>
        <w:spacing w:after="120"/>
        <w:jc w:val="both"/>
      </w:pPr>
      <w:r>
        <w:rPr>
          <w:rFonts w:ascii="Times New Roman" w:hAnsi="Times New Roman" w:eastAsia="Times New Roman"/>
        </w:rPr>
        <w:t>- decoupler: lineage master-TF positive control fails (2/12); pathway signals are shared across cultures.</w:t>
      </w:r>
    </w:p>
    <w:p>
      <w:pPr>
        <w:spacing w:after="120"/>
        <w:jc w:val="both"/>
      </w:pPr>
      <w:r>
        <w:rPr>
          <w:rFonts w:ascii="Times New Roman" w:hAnsi="Times New Roman" w:eastAsia="Times New Roman"/>
        </w:rPr>
        <w:t>- ClinPGx: pre-registered VIP flag is defective; CPIC-only deviation passes liver deficit but fails liver specificity.</w:t>
      </w:r>
    </w:p>
    <w:p>
      <w:pPr>
        <w:spacing w:after="120"/>
        <w:jc w:val="both"/>
      </w:pPr>
      <w:r>
        <w:rPr>
          <w:rFonts w:ascii="Times New Roman" w:hAnsi="Times New Roman" w:eastAsia="Times New Roman"/>
        </w:rPr>
        <w:t>- gnomAD and Ensembl: no liver-vs-brain differentiation by LOEUF or protein-coding composition.</w:t>
      </w:r>
    </w:p>
    <w:p>
      <w:pPr>
        <w:spacing w:after="120"/>
        <w:jc w:val="both"/>
      </w:pPr>
      <w:r>
        <w:rPr>
          <w:rFonts w:ascii="Times New Roman" w:hAnsi="Times New Roman" w:eastAsia="Times New Roman"/>
        </w:rPr>
        <w:t>- Single-cell GSE108291: no ALDOB/SLC17A3 coexpression under the registered two-marker definition; dropout is an alternative.</w:t>
      </w:r>
    </w:p>
    <w:p>
      <w:pPr>
        <w:spacing w:after="120"/>
        <w:jc w:val="both"/>
      </w:pPr>
      <w:r>
        <w:rPr>
          <w:rFonts w:ascii="Times New Roman" w:hAnsi="Times New Roman" w:eastAsia="Times New Roman"/>
        </w:rPr>
        <w:t>- HPO: too few annotated genes for the registered clinical phenotype contrast.</w:t>
      </w:r>
    </w:p>
    <w:p>
      <w:pPr>
        <w:spacing w:after="120"/>
        <w:jc w:val="both"/>
      </w:pPr>
      <w:r>
        <w:rPr>
          <w:rFonts w:ascii="Times New Roman" w:hAnsi="Times New Roman" w:eastAsia="Times New Roman"/>
        </w:rPr>
        <w:t>- InterPro: primary contrast invalid due to mistaken liver top-100 gene-set membership.</w:t>
      </w:r>
    </w:p>
    <w:p>
      <w:pPr>
        <w:spacing w:after="120"/>
        <w:jc w:val="both"/>
      </w:pPr>
      <w:r>
        <w:rPr>
          <w:rFonts w:ascii="Times New Roman" w:hAnsi="Times New Roman" w:eastAsia="Times New Roman"/>
        </w:rPr>
        <w:t>- Fidelity: the culture-fibroblast attractor is RETRACTED as a general organoid property: on 45 series whose samples are all organoids it shrinks to 9-29% of series (Section 4.9).</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21.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45.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47.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49.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52.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