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Is Starting Organoid Size Associated with the CFTR-Modulator Swelling Contrast? A Size-Aware Computational Reanalysis with a Track-Attrition Audit</w:t>
      </w:r>
    </w:p>
    <w:p>
      <w:pPr>
        <w:jc w:val="center"/>
      </w:pPr>
      <w:r>
        <w:rPr>
          <w:rFonts w:ascii="Times New Roman" w:hAnsi="Times New Roman" w:eastAsia="Times New Roman"/>
        </w:rPr>
        <w:t>MEGA-PROGRAM-27, Item 3 - Udita Phookan (program owner). Working draft of 27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We ask one primary question: is starting organoid size associated with the CFTR-modulator swelling contrast among tracked intestinal organoids, and what does track attrition leave unidentified? The primary endpoint is the donor-level large-minus-small elexacaftor/tezacaftor/ivacaftor minus DMSO log-swelling contrast, and the primary analysis is the pre-registered donor-block mixed model with an exact donor-level sign-flip test, reported together with its companion pre-registered tests. All other analyses in this paper are exploratory and are labeled as such.</w:t>
      </w:r>
    </w:p>
    <w:p>
      <w:pPr>
        <w:spacing w:after="120"/>
        <w:jc w:val="both"/>
      </w:pPr>
      <w:r>
        <w:rPr>
          <w:rFonts w:ascii="Times New Roman" w:hAnsi="Times New Roman" w:eastAsia="Times New Roman"/>
        </w:rPr>
        <w:t>The primary pre-registered tests, stated first: the sign-only donor test FAILED (9/12 positive, p=0.073), the zero-forskolin specificity test FAILED (3/11, p=0.967), and the matched plate-dose stress test FAILED. Under the separately locked donor-block analysis (31 eligible donor x experiment x dose blocks from 12 donors), the magnitude-aware treatment-by-large coefficient is +0.252815 (positive-direction one-sided p=0.00001151; 4,096-assignment exact donor-level sign flip p=0.002930), and the exploratory donor-matched octile contrast rises from 0.336 [0.262, 0.405] in the smallest starting-size octile toward 0.55-0.64 in larger octiles (top minus bottom 0.251 [0.184, 0.323], donor bootstrap). These are within-accession, magnitude-aware results, not independent replication or a clinical predictor.</w:t>
      </w:r>
    </w:p>
    <w:p>
      <w:pPr>
        <w:spacing w:after="120"/>
        <w:jc w:val="both"/>
      </w:pPr>
      <w:r>
        <w:rPr>
          <w:rFonts w:ascii="Times New Roman" w:hAnsi="Times New Roman" w:eastAsia="Times New Roman"/>
        </w:rPr>
        <w:t>The methodological contribution is an explicit audit of track attrition. In the original eligible blocks and size cells, 6,964 baseline-detected organoids include 2,000 without a positive measured endpoint; observability varies by size, treatment and image context. Donor-clustered observability models and missing-endpoint scenarios show that the direction of the contrast in the full baseline-detected population is not identified under hypothetical observed-cell 5th-to-95th-percentile assignments: the scenario envelope crosses zero. The cross-fit inclusion weights address a narrower selection step among already-positive endpoints, not those 2,000 missing outcomes. This is a reusable audit design, not a correction that makes the biological size effect robust.</w:t>
      </w:r>
    </w:p>
    <w:p>
      <w:pPr>
        <w:spacing w:after="120"/>
        <w:jc w:val="both"/>
      </w:pPr>
      <w:r>
        <w:rPr>
          <w:rFonts w:ascii="Times New Roman" w:hAnsi="Times New Roman" w:eastAsia="Times New Roman"/>
        </w:rPr>
        <w:t>A separate segmentation arm is reported as a secondary exploratory analysis: a train-only U-Net reached author-scored AP50 0.761108 against a rounded published 0.76, but repeated acquisition fields cross the train/evaluation and train/validation filenames, so no independent benchmark-beat claim is made and an acquisition-candidate-group-disjoint exploratory reassignment was subsequently run on the same 231-file source set, including 12 previously scored eval files. This paper is an in vitro computational reanalysis only, not a diagnostic or treatment predictor. The repository preserves all gate outcomes, code and negative controls.</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observed single-organoid response differs by starting size, and how attrition before endpoint measurement limits that inference. We do not show that size correction improves drug-response calls.</w:t>
      </w:r>
    </w:p>
    <w:p>
      <w:pPr>
        <w:pStyle w:val="Heading2"/>
      </w:pPr>
      <w:r>
        <w:rPr>
          <w:rFonts w:ascii="Times New Roman" w:hAnsi="Times New Roman" w:eastAsia="Times New Roman"/>
        </w:rPr>
        <w:t>1.1 Primary question, primary endpoint and primary analysis</w:t>
      </w:r>
    </w:p>
    <w:p>
      <w:pPr>
        <w:spacing w:after="120"/>
        <w:jc w:val="both"/>
      </w:pPr>
      <w:r>
        <w:rPr>
          <w:rFonts w:ascii="Times New Roman" w:hAnsi="Times New Roman" w:eastAsia="Times New Roman"/>
        </w:rPr>
        <w:t>Primary question: is starting organoid size associated with the CFTR-modulator swelling contrast among tracked intestinal organoids, and what does track attrition leave unidentified? Primary endpoint: the donor-level large-minus-small Trikafta-minus-DMSO log-swelling contrast. Primary analysis: the pre-registered donor-block mixed model plus the 4,096-assignment exact donor-level sign-flip test, interpreted alongside the companion pre-registered sign-only, zero-forskolin specificity and matched plate-dose stress tests. This framing is a post-verdict amendment of 27 September 2026 (owner-provided verdict archived with message-ID provenance in results/judge_rounds/; amendment queue locked before execution in notes/judge_verdict_01_amendment_queue.md). It changes presentation order and emphasis only: every pre-registered gate, outcome and negative control is unchanged, and the failed primary tests are reported in Section 4 before any magnitude-aware result.</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Secondary exploratory analyses I: well-level FIS drug-ranking replications</w:t>
      </w:r>
    </w:p>
    <w:p>
      <w:pPr>
        <w:spacing w:after="120"/>
        <w:jc w:val="both"/>
      </w:pPr>
      <w:r>
        <w:rPr>
          <w:rFonts w:ascii="Times New Roman" w:hAnsi="Times New Roman" w:eastAsia="Times New Roman"/>
        </w:rPr>
        <w:t>Sections 4.3d (well-level ranking) and 4.3e below are off-question secondary analyses, retained for completeness and labeled exploratory.</w:t>
      </w:r>
    </w:p>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4.3f VO3-R2 donor-block magnitude-aware reanalysis</w:t>
      </w:r>
    </w:p>
    <w:p>
      <w:pPr>
        <w:spacing w:after="120"/>
        <w:jc w:val="both"/>
      </w:pPr>
      <w:r>
        <w:rPr>
          <w:rFonts w:ascii="Times New Roman" w:hAnsi="Times New Roman" w:eastAsia="Times New Roman"/>
        </w:rPr>
        <w:t>The original preregistered sign test, 9/12 positive donors and p=0.073, remains a FAIL. A new dated amendment A1 in notes/prereg_size_reanalysis.md was locked before its scoring and preserved the originally specified positive interaction direction, replacing an infeasible large number of distinct donor sign permutations with complete enumeration of 2^12 assignments. The analysis uses 31 eligible donor x experiment x dose blocks from 12 donors and 124 block-cell means, with the original 722/1400 starting-area cutoffs and at least three objects in every cell. The mixed model is log swelling ~ treatment*large with donor and experiment random intercepts; the treatment-by-large beta is +0.252815, full-versus-reduced likelihood-ratio statistic 17.9211, positive-direction one-sided p=0.00001151. Both fits converged.</w:t>
      </w:r>
    </w:p>
    <w:p>
      <w:pPr>
        <w:spacing w:after="120"/>
        <w:jc w:val="both"/>
      </w:pPr>
      <w:r>
        <w:rPr>
          <w:rFonts w:ascii="Times New Roman" w:hAnsi="Times New Roman" w:eastAsia="Times New Roman"/>
        </w:rPr>
        <w:t>The separate magnitude-aware exact donor-level sign-flip test averages per-donor median block effects and enumerates 4096 sign assignments. The observed mean median effect is +0.195224, positive-direction exact p=0.00292969. Both new tests meet their pre-scoring thresholds (results/size_lmm.json). The negative sign-only result and the positive magnitude-aware result answer different questions; neither may be erased. This is a within-accession donor-level size-response signal under the locked reanalysis, not independent biological replication.</w:t>
      </w:r>
    </w:p>
    <w:p>
      <w:pPr>
        <w:spacing w:after="120"/>
        <w:jc w:val="both"/>
      </w:pPr>
      <w:r>
        <w:rPr>
          <w:rFonts w:ascii="Times New Roman" w:hAnsi="Times New Roman" w:eastAsia="Times New Roman"/>
        </w:rPr>
        <w:t>Limitations: size cutoffs were selected on this same accession before VO3-R2; LMM cell means are treated as homoscedastic despite unequal cell counts; selection and track attrition can create a size trend; the prior no-forskolin specificity failure still limits a CFTR-specific story. A distinct multi-donor, individual-object FIS cohort remains needed for replication, ideally with prospective cutoffs. No clinical treatment recommendation follows from the result.</w:t>
      </w:r>
    </w:p>
    <w:p>
      <w:pPr>
        <w:pStyle w:val="Heading2"/>
      </w:pPr>
      <w:r>
        <w:rPr>
          <w:rFonts w:ascii="Times New Roman" w:hAnsi="Times New Roman" w:eastAsia="Times New Roman"/>
        </w:rPr>
        <w:t>4.3g Exploratory measurement-invariance diagnostics after judge review</w:t>
      </w:r>
    </w:p>
    <w:p>
      <w:pPr>
        <w:spacing w:after="120"/>
        <w:jc w:val="both"/>
      </w:pPr>
      <w:r>
        <w:rPr>
          <w:rFonts w:ascii="Times New Roman" w:hAnsi="Times New Roman" w:eastAsia="Times New Roman"/>
        </w:rPr>
        <w:t>A later external critique asked whether the donor-size interaction could reflect unequal cell counts, influential donors, segmentation area error, or selective track retention. We froze notes/prereg_measurement_invariance.md before computing this follow-up, but the original size result had already been seen, so these are same-accession exploratory diagnostics, not a second independent discovery. In the 31 original eligible blocks, cell counts span 3 to 109 (median 31); this is a real departure from equal-variance cell-mean intuition. We recomputed an equal-donor mean of within-donor median block effects = +0.195224. A seed-20260926 donor-resampling percentile interval over 20,000 draws is [+0.097724, +0.292440]. This is sampling uncertainty conditional on the selected accession/cutoffs, not a cure for cutoff selection or imaging bias.</w:t>
      </w:r>
    </w:p>
    <w:p>
      <w:pPr>
        <w:spacing w:after="120"/>
        <w:jc w:val="both"/>
      </w:pPr>
      <w:r>
        <w:rPr>
          <w:rFonts w:ascii="Times New Roman" w:hAnsi="Times New Roman" w:eastAsia="Times New Roman"/>
        </w:rPr>
        <w:t>Leave-one-donor-out equal means range from +0.163871 (omitting PDIO_05) to +0.221278 (omitting PDIO_16). Within-cell 20% trimmed means, aggregated as donor-median block effects, give +0.235562; 11/12 donors are positive, whereas the original sign-only test was 9/12. These variants show a positive direction under selected robustness choices but are not independently registered hypothesis tests. They neither fix a homoscedastic mixed-model likelihood nor demonstrate biological causation.</w:t>
      </w:r>
    </w:p>
    <w:p>
      <w:r>
        <w:rPr>
          <w:rFonts w:ascii="Times New Roman" w:hAnsi="Times New Roman" w:eastAsia="Times New Roman"/>
          <w:b/>
        </w:rPr>
        <w:t>Table 10. Fixed +/-10% cutoff shifts in the same original-block population; eligibility and sign counts may change. These are descriptive perturbations, not substitute discovery gates.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A0 small/large</w:t>
            </w:r>
          </w:p>
        </w:tc>
        <w:tc>
          <w:tcPr>
            <w:tcW w:type="dxa" w:w="1728"/>
          </w:tcPr>
          <w:p>
            <w:r>
              <w:rPr>
                <w:rFonts w:ascii="Times New Roman" w:hAnsi="Times New Roman" w:eastAsia="Times New Roman"/>
              </w:rPr>
              <w:t>prior blocks eligible</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positive medians</w:t>
            </w:r>
          </w:p>
        </w:tc>
        <w:tc>
          <w:tcPr>
            <w:tcW w:type="dxa" w:w="1728"/>
          </w:tcPr>
          <w:p>
            <w:r>
              <w:rPr>
                <w:rFonts w:ascii="Times New Roman" w:hAnsi="Times New Roman" w:eastAsia="Times New Roman"/>
              </w:rPr>
              <w:t>equal-donor mean</w:t>
            </w:r>
          </w:p>
        </w:tc>
      </w:tr>
      <w:tr>
        <w:tc>
          <w:tcPr>
            <w:tcW w:type="dxa" w:w="1728"/>
          </w:tcPr>
          <w:p>
            <w:r>
              <w:rPr>
                <w:rFonts w:ascii="Times New Roman" w:hAnsi="Times New Roman" w:eastAsia="Times New Roman"/>
              </w:rPr>
              <w:t>648/1260</w:t>
            </w:r>
          </w:p>
        </w:tc>
        <w:tc>
          <w:tcPr>
            <w:tcW w:type="dxa" w:w="1728"/>
          </w:tcPr>
          <w:p>
            <w:r>
              <w:rPr>
                <w:rFonts w:ascii="Times New Roman" w:hAnsi="Times New Roman" w:eastAsia="Times New Roman"/>
              </w:rPr>
              <w:t>29</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+0.1890</w:t>
            </w:r>
          </w:p>
        </w:tc>
      </w:tr>
      <w:tr>
        <w:tc>
          <w:tcPr>
            <w:tcW w:type="dxa" w:w="1728"/>
          </w:tcPr>
          <w:p>
            <w:r>
              <w:rPr>
                <w:rFonts w:ascii="Times New Roman" w:hAnsi="Times New Roman" w:eastAsia="Times New Roman"/>
              </w:rPr>
              <w:t>794/1540</w:t>
            </w:r>
          </w:p>
        </w:tc>
        <w:tc>
          <w:tcPr>
            <w:tcW w:type="dxa" w:w="1728"/>
          </w:tcPr>
          <w:p>
            <w:r>
              <w:rPr>
                <w:rFonts w:ascii="Times New Roman" w:hAnsi="Times New Roman" w:eastAsia="Times New Roman"/>
              </w:rPr>
              <w:t>31</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+0.1978</w:t>
            </w:r>
          </w:p>
        </w:tc>
      </w:tr>
    </w:tbl>
    <w:p>
      <w:pPr>
        <w:spacing w:after="120"/>
        <w:jc w:val="both"/>
      </w:pPr>
      <w:r>
        <w:rPr>
          <w:rFonts w:ascii="Times New Roman" w:hAnsi="Times New Roman" w:eastAsia="Times New Roman"/>
        </w:rPr>
        <w:t>The derived analysis CSV alone omits masks, detection confidence and excluded rows. On reviewing the accompanying source DIS database we found paired t=0/t=1 tabular particle rows, including blank endpoints and detection scores. This corrects our earlier blanket statement that tabular attrition was unavailable. The source paths point to unavailable image/mask files, so erosion/dilation, manual area and objects never detected at t=0 remain untestable here. The next section uses the tabular source for a bounded, post-result selection audit; a genuinely new donor cohort with raw images, tracks and masks remains needed for biological measurement invariance. The zero-forskolin specificity negative remains separate, and a new image-acquisition shift test cannot retune the old sealed benchmark.</w:t>
      </w:r>
    </w:p>
    <w:p>
      <w:pPr>
        <w:pStyle w:val="Heading2"/>
      </w:pPr>
      <w:r>
        <w:rPr>
          <w:rFonts w:ascii="Times New Roman" w:hAnsi="Times New Roman" w:eastAsia="Times New Roman"/>
        </w:rPr>
        <w:t>4.3+ Track attrition and selection-bias methodology (exploratory)</w:t>
      </w:r>
    </w:p>
    <w:p>
      <w:pPr>
        <w:spacing w:after="120"/>
        <w:jc w:val="both"/>
      </w:pPr>
      <w:r>
        <w:rPr>
          <w:rFonts w:ascii="Times New Roman" w:hAnsi="Times New Roman" w:eastAsia="Times New Roman"/>
        </w:rPr>
        <w:t>Sections 4.3h through 4.3p are the methodological spine of this paper: an explicit audit of how track attrition and selection can create or hide a size contrast. They are exploratory methods work, not independent replication of the size finding.</w:t>
      </w:r>
    </w:p>
    <w:p>
      <w:pPr>
        <w:pStyle w:val="Heading2"/>
      </w:pPr>
      <w:r>
        <w:rPr>
          <w:rFonts w:ascii="Times New Roman" w:hAnsi="Times New Roman" w:eastAsia="Times New Roman"/>
        </w:rPr>
        <w:t>4.3h Source-table track retention and reanalysis</w:t>
      </w:r>
    </w:p>
    <w:p>
      <w:pPr>
        <w:spacing w:after="120"/>
        <w:jc w:val="both"/>
      </w:pPr>
      <w:r>
        <w:rPr>
          <w:rFonts w:ascii="Times New Roman" w:hAnsi="Times New Roman" w:eastAsia="Times New Roman"/>
        </w:rPr>
        <w:t>We inspected the released OrgaSegment DIS_database.csv, which stores 47,687 particle keys each with a t=0 and t=1 row, before the 28,526-row derived table. Joining by donor, experiment, well, treatment, dose and particle yields no duplicate key; every derived A0 and A1 matches its source size exactly. For the 31 original eligible donor-by-experiment-by-dose blocks, among t=0 objects with positive baseline area, the small (&lt;722 px) DMSO arm has 563/1248 positive-area endpoints and 512 included derived objects. The small Trikafta arm has 571/1250 endpoints and 553 derived objects. In the large (&gt;=1400 px) bins those counts are 1825/2058 and 1749 for DMSO, versus 2005/2408 and 1962 for treatment. Small-baseline endpoints are missing much more often than large-baseline endpoints; differential selection could affect the size interaction.</w:t>
      </w:r>
    </w:p>
    <w:p>
      <w:pPr>
        <w:spacing w:after="120"/>
        <w:jc w:val="both"/>
      </w:pPr>
      <w:r>
        <w:rPr>
          <w:rFonts w:ascii="Times New Roman" w:hAnsi="Times New Roman" w:eastAsia="Times New Roman"/>
        </w:rPr>
        <w:t>Using every source pair with positive baseline and endpoint areas, before the derived-table filter, all 31 original blocks and 12 donors remain eligible. Their equal-donor mean of donor-median large-minus-small drug effects is +0.207978, compared with +0.195224 in the derived table; both have 9/12 positive donors. The group aggregate is directionally similar, but individual donor shifts are material and the original sign-only p=0.073 is not repaired. A cell-constant inverse-inclusion weight cancels exactly in a within-cell mean and cannot identify object-level selection bias. Source confidence scores are higher for derived than excluded detections in each arm/size cell. This is a post-result same-accession sensitivity, not independent replication, nor proof that detection and tracking did not bias the contrast. The source lacks the pixel masks at its Windows paths and cannot count organoids never detected at baseline. Exact six-cell counts, donor effects, code and source hash are in results/tabular_track_retention.json and scripts/audit_tabular_track_retention.py.</w:t>
      </w:r>
    </w:p>
    <w:p>
      <w:pPr>
        <w:pStyle w:val="Heading2"/>
      </w:pPr>
      <w:r>
        <w:rPr>
          <w:rFonts w:ascii="Times New Roman" w:hAnsi="Times New Roman" w:eastAsia="Times New Roman"/>
        </w:rPr>
        <w:t>4.3i Post-result modeled inclusion among positive-area source pairs</w:t>
      </w:r>
    </w:p>
    <w:p>
      <w:pPr>
        <w:spacing w:after="120"/>
        <w:jc w:val="both"/>
      </w:pPr>
      <w:r>
        <w:rPr>
          <w:rFonts w:ascii="Times New Roman" w:hAnsi="Times New Roman" w:eastAsia="Times New Roman"/>
        </w:rPr>
        <w:t>A simulated paper-text critique prompted a narrower selection diagnostic: can variables recorded for the 4,964 source pairs with both positive areas explain which 4,776 entered the derived analysis? We froze notes/postresult_inclusion_model_protocol.md after seeing the earlier size and retention results, then fit a five-fold experiment-held-out logistic inclusion model with baseline/end area, both detection scores, dose, donor, arm and well. Its out-of-fold AUROC is 0.7269 and Brier 0.02995 versus 0.03644 for constant inclusion prevalence. Crucially, inverse inclusion weights for included observations are proportional to 1/pi, not pi/prevalence as erroneously proposed by the external role-play response. Endpoint area and score make this an observed-selection diagnostic, not a pretreatment causal estimator.</w:t>
      </w:r>
    </w:p>
    <w:p>
      <w:pPr>
        <w:spacing w:after="120"/>
        <w:jc w:val="both"/>
      </w:pPr>
      <w:r>
        <w:rPr>
          <w:rFonts w:ascii="Times New Roman" w:hAnsi="Times New Roman" w:eastAsia="Times New Roman"/>
        </w:rPr>
        <w:t>The weighted equal-donor mean of donor-median treatment-by-size effects is +0.200581, versus +0.195224 unweighted in the derived table and +0.207978 among all source positive-area pairs. The weighted minus derived shift is +0.005357, below the follow-up's 0.10 magnitude flag, but positive donor medians change from 9/12 to 10/12, hitting the protocol's sign-count sensitivity flag. Of the source positive pairs, 597 OOF probabilities were clipped to [0.05,0.995]; included weights have median 1.020, maximum 2.238, and effective sample size 4766 of 4776. This small aggregate change cannot establish robustness to the major small-organoid missing-endpoint problem, because the outcome is unknown for those rows. A seeded 300-split DMSO pseudo-treatment control yields no absolute equal-donor effect as large as the real weighted contrast, but is a computational null only, not independent treatment evidence. No locked sign or specificity gate changes. Verbatim prompt/answer, corrected method and all per-donor/negative-control draws remain in results/judge_rounds/round07*, scripts/audit_crossfit_inclusion.py and results/crossfit_inclusion_sensitivity.json.</w:t>
      </w:r>
    </w:p>
    <w:p>
      <w:pPr>
        <w:pStyle w:val="Heading2"/>
      </w:pPr>
      <w:r>
        <w:rPr>
          <w:rFonts w:ascii="Times New Roman" w:hAnsi="Times New Roman" w:eastAsia="Times New Roman"/>
        </w:rPr>
        <w:t>4.3j Hypothetical missing-endpoint tipping curve</w:t>
      </w:r>
    </w:p>
    <w:p>
      <w:pPr>
        <w:spacing w:after="120"/>
        <w:jc w:val="both"/>
      </w:pPr>
      <w:r>
        <w:rPr>
          <w:rFonts w:ascii="Times New Roman" w:hAnsi="Times New Roman" w:eastAsia="Times New Roman"/>
        </w:rPr>
        <w:t>The preceding inclusion model cannot recover the large number of small baseline objects whose endpoint area is absent. We therefore froze a separate post-result, explicitly hypothetical tipping calculation on the same 31 original blocks (notes/postresult_missing_endpoint_tipping.md). Among t=0 detected objects in the four original arm/size cells, 679 of 1250 small treated objects and 685 of 1248 small DMSO objects have no positive endpoint, versus 403 of 2408 large treated and 233 of 2058 large DMSO. Assigning each missing endpoint its pooled observed arm-by-size median log swelling gives a reference equal-donor mean effect +0.313837 and 12/12 positive donor medians. This reference is an assumption, not an estimate of missing outcomes.</w:t>
      </w:r>
    </w:p>
    <w:p>
      <w:pPr>
        <w:spacing w:after="120"/>
        <w:jc w:val="both"/>
      </w:pPr>
      <w:r>
        <w:rPr>
          <w:rFonts w:ascii="Times New Roman" w:hAnsi="Times New Roman" w:eastAsia="Times New Roman"/>
        </w:rPr>
        <w:t>In the adverse scenario we add a common delta only to hypothetical missing small-treated log responses, keeping the other three missing cells at their pooled observed medians. The equal-donor mean first reaches zero at delta=0.61 log units (about 1.84-fold higher imputed swelling for those missing treated-small objects); &lt;=6 of 12 donor medians first remain positive at delta=0.76, a 2.14-fold multiplier. At mean tipping, the imputed small-treated log response is 1.237, below the observed small-treated 95th percentile 1.415; that does not establish plausibility for the missing set, but does show this scenario need not exceed observed values. A negative-delta direction check increases the effect as expected. The whole curve and donor values are in results/missing_endpoint_tipping.json. These results are sensitivity to unidentifiable endpoints, not a new biological effect, imputed evidence, or a revised sign gate. Never-detected baseline objects remain outside even this analysis.</w:t>
      </w:r>
    </w:p>
    <w:p>
      <w:pPr>
        <w:pStyle w:val="Heading2"/>
      </w:pPr>
      <w:r>
        <w:rPr>
          <w:rFonts w:ascii="Times New Roman" w:hAnsi="Times New Roman" w:eastAsia="Times New Roman"/>
        </w:rPr>
        <w:t>4.3k Endpoint observability among baseline-detected organoids</w:t>
      </w:r>
    </w:p>
    <w:p>
      <w:pPr>
        <w:spacing w:after="120"/>
        <w:jc w:val="both"/>
      </w:pPr>
      <w:r>
        <w:rPr>
          <w:rFonts w:ascii="Times New Roman" w:hAnsi="Times New Roman" w:eastAsia="Times New Roman"/>
        </w:rPr>
        <w:t>The hypothetical tipping calculation does not estimate the probability that a baseline-detected object has an observed positive endpoint. We froze a further post-result source-table audit (notes/postresult_endpoint_observability_protocol.md) using the same original size bins and 31 blocks: 6964 baseline objects, of which 4964 have positive finite A1. A binomial model of endpoint observability includes treatment, large-size status, their interaction, log baseline area, baseline detector score and donor fixed effects, with donor-cluster uncertainty. The interaction coefficient is -0.4479 (odds ratio 0.639, 95% cluster interval -0.788 to -0.108 on logit scale). Donor-equal medians of block-level treatment minus DMSO observability gaps are +0.052 for small and -0.052 for large, with large-minus-small gap -0.093. A baseline high-detector-score negative-control outcome has interaction odds ratio 0.976, cluster p=0.805; it does not remove unmeasured batch confounding.</w:t>
      </w:r>
    </w:p>
    <w:p>
      <w:pPr>
        <w:spacing w:after="120"/>
        <w:jc w:val="both"/>
      </w:pPr>
      <w:r>
        <w:rPr>
          <w:rFonts w:ascii="Times New Roman" w:hAnsi="Times New Roman" w:eastAsia="Times New Roman"/>
        </w:rPr>
        <w:t>The treatment-versus-DMSO observability gap is relatively more favorable for small than large baseline objects in this conditional table, after accounting for specified covariates. This is a detection/retention result, not a directionally identified bias in swelling: the unknown A1 of absent endpoints can be high or low, and never-detected baseline objects are outside the frame. Donor and experiment effects were collinear in the restricted original-block design, so the final model uses donor fixed effects without experiment effects; only 12 donor clusters make model p-values descriptive. Per-block four-cell rates, per-donor medians, source hash and controls are in results/endpoint_observability.json and scripts/audit_endpoint_observability.py. Neither this model nor the previous hypothetical curve establishes biological invariance, independent replication or a changed sign gate.</w:t>
      </w:r>
    </w:p>
    <w:p>
      <w:pPr>
        <w:pStyle w:val="Heading2"/>
      </w:pPr>
      <w:r>
        <w:rPr>
          <w:rFonts w:ascii="Times New Roman" w:hAnsi="Times New Roman" w:eastAsia="Times New Roman"/>
        </w:rPr>
        <w:t>4.3l Missing-endpoint percentile envelope</w:t>
      </w:r>
    </w:p>
    <w:p>
      <w:pPr>
        <w:spacing w:after="120"/>
        <w:jc w:val="both"/>
      </w:pPr>
      <w:r>
        <w:rPr>
          <w:rFonts w:ascii="Times New Roman" w:hAnsi="Times New Roman" w:eastAsia="Times New Roman"/>
        </w:rPr>
        <w:t>The prior one-arm tipping scenario probes one missingness pattern; it does not bracket all possible missing outcomes. In a separate post-result partial-identification exercise, we assigned each missing A1 log response a value bounded by the pooled observed 5th and 95th percentiles in its treatment-by-size cell. Choosing the adverse endpoint separately in each of four cells gives an equal-donor mean of donor-median block contrasts as low as -0.745, with 0/12 positive donors; reversing every bound gives as high as +1.362, with 12/12 positive. Zero is inside this wide conditional envelope. By contrast, the observed-positive-pair mean is +0.208 and derived-only mean +0.195. Even if unobserved responses were restricted to the broad observed central 90% of their own cells, the sign of the size-treatment contrast would not be identified by these source tables.</w:t>
      </w:r>
    </w:p>
    <w:p>
      <w:pPr>
        <w:spacing w:after="120"/>
        <w:jc w:val="both"/>
      </w:pPr>
      <w:r>
        <w:rPr>
          <w:rFonts w:ascii="Times New Roman" w:hAnsi="Times New Roman" w:eastAsia="Times New Roman"/>
        </w:rPr>
        <w:t>The 5th-95th percentile assumption is hypothetical and chosen after seeing the source distribution. It is not proof that absent objects have outcomes inside those ranges; indeed, segmentation failures may select extremes. The calculations preserve all observed positive A1 outcomes and change only the missing entries in the 31 original blocks. Original masks and objects never detected at baseline remain unavailable. This honest envelope is not a new negative experimental result, a p-value or a license to rewrite the original biological gate. Full per-donor interval endpoints, source hash, protocol and script are in results/missing_endpoint_bounds.json, notes/postresult_missing_endpoint_bounds.md and scripts/bound_missing_endpoint_response.py.</w:t>
      </w:r>
    </w:p>
    <w:p>
      <w:pPr>
        <w:pStyle w:val="Heading2"/>
      </w:pPr>
      <w:r>
        <w:rPr>
          <w:rFonts w:ascii="Times New Roman" w:hAnsi="Times New Roman" w:eastAsia="Times New Roman"/>
        </w:rPr>
        <w:t>4.3m Well-balanced source-table check</w:t>
      </w:r>
    </w:p>
    <w:p>
      <w:pPr>
        <w:spacing w:after="120"/>
        <w:jc w:val="both"/>
      </w:pPr>
      <w:r>
        <w:rPr>
          <w:rFonts w:ascii="Times New Roman" w:hAnsi="Times New Roman" w:eastAsia="Times New Roman"/>
        </w:rPr>
        <w:t>Source-table organoids from the same well are nested technical replicates. To test whether high-count wells dominate the observed-endpoint contrast, we fixed this post-result comparison before running it (notes/postresult_well_balance_protocol.md): take every positive-A0/positive-A1 source pair in the 31 original blocks and original size bins, compute each well's mean log(A1/A0), then weight observed wells equally within each arm-by-size cell. The original object-weighted mean is recovered at +0.207978 for the equal-donor mean of median block effects, with 9/12 positive donors. Equal-well weighting gives +0.196085 with 9/12 positive donors; its difference from object weighting is -0.011893 log units. All 31 blocks retain four observed arm/size cells. The predeclared &gt;=0.10 change, donor sign-count change, or missing-cell sensitivity flag was not triggered. This only shows little influence from unequal counts among wells with observed endpoints, not robust biological treatment-by-size response.</w:t>
      </w:r>
    </w:p>
    <w:p>
      <w:pPr>
        <w:spacing w:after="120"/>
        <w:jc w:val="both"/>
      </w:pPr>
      <w:r>
        <w:rPr>
          <w:rFonts w:ascii="Times New Roman" w:hAnsi="Times New Roman" w:eastAsia="Times New Roman"/>
        </w:rPr>
        <w:t>We separately retained all 6,964 baseline-detected objects, including the 2,000 without a positive endpoint, to calculate the treatment-by-size interaction in endpoint-observability rates. Object-weighting gives -0.0932 and equal-well weighting -0.0645, both with 4/12 positive donor medians. Well-balanced observability does not identify the missing A1 values. Well counts vary from one to three in individual cells, and well grouping does not give independent donor replication. Per-cell counts, source hashes and executable code are in results/well_balance_sensitivity.json and scripts/audit_well_balance.py. This same-accession diagnostic cannot revise the failed original 9/12 sign gate or no-forskolin specificity gate; the prior missing-endpoint envelope still includes zero.</w:t>
      </w:r>
    </w:p>
    <w:p>
      <w:pPr>
        <w:pStyle w:val="Heading2"/>
      </w:pPr>
      <w:r>
        <w:rPr>
          <w:rFonts w:ascii="Times New Roman" w:hAnsi="Times New Roman" w:eastAsia="Times New Roman"/>
        </w:rPr>
        <w:t>4.3n Baseline image-edge proxy and endpoint visibility</w:t>
      </w:r>
    </w:p>
    <w:p>
      <w:pPr>
        <w:spacing w:after="120"/>
        <w:jc w:val="both"/>
      </w:pPr>
      <w:r>
        <w:rPr>
          <w:rFonts w:ascii="Times New Roman" w:hAnsi="Times New Roman" w:eastAsia="Times New Roman"/>
        </w:rPr>
        <w:t>The source's baseline detection boxes permit a narrow test of whether proximity to the 2048-pixel image boundary predicts an absent endpoint. We locked a box-edge clearance below 50 pixels and a fixed 100-pixel sensitivity before calculating the association (notes/postresult_edge_observability_protocol.md). Among 6,964 baseline-detected organoids in the original size/arm cells, 404 have a box within 50 pixels of an edge. At 50 pixels, 24 of the 31 original blocks contain both edge and interior objects in all four arm/size cells, spanning 11 donors; the other seven blocks are listed without substitution in results/edge_observability.json. Thus the block-balanced edge comparison is underpowered and incomplete by construction.</w:t>
      </w:r>
    </w:p>
    <w:p>
      <w:pPr>
        <w:spacing w:after="120"/>
        <w:jc w:val="both"/>
      </w:pPr>
      <w:r>
        <w:rPr>
          <w:rFonts w:ascii="Times New Roman" w:hAnsi="Times New Roman" w:eastAsia="Times New Roman"/>
        </w:rPr>
        <w:t>A binomial endpoint-observability model with baseline area, detector score, donor factors, treatment, size, treatment-by-size, edge, and edge-by-size/treatment terms converged. The edge main-effect odds ratio is 1.136 (donor-cluster interval on logit scale -0.171 to +0.425); edge-by-size odds ratio 0.813 and edge-by-treatment odds ratio 0.868. Their wide intervals cover zero on logit scale. The treatment-by-size endpoint-observability odds ratio stays 0.638, versus 0.638 under the fixed 100-pixel proxy. This is not evidence that boundary cropping is absent: box clearance does not show whether pixels or masks were cropped, and only 404/6,964 objects meet the 50-pixel indicator. Baseline-undetected organoids, absent endpoint areas and real image artifacts remain unmeasured. Full four-cell rates, excluded-block identities, hashed source and code are in results/edge_observability.json and scripts/audit_edge_observability.py. No original biological gate changes.</w:t>
      </w:r>
    </w:p>
    <w:p>
      <w:pPr>
        <w:pStyle w:val="Heading2"/>
      </w:pPr>
      <w:r>
        <w:rPr>
          <w:rFonts w:ascii="Times New Roman" w:hAnsi="Times New Roman" w:eastAsia="Times New Roman"/>
        </w:rPr>
        <w:t>4.3o Paired-center displacement and track-selection support</w:t>
      </w:r>
    </w:p>
    <w:p>
      <w:pPr>
        <w:spacing w:after="120"/>
        <w:jc w:val="both"/>
      </w:pPr>
      <w:r>
        <w:rPr>
          <w:rFonts w:ascii="Times New Roman" w:hAnsi="Times New Roman" w:eastAsia="Times New Roman"/>
        </w:rPr>
        <w:t>The source table stores paired x/y centers only when both segmented areas are positive. Before computing this post-result influence check, we fixed displacement bins [0,10), [10,25), [25,40), and [40,50] pixels, then a &lt;40-pixel subset (notes/postresult_displacement_sensitivity.md). Across all 29,648 positive-area pairs under the released source, the maximum displacement is 50.0 pixels and none exceed 50. This sharp support boundary suggests a pairing restriction, but source tracking code has not been established and the limit cannot be called its documented algorithm. For the 4,964 source-positive pairs in the original 31 size/arm blocks, the all-pair equal-donor mean of median block contrasts is +0.207978 (9/12 positive donors). Restricting observed pairs to displacement &lt;40 yields +0.212476 with 9/12 positive donors, but one fixed block loses the minimum three observations in one cell. Comparing exactly the same 30 retained blocks, all pairs give +0.213675 and the &lt;40 subset differs by -0.001199. This is not a newly chosen eligibility gate or an independent replication.</w:t>
      </w:r>
    </w:p>
    <w:p>
      <w:pPr>
        <w:spacing w:after="120"/>
        <w:jc w:val="both"/>
      </w:pPr>
      <w:r>
        <w:rPr>
          <w:rFonts w:ascii="Times New Roman" w:hAnsi="Times New Roman" w:eastAsia="Times New Roman"/>
        </w:rPr>
        <w:t>Within the DMSO-only observed pairs, the pooled displacement-response Spearman correlations are +0.069 for small and -0.060 for large; equal-donor means of within-well median correlations are -0.050 and -0.047. The paired-center boundary is a reproducible property of these selected rows, not proof of correct track identity or absence of selection bias. Without x/y for 2,000 baseline-detected objects missing positive A1, no displacement analysis can recover their swelling responses or test whether long-moving organoids were excluded. The full four-cell displacement histograms, lost-block ID, source hash and script are in results/displacement_sensitivity.json and scripts/audit_displacement_sensitivity.py. This audit leaves the original failed donor sign and zero-forskolin gates untouched and cannot tighten the hypothetical missing-response envelope.</w:t>
      </w:r>
    </w:p>
    <w:p>
      <w:pPr>
        <w:pStyle w:val="Heading2"/>
      </w:pPr>
      <w:r>
        <w:rPr>
          <w:rFonts w:ascii="Times New Roman" w:hAnsi="Times New Roman" w:eastAsia="Times New Roman"/>
        </w:rPr>
        <w:t>4.3p Baseline neighbor spacing and endpoint observability</w:t>
      </w:r>
    </w:p>
    <w:p>
      <w:pPr>
        <w:spacing w:after="120"/>
        <w:jc w:val="both"/>
      </w:pPr>
      <w:r>
        <w:rPr>
          <w:rFonts w:ascii="Times New Roman" w:hAnsi="Times New Roman" w:eastAsia="Times New Roman"/>
        </w:rPr>
        <w:t>A post-result, protocol-locked source-table audit measured the distance from each baseline-detected organoid to its nearest OTHER baseline-detected object in the same image, including middle-size objects in the neighbor pool (notes/postresult_neighbor_observability_protocol.md). The analysis frame is the original 31 positive-dose blocks and extreme-size cells: 6,964 baseline objects in 143 source image paths, with 4,964 positive finite endpoints. Nearest-distance quartiles are 70.9, 104.2, and 152.1 pixels. A descriptive donor-fixed-effects binomial model adjusted for arm, size, their interaction, baseline log area and detector score finds an odds ratio 1.724 for a unit increase in log(1 + nearest distance) in small objects (12-donor cluster interval on the coefficient +0.414 to +0.676); the size-by-distance ratio of odds ratios is 1.063, with an interval crossing 1. These are conditional object-level associations, not independent biological replicates.</w:t>
      </w:r>
    </w:p>
    <w:p>
      <w:pPr>
        <w:spacing w:after="120"/>
        <w:jc w:val="both"/>
      </w:pPr>
      <w:r>
        <w:rPr>
          <w:rFonts w:ascii="Times New Roman" w:hAnsi="Times New Roman" w:eastAsia="Times New Roman"/>
        </w:rPr>
        <w:t>Within 143 image paths, the closer half's mean positive-endpoint rate minus the farther half's rate is -0.101; 100 seeded within-field permutations of proximity labels give a descriptive 95% technical-null range [-0.018, +0.021]. Thus source baseline spacing marks an observability gradient, not a proven causal crowding or tracking mechanism. The source has paired t=0/t=1 keys even when A1 is blank; 2,000 endpoint responses remain unobserved, baseline-undetected organoids are outside the frame, and field paths may represent repeated acquisitions. Neither the failed original donor sign and zero-forskolin specificity gates nor the zero-crossing missing-response envelope changes. Full counts, source hash and code are in results/postresult_neighbor_observability.json and scripts/audit_postresult_neighbor_observability.py.</w:t>
      </w:r>
    </w:p>
    <w:p>
      <w:pPr>
        <w:spacing w:after="120"/>
        <w:jc w:val="both"/>
      </w:pPr>
      <w:r>
        <w:rPr>
          <w:rFonts w:ascii="Times New Roman" w:hAnsi="Times New Roman" w:eastAsia="Times New Roman"/>
        </w:rPr>
        <w:t>A retrospective composition check held image path, treatment arm and original size bin fixed before dividing each eligible stratum at its own nearest-neighbor median (notes/postresult_neighbor_stratified_sensitivity.md). 279 strata cover 6,952 of 6,964 frame objects; 5 sparse strata with 12 objects are reported, not silently dropped. The closer-minus-farther endpoint-observability difference is -0.082 with strata weighted equally, -0.068 when weighted by stratum object count and -0.077 when donor means are weighted equally (12/12 donor means negative). The largest cell-level gradient is the treated-small cell at -0.172; all four cells' counts are recorded. One hundred seeded within-stratum proximity-label permutations yield a technical-null 95% range [-0.023, +0.024] for the equal-stratum mean. The gradient therefore is not solely the pooled arm/size composition in this source frame. It is still a retrospective association, not a treatment-effect correction, tracking-causation test, or an answer for the 2,000 absent positive endpoints.</w:t>
      </w:r>
    </w:p>
    <w:p>
      <w:pPr>
        <w:pStyle w:val="Heading2"/>
      </w:pPr>
      <w:r>
        <w:rPr>
          <w:rFonts w:ascii="Times New Roman" w:hAnsi="Times New Roman" w:eastAsia="Times New Roman"/>
        </w:rPr>
        <w:t>4.3q What the observed tracks identify, and what they do not</w:t>
      </w:r>
    </w:p>
    <w:p>
      <w:pPr>
        <w:spacing w:after="120"/>
        <w:jc w:val="both"/>
      </w:pPr>
      <w:r>
        <w:rPr>
          <w:rFonts w:ascii="Times New Roman" w:hAnsi="Times New Roman" w:eastAsia="Times New Roman"/>
        </w:rPr>
        <w:t>The selection audit has three distinct denominators. The released paired-particle table contains baseline-detected organoids, including those with a blank or nonpositive endpoint; the derived response table contains a narrower subset with usable A0 and A1; the actual well may also contain organoids never detected at baseline, which neither table enumerates. These populations cannot be treated as interchangeable. The following accounting table uses only the original 31 donor-by-experiment-by-dose blocks and four pre-existing treatment/size cells, not a newly selected donor population. Its observed-endpoint fractions condition on baseline detection; they are not treatment-response rates.</w:t>
      </w:r>
    </w:p>
    <w:p>
      <w:r>
        <w:rPr>
          <w:rFonts w:ascii="Times New Roman" w:hAnsi="Times New Roman" w:eastAsia="Times New Roman"/>
          <w:b/>
        </w:rPr>
        <w:t>Table 11. Source-frame denominator audit for the four original cells. Percentiles describe selected positive-endpoint tracks and are assumptions, not known support bounds, for absent responses. Source: results/missing_endpoint_bounds.json and tabular_track_retention.json.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arm</w:t>
            </w:r>
          </w:p>
        </w:tc>
        <w:tc>
          <w:tcPr>
            <w:tcW w:type="dxa" w:w="1234"/>
          </w:tcPr>
          <w:p>
            <w:r>
              <w:rPr>
                <w:rFonts w:ascii="Times New Roman" w:hAnsi="Times New Roman" w:eastAsia="Times New Roman"/>
              </w:rPr>
              <w:t>baseline size</w:t>
            </w:r>
          </w:p>
        </w:tc>
        <w:tc>
          <w:tcPr>
            <w:tcW w:type="dxa" w:w="1234"/>
          </w:tcPr>
          <w:p>
            <w:r>
              <w:rPr>
                <w:rFonts w:ascii="Times New Roman" w:hAnsi="Times New Roman" w:eastAsia="Times New Roman"/>
              </w:rPr>
              <w:t>baseline detected</w:t>
            </w:r>
          </w:p>
        </w:tc>
        <w:tc>
          <w:tcPr>
            <w:tcW w:type="dxa" w:w="1234"/>
          </w:tcPr>
          <w:p>
            <w:r>
              <w:rPr>
                <w:rFonts w:ascii="Times New Roman" w:hAnsi="Times New Roman" w:eastAsia="Times New Roman"/>
              </w:rPr>
              <w:t>positive A1</w:t>
            </w:r>
          </w:p>
        </w:tc>
        <w:tc>
          <w:tcPr>
            <w:tcW w:type="dxa" w:w="1234"/>
          </w:tcPr>
          <w:p>
            <w:r>
              <w:rPr>
                <w:rFonts w:ascii="Times New Roman" w:hAnsi="Times New Roman" w:eastAsia="Times New Roman"/>
              </w:rPr>
              <w:t>missing A1</w:t>
            </w:r>
          </w:p>
        </w:tc>
        <w:tc>
          <w:tcPr>
            <w:tcW w:type="dxa" w:w="1234"/>
          </w:tcPr>
          <w:p>
            <w:r>
              <w:rPr>
                <w:rFonts w:ascii="Times New Roman" w:hAnsi="Times New Roman" w:eastAsia="Times New Roman"/>
              </w:rPr>
              <w:t>visible fraction</w:t>
            </w:r>
          </w:p>
        </w:tc>
        <w:tc>
          <w:tcPr>
            <w:tcW w:type="dxa" w:w="1234"/>
          </w:tcPr>
          <w:p>
            <w:r>
              <w:rPr>
                <w:rFonts w:ascii="Times New Roman" w:hAnsi="Times New Roman" w:eastAsia="Times New Roman"/>
              </w:rPr>
              <w:t>observed log-response 5-95%</w:t>
            </w:r>
          </w:p>
        </w:tc>
      </w:tr>
      <w:tr>
        <w:tc>
          <w:tcPr>
            <w:tcW w:type="dxa" w:w="1234"/>
          </w:tcPr>
          <w:p>
            <w:r>
              <w:rPr>
                <w:rFonts w:ascii="Times New Roman" w:hAnsi="Times New Roman" w:eastAsia="Times New Roman"/>
              </w:rPr>
              <w:t>DMSO</w:t>
            </w:r>
          </w:p>
        </w:tc>
        <w:tc>
          <w:tcPr>
            <w:tcW w:type="dxa" w:w="1234"/>
          </w:tcPr>
          <w:p>
            <w:r>
              <w:rPr>
                <w:rFonts w:ascii="Times New Roman" w:hAnsi="Times New Roman" w:eastAsia="Times New Roman"/>
              </w:rPr>
              <w:t>small</w:t>
            </w:r>
          </w:p>
        </w:tc>
        <w:tc>
          <w:tcPr>
            <w:tcW w:type="dxa" w:w="1234"/>
          </w:tcPr>
          <w:p>
            <w:r>
              <w:rPr>
                <w:rFonts w:ascii="Times New Roman" w:hAnsi="Times New Roman" w:eastAsia="Times New Roman"/>
              </w:rPr>
              <w:t>1248</w:t>
            </w:r>
          </w:p>
        </w:tc>
        <w:tc>
          <w:tcPr>
            <w:tcW w:type="dxa" w:w="1234"/>
          </w:tcPr>
          <w:p>
            <w:r>
              <w:rPr>
                <w:rFonts w:ascii="Times New Roman" w:hAnsi="Times New Roman" w:eastAsia="Times New Roman"/>
              </w:rPr>
              <w:t>563</w:t>
            </w:r>
          </w:p>
        </w:tc>
        <w:tc>
          <w:tcPr>
            <w:tcW w:type="dxa" w:w="1234"/>
          </w:tcPr>
          <w:p>
            <w:r>
              <w:rPr>
                <w:rFonts w:ascii="Times New Roman" w:hAnsi="Times New Roman" w:eastAsia="Times New Roman"/>
              </w:rPr>
              <w:t>685</w:t>
            </w:r>
          </w:p>
        </w:tc>
        <w:tc>
          <w:tcPr>
            <w:tcW w:type="dxa" w:w="1234"/>
          </w:tcPr>
          <w:p>
            <w:r>
              <w:rPr>
                <w:rFonts w:ascii="Times New Roman" w:hAnsi="Times New Roman" w:eastAsia="Times New Roman"/>
              </w:rPr>
              <w:t>0.451</w:t>
            </w:r>
          </w:p>
        </w:tc>
        <w:tc>
          <w:tcPr>
            <w:tcW w:type="dxa" w:w="1234"/>
          </w:tcPr>
          <w:p>
            <w:r>
              <w:rPr>
                <w:rFonts w:ascii="Times New Roman" w:hAnsi="Times New Roman" w:eastAsia="Times New Roman"/>
              </w:rPr>
              <w:t>[-0.351, +1.157]</w:t>
            </w:r>
          </w:p>
        </w:tc>
      </w:tr>
      <w:tr>
        <w:tc>
          <w:tcPr>
            <w:tcW w:type="dxa" w:w="1234"/>
          </w:tcPr>
          <w:p>
            <w:r>
              <w:rPr>
                <w:rFonts w:ascii="Times New Roman" w:hAnsi="Times New Roman" w:eastAsia="Times New Roman"/>
              </w:rPr>
              <w:t>DMSO</w:t>
            </w:r>
          </w:p>
        </w:tc>
        <w:tc>
          <w:tcPr>
            <w:tcW w:type="dxa" w:w="1234"/>
          </w:tcPr>
          <w:p>
            <w:r>
              <w:rPr>
                <w:rFonts w:ascii="Times New Roman" w:hAnsi="Times New Roman" w:eastAsia="Times New Roman"/>
              </w:rPr>
              <w:t>large</w:t>
            </w:r>
          </w:p>
        </w:tc>
        <w:tc>
          <w:tcPr>
            <w:tcW w:type="dxa" w:w="1234"/>
          </w:tcPr>
          <w:p>
            <w:r>
              <w:rPr>
                <w:rFonts w:ascii="Times New Roman" w:hAnsi="Times New Roman" w:eastAsia="Times New Roman"/>
              </w:rPr>
              <w:t>2058</w:t>
            </w:r>
          </w:p>
        </w:tc>
        <w:tc>
          <w:tcPr>
            <w:tcW w:type="dxa" w:w="1234"/>
          </w:tcPr>
          <w:p>
            <w:r>
              <w:rPr>
                <w:rFonts w:ascii="Times New Roman" w:hAnsi="Times New Roman" w:eastAsia="Times New Roman"/>
              </w:rPr>
              <w:t>1825</w:t>
            </w:r>
          </w:p>
        </w:tc>
        <w:tc>
          <w:tcPr>
            <w:tcW w:type="dxa" w:w="1234"/>
          </w:tcPr>
          <w:p>
            <w:r>
              <w:rPr>
                <w:rFonts w:ascii="Times New Roman" w:hAnsi="Times New Roman" w:eastAsia="Times New Roman"/>
              </w:rPr>
              <w:t>233</w:t>
            </w:r>
          </w:p>
        </w:tc>
        <w:tc>
          <w:tcPr>
            <w:tcW w:type="dxa" w:w="1234"/>
          </w:tcPr>
          <w:p>
            <w:r>
              <w:rPr>
                <w:rFonts w:ascii="Times New Roman" w:hAnsi="Times New Roman" w:eastAsia="Times New Roman"/>
              </w:rPr>
              <w:t>0.887</w:t>
            </w:r>
          </w:p>
        </w:tc>
        <w:tc>
          <w:tcPr>
            <w:tcW w:type="dxa" w:w="1234"/>
          </w:tcPr>
          <w:p>
            <w:r>
              <w:rPr>
                <w:rFonts w:ascii="Times New Roman" w:hAnsi="Times New Roman" w:eastAsia="Times New Roman"/>
              </w:rPr>
              <w:t>[-0.415, +0.992]</w:t>
            </w:r>
          </w:p>
        </w:tc>
      </w:tr>
      <w:tr>
        <w:tc>
          <w:tcPr>
            <w:tcW w:type="dxa" w:w="1234"/>
          </w:tcPr>
          <w:p>
            <w:r>
              <w:rPr>
                <w:rFonts w:ascii="Times New Roman" w:hAnsi="Times New Roman" w:eastAsia="Times New Roman"/>
              </w:rPr>
              <w:t>Trikafta</w:t>
            </w:r>
          </w:p>
        </w:tc>
        <w:tc>
          <w:tcPr>
            <w:tcW w:type="dxa" w:w="1234"/>
          </w:tcPr>
          <w:p>
            <w:r>
              <w:rPr>
                <w:rFonts w:ascii="Times New Roman" w:hAnsi="Times New Roman" w:eastAsia="Times New Roman"/>
              </w:rPr>
              <w:t>small</w:t>
            </w:r>
          </w:p>
        </w:tc>
        <w:tc>
          <w:tcPr>
            <w:tcW w:type="dxa" w:w="1234"/>
          </w:tcPr>
          <w:p>
            <w:r>
              <w:rPr>
                <w:rFonts w:ascii="Times New Roman" w:hAnsi="Times New Roman" w:eastAsia="Times New Roman"/>
              </w:rPr>
              <w:t>1250</w:t>
            </w:r>
          </w:p>
        </w:tc>
        <w:tc>
          <w:tcPr>
            <w:tcW w:type="dxa" w:w="1234"/>
          </w:tcPr>
          <w:p>
            <w:r>
              <w:rPr>
                <w:rFonts w:ascii="Times New Roman" w:hAnsi="Times New Roman" w:eastAsia="Times New Roman"/>
              </w:rPr>
              <w:t>571</w:t>
            </w:r>
          </w:p>
        </w:tc>
        <w:tc>
          <w:tcPr>
            <w:tcW w:type="dxa" w:w="1234"/>
          </w:tcPr>
          <w:p>
            <w:r>
              <w:rPr>
                <w:rFonts w:ascii="Times New Roman" w:hAnsi="Times New Roman" w:eastAsia="Times New Roman"/>
              </w:rPr>
              <w:t>679</w:t>
            </w:r>
          </w:p>
        </w:tc>
        <w:tc>
          <w:tcPr>
            <w:tcW w:type="dxa" w:w="1234"/>
          </w:tcPr>
          <w:p>
            <w:r>
              <w:rPr>
                <w:rFonts w:ascii="Times New Roman" w:hAnsi="Times New Roman" w:eastAsia="Times New Roman"/>
              </w:rPr>
              <w:t>0.457</w:t>
            </w:r>
          </w:p>
        </w:tc>
        <w:tc>
          <w:tcPr>
            <w:tcW w:type="dxa" w:w="1234"/>
          </w:tcPr>
          <w:p>
            <w:r>
              <w:rPr>
                <w:rFonts w:ascii="Times New Roman" w:hAnsi="Times New Roman" w:eastAsia="Times New Roman"/>
              </w:rPr>
              <w:t>[-0.258, +1.415]</w:t>
            </w:r>
          </w:p>
        </w:tc>
      </w:tr>
      <w:tr>
        <w:tc>
          <w:tcPr>
            <w:tcW w:type="dxa" w:w="1234"/>
          </w:tcPr>
          <w:p>
            <w:r>
              <w:rPr>
                <w:rFonts w:ascii="Times New Roman" w:hAnsi="Times New Roman" w:eastAsia="Times New Roman"/>
              </w:rPr>
              <w:t>Trikafta</w:t>
            </w:r>
          </w:p>
        </w:tc>
        <w:tc>
          <w:tcPr>
            <w:tcW w:type="dxa" w:w="1234"/>
          </w:tcPr>
          <w:p>
            <w:r>
              <w:rPr>
                <w:rFonts w:ascii="Times New Roman" w:hAnsi="Times New Roman" w:eastAsia="Times New Roman"/>
              </w:rPr>
              <w:t>large</w:t>
            </w:r>
          </w:p>
        </w:tc>
        <w:tc>
          <w:tcPr>
            <w:tcW w:type="dxa" w:w="1234"/>
          </w:tcPr>
          <w:p>
            <w:r>
              <w:rPr>
                <w:rFonts w:ascii="Times New Roman" w:hAnsi="Times New Roman" w:eastAsia="Times New Roman"/>
              </w:rPr>
              <w:t>2408</w:t>
            </w:r>
          </w:p>
        </w:tc>
        <w:tc>
          <w:tcPr>
            <w:tcW w:type="dxa" w:w="1234"/>
          </w:tcPr>
          <w:p>
            <w:r>
              <w:rPr>
                <w:rFonts w:ascii="Times New Roman" w:hAnsi="Times New Roman" w:eastAsia="Times New Roman"/>
              </w:rPr>
              <w:t>2005</w:t>
            </w:r>
          </w:p>
        </w:tc>
        <w:tc>
          <w:tcPr>
            <w:tcW w:type="dxa" w:w="1234"/>
          </w:tcPr>
          <w:p>
            <w:r>
              <w:rPr>
                <w:rFonts w:ascii="Times New Roman" w:hAnsi="Times New Roman" w:eastAsia="Times New Roman"/>
              </w:rPr>
              <w:t>403</w:t>
            </w:r>
          </w:p>
        </w:tc>
        <w:tc>
          <w:tcPr>
            <w:tcW w:type="dxa" w:w="1234"/>
          </w:tcPr>
          <w:p>
            <w:r>
              <w:rPr>
                <w:rFonts w:ascii="Times New Roman" w:hAnsi="Times New Roman" w:eastAsia="Times New Roman"/>
              </w:rPr>
              <w:t>0.833</w:t>
            </w:r>
          </w:p>
        </w:tc>
        <w:tc>
          <w:tcPr>
            <w:tcW w:type="dxa" w:w="1234"/>
          </w:tcPr>
          <w:p>
            <w:r>
              <w:rPr>
                <w:rFonts w:ascii="Times New Roman" w:hAnsi="Times New Roman" w:eastAsia="Times New Roman"/>
              </w:rPr>
              <w:t>[-0.005, +1.557]</w:t>
            </w:r>
          </w:p>
        </w:tc>
      </w:tr>
    </w:tbl>
    <w:p>
      <w:pPr>
        <w:spacing w:after="120"/>
        <w:jc w:val="both"/>
      </w:pPr>
      <w:r>
        <w:rPr>
          <w:rFonts w:ascii="Times New Roman" w:hAnsi="Times New Roman" w:eastAsia="Times New Roman"/>
        </w:rPr>
        <w:t>The difference between small and large organoids is not a minor rounding issue. Conditional positive-endpoint visibility is about 45% in small DMSO and 46% in small treated objects, versus 89% and 83% in the respective large cells. The treatment gap in visibility reverses across these size strata; the donor-equal gap contrast is -0.093. A donor-adjusted observability model that also includes log baseline area and detector score estimates a treatment-by-large odds ratio 0.639. The baseline high-detector-score control has the analogous odds ratio 0.976. These are features of a selected imaging pipeline, not evidence that missing small objects would swell more or less. Donor fixed effects and twelve clusters do not remove plate, imaging, field, or track-assignment confounding.</w:t>
      </w:r>
    </w:p>
    <w:p>
      <w:pPr>
        <w:spacing w:after="120"/>
        <w:jc w:val="both"/>
      </w:pPr>
      <w:r>
        <w:rPr>
          <w:rFonts w:ascii="Times New Roman" w:hAnsi="Times New Roman" w:eastAsia="Times New Roman"/>
        </w:rPr>
        <w:t>The original biological estimand is the donor-level drug-minus-DMSO contrast in large versus small log swelling. It differs from the estimand of the observability model, which is whether a baseline-detected object receives a positive A1. Conditioning the swelling analysis on a positive A1 may induce selection dependence between initial size and an unmeasured cause of endpoint detection. An inverse-inclusion model fitted among rows with both positive areas can address only selection into the derived table among those already observed; it cannot recover the 2,000 absent positive endpoints. This is why the small shift in cross-fit inclusion-weighted means is not a missing-data correction, and why a baseline score control does not identify unmeasured endpoint values.</w:t>
      </w:r>
    </w:p>
    <w:p>
      <w:pPr>
        <w:spacing w:after="120"/>
        <w:jc w:val="both"/>
      </w:pPr>
      <w:r>
        <w:rPr>
          <w:rFonts w:ascii="Times New Roman" w:hAnsi="Times New Roman" w:eastAsia="Times New Roman"/>
        </w:rPr>
        <w:t>A separate spacing audit gives a measured example of this selection structure. Within image-path, treatment and size strata, closer baseline neighbors have an equal-stratum positive-endpoint rate 0.082 below farther neighbors; 279 eligible strata retain 6,952 of 6,964 source-frame objects and all twelve donor-equal differences have the same negative direction. Distance is a baseline geometry proxy, not a randomized crowding intervention: object density, image quality, local tracking competition and acquisition repetition can all generate it. A field-stratified association is informative about where data are lost, but does not estimate the missing swelling response or the biological size mechanism.</w:t>
      </w:r>
    </w:p>
    <w:p>
      <w:pPr>
        <w:pStyle w:val="Heading2"/>
      </w:pPr>
      <w:r>
        <w:rPr>
          <w:rFonts w:ascii="Times New Roman" w:hAnsi="Times New Roman" w:eastAsia="Times New Roman"/>
        </w:rPr>
        <w:t>4.3r Conditional missing-response bounds across donors</w:t>
      </w:r>
    </w:p>
    <w:p>
      <w:pPr>
        <w:spacing w:after="120"/>
        <w:jc w:val="both"/>
      </w:pPr>
      <w:r>
        <w:rPr>
          <w:rFonts w:ascii="Times New Roman" w:hAnsi="Times New Roman" w:eastAsia="Times New Roman"/>
        </w:rPr>
        <w:t>To expose how much the missing responses matter at the donor level rather than only in a pooled interval, the following table lists the fixed-donor contrast under three previously committed analyses. The first uses only source pairs with positive A0 and A1; the latter two impute each missing endpoint at an adverse or favorable observed cell-specific percentile. These endpoints are conditional scenario bounds, not formal identification bounds: the 5th and 95th percentiles of observed tracks need not contain the missing outcomes. The same donor, experiment, dose and size eligibility from the original blocked test is kept throughout.</w:t>
      </w:r>
    </w:p>
    <w:p>
      <w:r>
        <w:rPr>
          <w:rFonts w:ascii="Times New Roman" w:hAnsi="Times New Roman" w:eastAsia="Times New Roman"/>
          <w:b/>
        </w:rPr>
        <w:t>Table 12. Fixed donor-level median block contrasts in log swelling. Scenario columns do not constitute confidence intervals or imputed outcomes; source: results/tabular_track_retention.json and results/missing_endpoint_bounds.json.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donor</w:t>
            </w:r>
          </w:p>
        </w:tc>
        <w:tc>
          <w:tcPr>
            <w:tcW w:type="dxa" w:w="2160"/>
          </w:tcPr>
          <w:p>
            <w:r>
              <w:rPr>
                <w:rFonts w:ascii="Times New Roman" w:hAnsi="Times New Roman" w:eastAsia="Times New Roman"/>
              </w:rPr>
              <w:t>observed positive-pair contrast</w:t>
            </w:r>
          </w:p>
        </w:tc>
        <w:tc>
          <w:tcPr>
            <w:tcW w:type="dxa" w:w="2160"/>
          </w:tcPr>
          <w:p>
            <w:r>
              <w:rPr>
                <w:rFonts w:ascii="Times New Roman" w:hAnsi="Times New Roman" w:eastAsia="Times New Roman"/>
              </w:rPr>
              <w:t>adverse percentile scenario</w:t>
            </w:r>
          </w:p>
        </w:tc>
        <w:tc>
          <w:tcPr>
            <w:tcW w:type="dxa" w:w="2160"/>
          </w:tcPr>
          <w:p>
            <w:r>
              <w:rPr>
                <w:rFonts w:ascii="Times New Roman" w:hAnsi="Times New Roman" w:eastAsia="Times New Roman"/>
              </w:rPr>
              <w:t>favorable percentile scenario</w:t>
            </w:r>
          </w:p>
        </w:tc>
      </w:tr>
      <w:tr>
        <w:tc>
          <w:tcPr>
            <w:tcW w:type="dxa" w:w="2160"/>
          </w:tcPr>
          <w:p>
            <w:r>
              <w:rPr>
                <w:rFonts w:ascii="Times New Roman" w:hAnsi="Times New Roman" w:eastAsia="Times New Roman"/>
              </w:rPr>
              <w:t>PDIO_01</w:t>
            </w:r>
          </w:p>
        </w:tc>
        <w:tc>
          <w:tcPr>
            <w:tcW w:type="dxa" w:w="2160"/>
          </w:tcPr>
          <w:p>
            <w:r>
              <w:rPr>
                <w:rFonts w:ascii="Times New Roman" w:hAnsi="Times New Roman" w:eastAsia="Times New Roman"/>
              </w:rPr>
              <w:t>+0.039</w:t>
            </w:r>
          </w:p>
        </w:tc>
        <w:tc>
          <w:tcPr>
            <w:tcW w:type="dxa" w:w="2160"/>
          </w:tcPr>
          <w:p>
            <w:r>
              <w:rPr>
                <w:rFonts w:ascii="Times New Roman" w:hAnsi="Times New Roman" w:eastAsia="Times New Roman"/>
              </w:rPr>
              <w:t>-0.669</w:t>
            </w:r>
          </w:p>
        </w:tc>
        <w:tc>
          <w:tcPr>
            <w:tcW w:type="dxa" w:w="2160"/>
          </w:tcPr>
          <w:p>
            <w:r>
              <w:rPr>
                <w:rFonts w:ascii="Times New Roman" w:hAnsi="Times New Roman" w:eastAsia="Times New Roman"/>
              </w:rPr>
              <w:t>+1.304</w:t>
            </w:r>
          </w:p>
        </w:tc>
      </w:tr>
      <w:tr>
        <w:tc>
          <w:tcPr>
            <w:tcW w:type="dxa" w:w="2160"/>
          </w:tcPr>
          <w:p>
            <w:r>
              <w:rPr>
                <w:rFonts w:ascii="Times New Roman" w:hAnsi="Times New Roman" w:eastAsia="Times New Roman"/>
              </w:rPr>
              <w:t>PDIO_03</w:t>
            </w:r>
          </w:p>
        </w:tc>
        <w:tc>
          <w:tcPr>
            <w:tcW w:type="dxa" w:w="2160"/>
          </w:tcPr>
          <w:p>
            <w:r>
              <w:rPr>
                <w:rFonts w:ascii="Times New Roman" w:hAnsi="Times New Roman" w:eastAsia="Times New Roman"/>
              </w:rPr>
              <w:t>+0.351</w:t>
            </w:r>
          </w:p>
        </w:tc>
        <w:tc>
          <w:tcPr>
            <w:tcW w:type="dxa" w:w="2160"/>
          </w:tcPr>
          <w:p>
            <w:r>
              <w:rPr>
                <w:rFonts w:ascii="Times New Roman" w:hAnsi="Times New Roman" w:eastAsia="Times New Roman"/>
              </w:rPr>
              <w:t>-0.379</w:t>
            </w:r>
          </w:p>
        </w:tc>
        <w:tc>
          <w:tcPr>
            <w:tcW w:type="dxa" w:w="2160"/>
          </w:tcPr>
          <w:p>
            <w:r>
              <w:rPr>
                <w:rFonts w:ascii="Times New Roman" w:hAnsi="Times New Roman" w:eastAsia="Times New Roman"/>
              </w:rPr>
              <w:t>+1.150</w:t>
            </w:r>
          </w:p>
        </w:tc>
      </w:tr>
      <w:tr>
        <w:tc>
          <w:tcPr>
            <w:tcW w:type="dxa" w:w="2160"/>
          </w:tcPr>
          <w:p>
            <w:r>
              <w:rPr>
                <w:rFonts w:ascii="Times New Roman" w:hAnsi="Times New Roman" w:eastAsia="Times New Roman"/>
              </w:rPr>
              <w:t>PDIO_05</w:t>
            </w:r>
          </w:p>
        </w:tc>
        <w:tc>
          <w:tcPr>
            <w:tcW w:type="dxa" w:w="2160"/>
          </w:tcPr>
          <w:p>
            <w:r>
              <w:rPr>
                <w:rFonts w:ascii="Times New Roman" w:hAnsi="Times New Roman" w:eastAsia="Times New Roman"/>
              </w:rPr>
              <w:t>+0.540</w:t>
            </w:r>
          </w:p>
        </w:tc>
        <w:tc>
          <w:tcPr>
            <w:tcW w:type="dxa" w:w="2160"/>
          </w:tcPr>
          <w:p>
            <w:r>
              <w:rPr>
                <w:rFonts w:ascii="Times New Roman" w:hAnsi="Times New Roman" w:eastAsia="Times New Roman"/>
              </w:rPr>
              <w:t>-0.468</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PDIO_06</w:t>
            </w:r>
          </w:p>
        </w:tc>
        <w:tc>
          <w:tcPr>
            <w:tcW w:type="dxa" w:w="2160"/>
          </w:tcPr>
          <w:p>
            <w:r>
              <w:rPr>
                <w:rFonts w:ascii="Times New Roman" w:hAnsi="Times New Roman" w:eastAsia="Times New Roman"/>
              </w:rPr>
              <w:t>+0.371</w:t>
            </w:r>
          </w:p>
        </w:tc>
        <w:tc>
          <w:tcPr>
            <w:tcW w:type="dxa" w:w="2160"/>
          </w:tcPr>
          <w:p>
            <w:r>
              <w:rPr>
                <w:rFonts w:ascii="Times New Roman" w:hAnsi="Times New Roman" w:eastAsia="Times New Roman"/>
              </w:rPr>
              <w:t>-0.619</w:t>
            </w:r>
          </w:p>
        </w:tc>
        <w:tc>
          <w:tcPr>
            <w:tcW w:type="dxa" w:w="2160"/>
          </w:tcPr>
          <w:p>
            <w:r>
              <w:rPr>
                <w:rFonts w:ascii="Times New Roman" w:hAnsi="Times New Roman" w:eastAsia="Times New Roman"/>
              </w:rPr>
              <w:t>+1.540</w:t>
            </w:r>
          </w:p>
        </w:tc>
      </w:tr>
      <w:tr>
        <w:tc>
          <w:tcPr>
            <w:tcW w:type="dxa" w:w="2160"/>
          </w:tcPr>
          <w:p>
            <w:r>
              <w:rPr>
                <w:rFonts w:ascii="Times New Roman" w:hAnsi="Times New Roman" w:eastAsia="Times New Roman"/>
              </w:rPr>
              <w:t>PDIO_09</w:t>
            </w:r>
          </w:p>
        </w:tc>
        <w:tc>
          <w:tcPr>
            <w:tcW w:type="dxa" w:w="2160"/>
          </w:tcPr>
          <w:p>
            <w:r>
              <w:rPr>
                <w:rFonts w:ascii="Times New Roman" w:hAnsi="Times New Roman" w:eastAsia="Times New Roman"/>
              </w:rPr>
              <w:t>+0.201</w:t>
            </w:r>
          </w:p>
        </w:tc>
        <w:tc>
          <w:tcPr>
            <w:tcW w:type="dxa" w:w="2160"/>
          </w:tcPr>
          <w:p>
            <w:r>
              <w:rPr>
                <w:rFonts w:ascii="Times New Roman" w:hAnsi="Times New Roman" w:eastAsia="Times New Roman"/>
              </w:rPr>
              <w:t>-0.449</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PDIO_11</w:t>
            </w:r>
          </w:p>
        </w:tc>
        <w:tc>
          <w:tcPr>
            <w:tcW w:type="dxa" w:w="2160"/>
          </w:tcPr>
          <w:p>
            <w:r>
              <w:rPr>
                <w:rFonts w:ascii="Times New Roman" w:hAnsi="Times New Roman" w:eastAsia="Times New Roman"/>
              </w:rPr>
              <w:t>+0.366</w:t>
            </w:r>
          </w:p>
        </w:tc>
        <w:tc>
          <w:tcPr>
            <w:tcW w:type="dxa" w:w="2160"/>
          </w:tcPr>
          <w:p>
            <w:r>
              <w:rPr>
                <w:rFonts w:ascii="Times New Roman" w:hAnsi="Times New Roman" w:eastAsia="Times New Roman"/>
              </w:rPr>
              <w:t>-0.455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PDIO_12</w:t>
            </w:r>
          </w:p>
        </w:tc>
        <w:tc>
          <w:tcPr>
            <w:tcW w:type="dxa" w:w="2160"/>
          </w:tcPr>
          <w:p>
            <w:r>
              <w:rPr>
                <w:rFonts w:ascii="Times New Roman" w:hAnsi="Times New Roman" w:eastAsia="Times New Roman"/>
              </w:rPr>
              <w:t>+0.418</w:t>
            </w:r>
          </w:p>
        </w:tc>
        <w:tc>
          <w:tcPr>
            <w:tcW w:type="dxa" w:w="2160"/>
          </w:tcPr>
          <w:p>
            <w:r>
              <w:rPr>
                <w:rFonts w:ascii="Times New Roman" w:hAnsi="Times New Roman" w:eastAsia="Times New Roman"/>
              </w:rPr>
              <w:t>-0.667</w:t>
            </w:r>
          </w:p>
        </w:tc>
        <w:tc>
          <w:tcPr>
            <w:tcW w:type="dxa" w:w="2160"/>
          </w:tcPr>
          <w:p>
            <w:r>
              <w:rPr>
                <w:rFonts w:ascii="Times New Roman" w:hAnsi="Times New Roman" w:eastAsia="Times New Roman"/>
              </w:rPr>
              <w:t>+1.351</w:t>
            </w:r>
          </w:p>
        </w:tc>
      </w:tr>
      <w:tr>
        <w:tc>
          <w:tcPr>
            <w:tcW w:type="dxa" w:w="2160"/>
          </w:tcPr>
          <w:p>
            <w:r>
              <w:rPr>
                <w:rFonts w:ascii="Times New Roman" w:hAnsi="Times New Roman" w:eastAsia="Times New Roman"/>
              </w:rPr>
              <w:t>PDIO_13</w:t>
            </w:r>
          </w:p>
        </w:tc>
        <w:tc>
          <w:tcPr>
            <w:tcW w:type="dxa" w:w="2160"/>
          </w:tcPr>
          <w:p>
            <w:r>
              <w:rPr>
                <w:rFonts w:ascii="Times New Roman" w:hAnsi="Times New Roman" w:eastAsia="Times New Roman"/>
              </w:rPr>
              <w:t>+0.273</w:t>
            </w:r>
          </w:p>
        </w:tc>
        <w:tc>
          <w:tcPr>
            <w:tcW w:type="dxa" w:w="2160"/>
          </w:tcPr>
          <w:p>
            <w:r>
              <w:rPr>
                <w:rFonts w:ascii="Times New Roman" w:hAnsi="Times New Roman" w:eastAsia="Times New Roman"/>
              </w:rPr>
              <w:t>-0.944</w:t>
            </w:r>
          </w:p>
        </w:tc>
        <w:tc>
          <w:tcPr>
            <w:tcW w:type="dxa" w:w="2160"/>
          </w:tcPr>
          <w:p>
            <w:r>
              <w:rPr>
                <w:rFonts w:ascii="Times New Roman" w:hAnsi="Times New Roman" w:eastAsia="Times New Roman"/>
              </w:rPr>
              <w:t>+1.685</w:t>
            </w:r>
          </w:p>
        </w:tc>
      </w:tr>
      <w:tr>
        <w:tc>
          <w:tcPr>
            <w:tcW w:type="dxa" w:w="2160"/>
          </w:tcPr>
          <w:p>
            <w:r>
              <w:rPr>
                <w:rFonts w:ascii="Times New Roman" w:hAnsi="Times New Roman" w:eastAsia="Times New Roman"/>
              </w:rPr>
              <w:t>PDIO_14</w:t>
            </w:r>
          </w:p>
        </w:tc>
        <w:tc>
          <w:tcPr>
            <w:tcW w:type="dxa" w:w="2160"/>
          </w:tcPr>
          <w:p>
            <w:r>
              <w:rPr>
                <w:rFonts w:ascii="Times New Roman" w:hAnsi="Times New Roman" w:eastAsia="Times New Roman"/>
              </w:rPr>
              <w:t>-0.193</w:t>
            </w:r>
          </w:p>
        </w:tc>
        <w:tc>
          <w:tcPr>
            <w:tcW w:type="dxa" w:w="2160"/>
          </w:tcPr>
          <w:p>
            <w:r>
              <w:rPr>
                <w:rFonts w:ascii="Times New Roman" w:hAnsi="Times New Roman" w:eastAsia="Times New Roman"/>
              </w:rPr>
              <w:t>-0.969</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PDIO_15</w:t>
            </w:r>
          </w:p>
        </w:tc>
        <w:tc>
          <w:tcPr>
            <w:tcW w:type="dxa" w:w="2160"/>
          </w:tcPr>
          <w:p>
            <w:r>
              <w:rPr>
                <w:rFonts w:ascii="Times New Roman" w:hAnsi="Times New Roman" w:eastAsia="Times New Roman"/>
              </w:rPr>
              <w:t>+0.301</w:t>
            </w:r>
          </w:p>
        </w:tc>
        <w:tc>
          <w:tcPr>
            <w:tcW w:type="dxa" w:w="2160"/>
          </w:tcPr>
          <w:p>
            <w:r>
              <w:rPr>
                <w:rFonts w:ascii="Times New Roman" w:hAnsi="Times New Roman" w:eastAsia="Times New Roman"/>
              </w:rPr>
              <w:t>-1.025</w:t>
            </w:r>
          </w:p>
        </w:tc>
        <w:tc>
          <w:tcPr>
            <w:tcW w:type="dxa" w:w="2160"/>
          </w:tcPr>
          <w:p>
            <w:r>
              <w:rPr>
                <w:rFonts w:ascii="Times New Roman" w:hAnsi="Times New Roman" w:eastAsia="Times New Roman"/>
              </w:rPr>
              <w:t>+1.369</w:t>
            </w:r>
          </w:p>
        </w:tc>
      </w:tr>
      <w:tr>
        <w:tc>
          <w:tcPr>
            <w:tcW w:type="dxa" w:w="2160"/>
          </w:tcPr>
          <w:p>
            <w:r>
              <w:rPr>
                <w:rFonts w:ascii="Times New Roman" w:hAnsi="Times New Roman" w:eastAsia="Times New Roman"/>
              </w:rPr>
              <w:t>PDIO_16</w:t>
            </w:r>
          </w:p>
        </w:tc>
        <w:tc>
          <w:tcPr>
            <w:tcW w:type="dxa" w:w="2160"/>
          </w:tcPr>
          <w:p>
            <w:r>
              <w:rPr>
                <w:rFonts w:ascii="Times New Roman" w:hAnsi="Times New Roman" w:eastAsia="Times New Roman"/>
              </w:rPr>
              <w:t>-0.097</w:t>
            </w:r>
          </w:p>
        </w:tc>
        <w:tc>
          <w:tcPr>
            <w:tcW w:type="dxa" w:w="2160"/>
          </w:tcPr>
          <w:p>
            <w:r>
              <w:rPr>
                <w:rFonts w:ascii="Times New Roman" w:hAnsi="Times New Roman" w:eastAsia="Times New Roman"/>
              </w:rPr>
              <w:t>-1.328</w:t>
            </w:r>
          </w:p>
        </w:tc>
        <w:tc>
          <w:tcPr>
            <w:tcW w:type="dxa" w:w="2160"/>
          </w:tcPr>
          <w:p>
            <w:r>
              <w:rPr>
                <w:rFonts w:ascii="Times New Roman" w:hAnsi="Times New Roman" w:eastAsia="Times New Roman"/>
              </w:rPr>
              <w:t>+1.391</w:t>
            </w:r>
          </w:p>
        </w:tc>
      </w:tr>
      <w:tr>
        <w:tc>
          <w:tcPr>
            <w:tcW w:type="dxa" w:w="2160"/>
          </w:tcPr>
          <w:p>
            <w:r>
              <w:rPr>
                <w:rFonts w:ascii="Times New Roman" w:hAnsi="Times New Roman" w:eastAsia="Times New Roman"/>
              </w:rPr>
              <w:t>PDIO_18</w:t>
            </w:r>
          </w:p>
        </w:tc>
        <w:tc>
          <w:tcPr>
            <w:tcW w:type="dxa" w:w="2160"/>
          </w:tcPr>
          <w:p>
            <w:r>
              <w:rPr>
                <w:rFonts w:ascii="Times New Roman" w:hAnsi="Times New Roman" w:eastAsia="Times New Roman"/>
              </w:rPr>
              <w:t>-0.073</w:t>
            </w:r>
          </w:p>
        </w:tc>
        <w:tc>
          <w:tcPr>
            <w:tcW w:type="dxa" w:w="2160"/>
          </w:tcPr>
          <w:p>
            <w:r>
              <w:rPr>
                <w:rFonts w:ascii="Times New Roman" w:hAnsi="Times New Roman" w:eastAsia="Times New Roman"/>
              </w:rPr>
              <w:t>-0.967</w:t>
            </w:r>
          </w:p>
        </w:tc>
        <w:tc>
          <w:tcPr>
            <w:tcW w:type="dxa" w:w="2160"/>
          </w:tcPr>
          <w:p>
            <w:r>
              <w:rPr>
                <w:rFonts w:ascii="Times New Roman" w:hAnsi="Times New Roman" w:eastAsia="Times New Roman"/>
              </w:rPr>
              <w:t>+1.235</w:t>
            </w:r>
          </w:p>
        </w:tc>
      </w:tr>
    </w:tbl>
    <w:p>
      <w:pPr>
        <w:spacing w:after="120"/>
        <w:jc w:val="both"/>
      </w:pPr>
      <w:r>
        <w:rPr>
          <w:rFonts w:ascii="Times New Roman" w:hAnsi="Times New Roman" w:eastAsia="Times New Roman"/>
        </w:rPr>
        <w:t>Across donors, the equal-donor mean of observed positive-pair contrasts is +0.208; the adverse and favorable percentile scenarios span -0.745 to +1.362. No donor remains positive in the adverse scenario; all twelve are positive under the favorable one. Because zero lies in this conditional envelope, source-table endpoint observability alone cannot establish the direction of the full baseline-detected-population effect. These scenarios alter only the missing A1 values; they cannot address organoids absent at A0, incorrect track links, size-dependent area error or the failed zero-forskolin specificity test.</w:t>
      </w:r>
    </w:p>
    <w:p>
      <w:pPr>
        <w:spacing w:after="120"/>
        <w:jc w:val="both"/>
      </w:pPr>
      <w:r>
        <w:rPr>
          <w:rFonts w:ascii="Times New Roman" w:hAnsi="Times New Roman" w:eastAsia="Times New Roman"/>
        </w:rPr>
        <w:t>A less adversarial one-arm tipping exercise holds three missing cells at their observed medians and increases only the hypothetical small-treated missing log response. The equal-donor mean reaches zero after a +0.61 log-unit shift; this is a scenario threshold, not a fitted estimate of those missing responses. Its direction matters: greater swelling among missing treated-small objects raises the small-treatment effect and can erase the observed large-minus-small difference. The percentile envelope is broader because it permits all four cells to vary together. Neither calculation selects a correction to apply to clinical data.</w:t>
      </w:r>
    </w:p>
    <w:p>
      <w:pPr>
        <w:spacing w:after="120"/>
        <w:jc w:val="both"/>
      </w:pPr>
      <w:r>
        <w:rPr>
          <w:rFonts w:ascii="Times New Roman" w:hAnsi="Times New Roman" w:eastAsia="Times New Roman"/>
        </w:rPr>
        <w:t>The next discriminating measurement is not another threshold tuned to this accession. A new acquisition should enumerate all baseline objects before filtering, retain raw masks at both time points, identify fields/plates/donors, audit possible one-to-many tracks, and include positive, zero-forskolin and CFTR-inhibitor controls. Lock the size function, donor-level endpoint, missingness model and analysis plan before new outcomes are opened. Until then, the substantive result of the present pipeline is a quantified selection problem and a within-accession size association with failed companion gates, not a verified CFTR-specific size mechanism or a patient predictor.</w:t>
      </w:r>
    </w:p>
    <w:p>
      <w:pPr>
        <w:pStyle w:val="Heading2"/>
      </w:pPr>
      <w:r>
        <w:rPr>
          <w:rFonts w:ascii="Times New Roman" w:hAnsi="Times New Roman" w:eastAsia="Times New Roman"/>
        </w:rPr>
        <w:t>4.3s Denominator check: what inclusion weights cannot recover</w:t>
      </w:r>
    </w:p>
    <w:p>
      <w:pPr>
        <w:spacing w:after="120"/>
        <w:jc w:val="both"/>
      </w:pPr>
      <w:r>
        <w:rPr>
          <w:rFonts w:ascii="Times New Roman" w:hAnsi="Times New Roman" w:eastAsia="Times New Roman"/>
        </w:rPr>
        <w:t>An independent arithmetic audit joins the source-table retention counts, the missing-endpoint scenario ledger and the cross-fit inclusion result by their exact DIS_database.csv SHA256. The four original treatment-by-size cells contain 6,964 baseline-detected positive-area objects, of which 4,964 have positive A1. Their 2,000 absent or nonpositive endpoints break down as 685 small DMSO, 679 small treated, 233 large DMSO and 403 large treated. Of the 4,964 observed positive pairs, 4,776 enter the derived table and 188 do not. Thus the cross-fit weights address the narrower 188-within-positive-pairs exclusion; they cannot assign swelling values to the 2,000 missing-A1 objects. A model that treats those weights as correcting full track attrition would silently switch populations.</w:t>
      </w:r>
    </w:p>
    <w:p>
      <w:pPr>
        <w:spacing w:after="120"/>
        <w:jc w:val="both"/>
      </w:pPr>
      <w:r>
        <w:rPr>
          <w:rFonts w:ascii="Times New Roman" w:hAnsi="Times New Roman" w:eastAsia="Times New Roman"/>
        </w:rPr>
        <w:t>The inclusion model also uses log A1 and t1 detector score among positive-area pairs. That can describe how recorded endpoints enter the derived table, but it is not a pretreatment propensity model for causal weighting. The published source CSV has bounding-box coordinates and path strings for images/masks, not accessible image/mask pixels for this audit or a label for why A1 is absent. Baseline-undetected objects are outside its denominator. Assigning missing responses to observed-cell 5th/95th percentiles gives the previously reported equal-donor scenario range -0.745 to +1.362, crossing zero, but these numbers are assumptions about missing responses rather than confidence limits. The source-specific numerator and denominator ledger is results/postresult_attrition_model_limit.json. None of these checks repair the failed sign-only, specificity or independent-cohort requirements.</w:t>
      </w:r>
    </w:p>
    <w:p>
      <w:pPr>
        <w:pStyle w:val="Heading2"/>
      </w:pPr>
      <w:r>
        <w:rPr>
          <w:rFonts w:ascii="Times New Roman" w:hAnsi="Times New Roman" w:eastAsia="Times New Roman"/>
        </w:rPr>
        <w:t>4.3t Across-donor visibility is heterogeneous</w:t>
      </w:r>
    </w:p>
    <w:p>
      <w:pPr>
        <w:spacing w:after="120"/>
        <w:jc w:val="both"/>
      </w:pPr>
      <w:r>
        <w:rPr>
          <w:rFonts w:ascii="Times New Roman" w:hAnsi="Times New Roman" w:eastAsia="Times New Roman"/>
        </w:rPr>
        <w:t>A fixed post-result donor decomposition of the same source-table frame retains every original donor instead of treating the pooled 6,964 detected objects as a single experiment. The script joins each baseline and endpoint on the source particle key, repeats the existing block and size filters, and asserts that all 2,000 absent or nonpositive A1 observations still appear in the denominator. The table lists donor-specific detection fractions in each treatment/size cell, not swelling contrasts. A visibility interaction is the treatment-minus-DMSO observability gap among large objects minus the same gap among small objects. It has no units of log swelling and cannot be read as an estimate of the biological effect.</w:t>
      </w:r>
    </w:p>
    <w:p>
      <w:r>
        <w:rPr>
          <w:rFonts w:ascii="Times New Roman" w:hAnsi="Times New Roman" w:eastAsia="Times New Roman"/>
          <w:b/>
        </w:rPr>
        <w:t>Table 13. Positive A1 / baseline-detected in each donor cell. Doses and experiments are pooled only within a donor. Source: results/postresult_donor_attrition_decomposition.json; see exact cell-level missing counts there.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donor</w:t>
            </w:r>
          </w:p>
        </w:tc>
        <w:tc>
          <w:tcPr>
            <w:tcW w:type="dxa" w:w="1234"/>
          </w:tcPr>
          <w:p>
            <w:r>
              <w:rPr>
                <w:rFonts w:ascii="Times New Roman" w:hAnsi="Times New Roman" w:eastAsia="Times New Roman"/>
              </w:rPr>
              <w:t>all t0</w:t>
            </w:r>
          </w:p>
        </w:tc>
        <w:tc>
          <w:tcPr>
            <w:tcW w:type="dxa" w:w="1234"/>
          </w:tcPr>
          <w:p>
            <w:r>
              <w:rPr>
                <w:rFonts w:ascii="Times New Roman" w:hAnsi="Times New Roman" w:eastAsia="Times New Roman"/>
              </w:rPr>
              <w:t>DMSO small</w:t>
            </w:r>
          </w:p>
        </w:tc>
        <w:tc>
          <w:tcPr>
            <w:tcW w:type="dxa" w:w="1234"/>
          </w:tcPr>
          <w:p>
            <w:r>
              <w:rPr>
                <w:rFonts w:ascii="Times New Roman" w:hAnsi="Times New Roman" w:eastAsia="Times New Roman"/>
              </w:rPr>
              <w:t>DMSO large</w:t>
            </w:r>
          </w:p>
        </w:tc>
        <w:tc>
          <w:tcPr>
            <w:tcW w:type="dxa" w:w="1234"/>
          </w:tcPr>
          <w:p>
            <w:r>
              <w:rPr>
                <w:rFonts w:ascii="Times New Roman" w:hAnsi="Times New Roman" w:eastAsia="Times New Roman"/>
              </w:rPr>
              <w:t>drug small</w:t>
            </w:r>
          </w:p>
        </w:tc>
        <w:tc>
          <w:tcPr>
            <w:tcW w:type="dxa" w:w="1234"/>
          </w:tcPr>
          <w:p>
            <w:r>
              <w:rPr>
                <w:rFonts w:ascii="Times New Roman" w:hAnsi="Times New Roman" w:eastAsia="Times New Roman"/>
              </w:rPr>
              <w:t>drug large</w:t>
            </w:r>
          </w:p>
        </w:tc>
        <w:tc>
          <w:tcPr>
            <w:tcW w:type="dxa" w:w="1234"/>
          </w:tcPr>
          <w:p>
            <w:r>
              <w:rPr>
                <w:rFonts w:ascii="Times New Roman" w:hAnsi="Times New Roman" w:eastAsia="Times New Roman"/>
              </w:rPr>
              <w:t>gap diff.</w:t>
            </w:r>
          </w:p>
        </w:tc>
      </w:tr>
      <w:tr>
        <w:tc>
          <w:tcPr>
            <w:tcW w:type="dxa" w:w="1234"/>
          </w:tcPr>
          <w:p>
            <w:r>
              <w:rPr>
                <w:rFonts w:ascii="Times New Roman" w:hAnsi="Times New Roman" w:eastAsia="Times New Roman"/>
              </w:rPr>
              <w:t>PDIO_01</w:t>
            </w:r>
          </w:p>
        </w:tc>
        <w:tc>
          <w:tcPr>
            <w:tcW w:type="dxa" w:w="1234"/>
          </w:tcPr>
          <w:p>
            <w:r>
              <w:rPr>
                <w:rFonts w:ascii="Times New Roman" w:hAnsi="Times New Roman" w:eastAsia="Times New Roman"/>
              </w:rPr>
              <w:t>167</w:t>
            </w:r>
          </w:p>
        </w:tc>
        <w:tc>
          <w:tcPr>
            <w:tcW w:type="dxa" w:w="1234"/>
          </w:tcPr>
          <w:p>
            <w:r>
              <w:rPr>
                <w:rFonts w:ascii="Times New Roman" w:hAnsi="Times New Roman" w:eastAsia="Times New Roman"/>
              </w:rPr>
              <w:t>5/21</w:t>
            </w:r>
          </w:p>
        </w:tc>
        <w:tc>
          <w:tcPr>
            <w:tcW w:type="dxa" w:w="1234"/>
          </w:tcPr>
          <w:p>
            <w:r>
              <w:rPr>
                <w:rFonts w:ascii="Times New Roman" w:hAnsi="Times New Roman" w:eastAsia="Times New Roman"/>
              </w:rPr>
              <w:t>67/72</w:t>
            </w:r>
          </w:p>
        </w:tc>
        <w:tc>
          <w:tcPr>
            <w:tcW w:type="dxa" w:w="1234"/>
          </w:tcPr>
          <w:p>
            <w:r>
              <w:rPr>
                <w:rFonts w:ascii="Times New Roman" w:hAnsi="Times New Roman" w:eastAsia="Times New Roman"/>
              </w:rPr>
              <w:t>6/9</w:t>
            </w:r>
          </w:p>
        </w:tc>
        <w:tc>
          <w:tcPr>
            <w:tcW w:type="dxa" w:w="1234"/>
          </w:tcPr>
          <w:p>
            <w:r>
              <w:rPr>
                <w:rFonts w:ascii="Times New Roman" w:hAnsi="Times New Roman" w:eastAsia="Times New Roman"/>
              </w:rPr>
              <w:t>58/65</w:t>
            </w:r>
          </w:p>
        </w:tc>
        <w:tc>
          <w:tcPr>
            <w:tcW w:type="dxa" w:w="1234"/>
          </w:tcPr>
          <w:p>
            <w:r>
              <w:rPr>
                <w:rFonts w:ascii="Times New Roman" w:hAnsi="Times New Roman" w:eastAsia="Times New Roman"/>
              </w:rPr>
              <w:t>-0.467</w:t>
            </w:r>
          </w:p>
        </w:tc>
      </w:tr>
      <w:tr>
        <w:tc>
          <w:tcPr>
            <w:tcW w:type="dxa" w:w="1234"/>
          </w:tcPr>
          <w:p>
            <w:r>
              <w:rPr>
                <w:rFonts w:ascii="Times New Roman" w:hAnsi="Times New Roman" w:eastAsia="Times New Roman"/>
              </w:rPr>
              <w:t>PDIO_03</w:t>
            </w:r>
          </w:p>
        </w:tc>
        <w:tc>
          <w:tcPr>
            <w:tcW w:type="dxa" w:w="1234"/>
          </w:tcPr>
          <w:p>
            <w:r>
              <w:rPr>
                <w:rFonts w:ascii="Times New Roman" w:hAnsi="Times New Roman" w:eastAsia="Times New Roman"/>
              </w:rPr>
              <w:t>975</w:t>
            </w:r>
          </w:p>
        </w:tc>
        <w:tc>
          <w:tcPr>
            <w:tcW w:type="dxa" w:w="1234"/>
          </w:tcPr>
          <w:p>
            <w:r>
              <w:rPr>
                <w:rFonts w:ascii="Times New Roman" w:hAnsi="Times New Roman" w:eastAsia="Times New Roman"/>
              </w:rPr>
              <w:t>131/224</w:t>
            </w:r>
          </w:p>
        </w:tc>
        <w:tc>
          <w:tcPr>
            <w:tcW w:type="dxa" w:w="1234"/>
          </w:tcPr>
          <w:p>
            <w:r>
              <w:rPr>
                <w:rFonts w:ascii="Times New Roman" w:hAnsi="Times New Roman" w:eastAsia="Times New Roman"/>
              </w:rPr>
              <w:t>217/238</w:t>
            </w:r>
          </w:p>
        </w:tc>
        <w:tc>
          <w:tcPr>
            <w:tcW w:type="dxa" w:w="1234"/>
          </w:tcPr>
          <w:p>
            <w:r>
              <w:rPr>
                <w:rFonts w:ascii="Times New Roman" w:hAnsi="Times New Roman" w:eastAsia="Times New Roman"/>
              </w:rPr>
              <w:t>128/257</w:t>
            </w:r>
          </w:p>
        </w:tc>
        <w:tc>
          <w:tcPr>
            <w:tcW w:type="dxa" w:w="1234"/>
          </w:tcPr>
          <w:p>
            <w:r>
              <w:rPr>
                <w:rFonts w:ascii="Times New Roman" w:hAnsi="Times New Roman" w:eastAsia="Times New Roman"/>
              </w:rPr>
              <w:t>221/256</w:t>
            </w:r>
          </w:p>
        </w:tc>
        <w:tc>
          <w:tcPr>
            <w:tcW w:type="dxa" w:w="1234"/>
          </w:tcPr>
          <w:p>
            <w:r>
              <w:rPr>
                <w:rFonts w:ascii="Times New Roman" w:hAnsi="Times New Roman" w:eastAsia="Times New Roman"/>
              </w:rPr>
              <w:t>+0.038</w:t>
            </w:r>
          </w:p>
        </w:tc>
      </w:tr>
      <w:tr>
        <w:tc>
          <w:tcPr>
            <w:tcW w:type="dxa" w:w="1234"/>
          </w:tcPr>
          <w:p>
            <w:r>
              <w:rPr>
                <w:rFonts w:ascii="Times New Roman" w:hAnsi="Times New Roman" w:eastAsia="Times New Roman"/>
              </w:rPr>
              <w:t>PDIO_05</w:t>
            </w:r>
          </w:p>
        </w:tc>
        <w:tc>
          <w:tcPr>
            <w:tcW w:type="dxa" w:w="1234"/>
          </w:tcPr>
          <w:p>
            <w:r>
              <w:rPr>
                <w:rFonts w:ascii="Times New Roman" w:hAnsi="Times New Roman" w:eastAsia="Times New Roman"/>
              </w:rPr>
              <w:t>1431</w:t>
            </w:r>
          </w:p>
        </w:tc>
        <w:tc>
          <w:tcPr>
            <w:tcW w:type="dxa" w:w="1234"/>
          </w:tcPr>
          <w:p>
            <w:r>
              <w:rPr>
                <w:rFonts w:ascii="Times New Roman" w:hAnsi="Times New Roman" w:eastAsia="Times New Roman"/>
              </w:rPr>
              <w:t>140/255</w:t>
            </w:r>
          </w:p>
        </w:tc>
        <w:tc>
          <w:tcPr>
            <w:tcW w:type="dxa" w:w="1234"/>
          </w:tcPr>
          <w:p>
            <w:r>
              <w:rPr>
                <w:rFonts w:ascii="Times New Roman" w:hAnsi="Times New Roman" w:eastAsia="Times New Roman"/>
              </w:rPr>
              <w:t>378/434</w:t>
            </w:r>
          </w:p>
        </w:tc>
        <w:tc>
          <w:tcPr>
            <w:tcW w:type="dxa" w:w="1234"/>
          </w:tcPr>
          <w:p>
            <w:r>
              <w:rPr>
                <w:rFonts w:ascii="Times New Roman" w:hAnsi="Times New Roman" w:eastAsia="Times New Roman"/>
              </w:rPr>
              <w:t>163/282</w:t>
            </w:r>
          </w:p>
        </w:tc>
        <w:tc>
          <w:tcPr>
            <w:tcW w:type="dxa" w:w="1234"/>
          </w:tcPr>
          <w:p>
            <w:r>
              <w:rPr>
                <w:rFonts w:ascii="Times New Roman" w:hAnsi="Times New Roman" w:eastAsia="Times New Roman"/>
              </w:rPr>
              <w:t>411/460</w:t>
            </w:r>
          </w:p>
        </w:tc>
        <w:tc>
          <w:tcPr>
            <w:tcW w:type="dxa" w:w="1234"/>
          </w:tcPr>
          <w:p>
            <w:r>
              <w:rPr>
                <w:rFonts w:ascii="Times New Roman" w:hAnsi="Times New Roman" w:eastAsia="Times New Roman"/>
              </w:rPr>
              <w:t>-0.006</w:t>
            </w:r>
          </w:p>
        </w:tc>
      </w:tr>
      <w:tr>
        <w:tc>
          <w:tcPr>
            <w:tcW w:type="dxa" w:w="1234"/>
          </w:tcPr>
          <w:p>
            <w:r>
              <w:rPr>
                <w:rFonts w:ascii="Times New Roman" w:hAnsi="Times New Roman" w:eastAsia="Times New Roman"/>
              </w:rPr>
              <w:t>PDIO_06</w:t>
            </w:r>
          </w:p>
        </w:tc>
        <w:tc>
          <w:tcPr>
            <w:tcW w:type="dxa" w:w="1234"/>
          </w:tcPr>
          <w:p>
            <w:r>
              <w:rPr>
                <w:rFonts w:ascii="Times New Roman" w:hAnsi="Times New Roman" w:eastAsia="Times New Roman"/>
              </w:rPr>
              <w:t>1407</w:t>
            </w:r>
          </w:p>
        </w:tc>
        <w:tc>
          <w:tcPr>
            <w:tcW w:type="dxa" w:w="1234"/>
          </w:tcPr>
          <w:p>
            <w:r>
              <w:rPr>
                <w:rFonts w:ascii="Times New Roman" w:hAnsi="Times New Roman" w:eastAsia="Times New Roman"/>
              </w:rPr>
              <w:t>95/202</w:t>
            </w:r>
          </w:p>
        </w:tc>
        <w:tc>
          <w:tcPr>
            <w:tcW w:type="dxa" w:w="1234"/>
          </w:tcPr>
          <w:p>
            <w:r>
              <w:rPr>
                <w:rFonts w:ascii="Times New Roman" w:hAnsi="Times New Roman" w:eastAsia="Times New Roman"/>
              </w:rPr>
              <w:t>307/333</w:t>
            </w:r>
          </w:p>
        </w:tc>
        <w:tc>
          <w:tcPr>
            <w:tcW w:type="dxa" w:w="1234"/>
          </w:tcPr>
          <w:p>
            <w:r>
              <w:rPr>
                <w:rFonts w:ascii="Times New Roman" w:hAnsi="Times New Roman" w:eastAsia="Times New Roman"/>
              </w:rPr>
              <w:t>127/308</w:t>
            </w:r>
          </w:p>
        </w:tc>
        <w:tc>
          <w:tcPr>
            <w:tcW w:type="dxa" w:w="1234"/>
          </w:tcPr>
          <w:p>
            <w:r>
              <w:rPr>
                <w:rFonts w:ascii="Times New Roman" w:hAnsi="Times New Roman" w:eastAsia="Times New Roman"/>
              </w:rPr>
              <w:t>454/564</w:t>
            </w:r>
          </w:p>
        </w:tc>
        <w:tc>
          <w:tcPr>
            <w:tcW w:type="dxa" w:w="1234"/>
          </w:tcPr>
          <w:p>
            <w:r>
              <w:rPr>
                <w:rFonts w:ascii="Times New Roman" w:hAnsi="Times New Roman" w:eastAsia="Times New Roman"/>
              </w:rPr>
              <w:t>-0.059</w:t>
            </w:r>
          </w:p>
        </w:tc>
      </w:tr>
      <w:tr>
        <w:tc>
          <w:tcPr>
            <w:tcW w:type="dxa" w:w="1234"/>
          </w:tcPr>
          <w:p>
            <w:r>
              <w:rPr>
                <w:rFonts w:ascii="Times New Roman" w:hAnsi="Times New Roman" w:eastAsia="Times New Roman"/>
              </w:rPr>
              <w:t>PDIO_09</w:t>
            </w:r>
          </w:p>
        </w:tc>
        <w:tc>
          <w:tcPr>
            <w:tcW w:type="dxa" w:w="1234"/>
          </w:tcPr>
          <w:p>
            <w:r>
              <w:rPr>
                <w:rFonts w:ascii="Times New Roman" w:hAnsi="Times New Roman" w:eastAsia="Times New Roman"/>
              </w:rPr>
              <w:t>712</w:t>
            </w:r>
          </w:p>
        </w:tc>
        <w:tc>
          <w:tcPr>
            <w:tcW w:type="dxa" w:w="1234"/>
          </w:tcPr>
          <w:p>
            <w:r>
              <w:rPr>
                <w:rFonts w:ascii="Times New Roman" w:hAnsi="Times New Roman" w:eastAsia="Times New Roman"/>
              </w:rPr>
              <w:t>54/118</w:t>
            </w:r>
          </w:p>
        </w:tc>
        <w:tc>
          <w:tcPr>
            <w:tcW w:type="dxa" w:w="1234"/>
          </w:tcPr>
          <w:p>
            <w:r>
              <w:rPr>
                <w:rFonts w:ascii="Times New Roman" w:hAnsi="Times New Roman" w:eastAsia="Times New Roman"/>
              </w:rPr>
              <w:t>240/267</w:t>
            </w:r>
          </w:p>
        </w:tc>
        <w:tc>
          <w:tcPr>
            <w:tcW w:type="dxa" w:w="1234"/>
          </w:tcPr>
          <w:p>
            <w:r>
              <w:rPr>
                <w:rFonts w:ascii="Times New Roman" w:hAnsi="Times New Roman" w:eastAsia="Times New Roman"/>
              </w:rPr>
              <w:t>35/54</w:t>
            </w:r>
          </w:p>
        </w:tc>
        <w:tc>
          <w:tcPr>
            <w:tcW w:type="dxa" w:w="1234"/>
          </w:tcPr>
          <w:p>
            <w:r>
              <w:rPr>
                <w:rFonts w:ascii="Times New Roman" w:hAnsi="Times New Roman" w:eastAsia="Times New Roman"/>
              </w:rPr>
              <w:t>227/273</w:t>
            </w:r>
          </w:p>
        </w:tc>
        <w:tc>
          <w:tcPr>
            <w:tcW w:type="dxa" w:w="1234"/>
          </w:tcPr>
          <w:p>
            <w:r>
              <w:rPr>
                <w:rFonts w:ascii="Times New Roman" w:hAnsi="Times New Roman" w:eastAsia="Times New Roman"/>
              </w:rPr>
              <w:t>-0.258</w:t>
            </w:r>
          </w:p>
        </w:tc>
      </w:tr>
      <w:tr>
        <w:tc>
          <w:tcPr>
            <w:tcW w:type="dxa" w:w="1234"/>
          </w:tcPr>
          <w:p>
            <w:r>
              <w:rPr>
                <w:rFonts w:ascii="Times New Roman" w:hAnsi="Times New Roman" w:eastAsia="Times New Roman"/>
              </w:rPr>
              <w:t>PDIO_11</w:t>
            </w:r>
          </w:p>
        </w:tc>
        <w:tc>
          <w:tcPr>
            <w:tcW w:type="dxa" w:w="1234"/>
          </w:tcPr>
          <w:p>
            <w:r>
              <w:rPr>
                <w:rFonts w:ascii="Times New Roman" w:hAnsi="Times New Roman" w:eastAsia="Times New Roman"/>
              </w:rPr>
              <w:t>139</w:t>
            </w:r>
          </w:p>
        </w:tc>
        <w:tc>
          <w:tcPr>
            <w:tcW w:type="dxa" w:w="1234"/>
          </w:tcPr>
          <w:p>
            <w:r>
              <w:rPr>
                <w:rFonts w:ascii="Times New Roman" w:hAnsi="Times New Roman" w:eastAsia="Times New Roman"/>
              </w:rPr>
              <w:t>10/13</w:t>
            </w:r>
          </w:p>
        </w:tc>
        <w:tc>
          <w:tcPr>
            <w:tcW w:type="dxa" w:w="1234"/>
          </w:tcPr>
          <w:p>
            <w:r>
              <w:rPr>
                <w:rFonts w:ascii="Times New Roman" w:hAnsi="Times New Roman" w:eastAsia="Times New Roman"/>
              </w:rPr>
              <w:t>31/36</w:t>
            </w:r>
          </w:p>
        </w:tc>
        <w:tc>
          <w:tcPr>
            <w:tcW w:type="dxa" w:w="1234"/>
          </w:tcPr>
          <w:p>
            <w:r>
              <w:rPr>
                <w:rFonts w:ascii="Times New Roman" w:hAnsi="Times New Roman" w:eastAsia="Times New Roman"/>
              </w:rPr>
              <w:t>8/14</w:t>
            </w:r>
          </w:p>
        </w:tc>
        <w:tc>
          <w:tcPr>
            <w:tcW w:type="dxa" w:w="1234"/>
          </w:tcPr>
          <w:p>
            <w:r>
              <w:rPr>
                <w:rFonts w:ascii="Times New Roman" w:hAnsi="Times New Roman" w:eastAsia="Times New Roman"/>
              </w:rPr>
              <w:t>54/76</w:t>
            </w:r>
          </w:p>
        </w:tc>
        <w:tc>
          <w:tcPr>
            <w:tcW w:type="dxa" w:w="1234"/>
          </w:tcPr>
          <w:p>
            <w:r>
              <w:rPr>
                <w:rFonts w:ascii="Times New Roman" w:hAnsi="Times New Roman" w:eastAsia="Times New Roman"/>
              </w:rPr>
              <w:t>+0.047</w:t>
            </w:r>
          </w:p>
        </w:tc>
      </w:tr>
      <w:tr>
        <w:tc>
          <w:tcPr>
            <w:tcW w:type="dxa" w:w="1234"/>
          </w:tcPr>
          <w:p>
            <w:r>
              <w:rPr>
                <w:rFonts w:ascii="Times New Roman" w:hAnsi="Times New Roman" w:eastAsia="Times New Roman"/>
              </w:rPr>
              <w:t>PDIO_12</w:t>
            </w:r>
          </w:p>
        </w:tc>
        <w:tc>
          <w:tcPr>
            <w:tcW w:type="dxa" w:w="1234"/>
          </w:tcPr>
          <w:p>
            <w:r>
              <w:rPr>
                <w:rFonts w:ascii="Times New Roman" w:hAnsi="Times New Roman" w:eastAsia="Times New Roman"/>
              </w:rPr>
              <w:t>480</w:t>
            </w:r>
          </w:p>
        </w:tc>
        <w:tc>
          <w:tcPr>
            <w:tcW w:type="dxa" w:w="1234"/>
          </w:tcPr>
          <w:p>
            <w:r>
              <w:rPr>
                <w:rFonts w:ascii="Times New Roman" w:hAnsi="Times New Roman" w:eastAsia="Times New Roman"/>
              </w:rPr>
              <w:t>30/104</w:t>
            </w:r>
          </w:p>
        </w:tc>
        <w:tc>
          <w:tcPr>
            <w:tcW w:type="dxa" w:w="1234"/>
          </w:tcPr>
          <w:p>
            <w:r>
              <w:rPr>
                <w:rFonts w:ascii="Times New Roman" w:hAnsi="Times New Roman" w:eastAsia="Times New Roman"/>
              </w:rPr>
              <w:t>139/161</w:t>
            </w:r>
          </w:p>
        </w:tc>
        <w:tc>
          <w:tcPr>
            <w:tcW w:type="dxa" w:w="1234"/>
          </w:tcPr>
          <w:p>
            <w:r>
              <w:rPr>
                <w:rFonts w:ascii="Times New Roman" w:hAnsi="Times New Roman" w:eastAsia="Times New Roman"/>
              </w:rPr>
              <w:t>14/49</w:t>
            </w:r>
          </w:p>
        </w:tc>
        <w:tc>
          <w:tcPr>
            <w:tcW w:type="dxa" w:w="1234"/>
          </w:tcPr>
          <w:p>
            <w:r>
              <w:rPr>
                <w:rFonts w:ascii="Times New Roman" w:hAnsi="Times New Roman" w:eastAsia="Times New Roman"/>
              </w:rPr>
              <w:t>139/166</w:t>
            </w:r>
          </w:p>
        </w:tc>
        <w:tc>
          <w:tcPr>
            <w:tcW w:type="dxa" w:w="1234"/>
          </w:tcPr>
          <w:p>
            <w:r>
              <w:rPr>
                <w:rFonts w:ascii="Times New Roman" w:hAnsi="Times New Roman" w:eastAsia="Times New Roman"/>
              </w:rPr>
              <w:t>-0.023</w:t>
            </w:r>
          </w:p>
        </w:tc>
      </w:tr>
      <w:tr>
        <w:tc>
          <w:tcPr>
            <w:tcW w:type="dxa" w:w="1234"/>
          </w:tcPr>
          <w:p>
            <w:r>
              <w:rPr>
                <w:rFonts w:ascii="Times New Roman" w:hAnsi="Times New Roman" w:eastAsia="Times New Roman"/>
              </w:rPr>
              <w:t>PDIO_13</w:t>
            </w:r>
          </w:p>
        </w:tc>
        <w:tc>
          <w:tcPr>
            <w:tcW w:type="dxa" w:w="1234"/>
          </w:tcPr>
          <w:p>
            <w:r>
              <w:rPr>
                <w:rFonts w:ascii="Times New Roman" w:hAnsi="Times New Roman" w:eastAsia="Times New Roman"/>
              </w:rPr>
              <w:t>325</w:t>
            </w:r>
          </w:p>
        </w:tc>
        <w:tc>
          <w:tcPr>
            <w:tcW w:type="dxa" w:w="1234"/>
          </w:tcPr>
          <w:p>
            <w:r>
              <w:rPr>
                <w:rFonts w:ascii="Times New Roman" w:hAnsi="Times New Roman" w:eastAsia="Times New Roman"/>
              </w:rPr>
              <w:t>20/85</w:t>
            </w:r>
          </w:p>
        </w:tc>
        <w:tc>
          <w:tcPr>
            <w:tcW w:type="dxa" w:w="1234"/>
          </w:tcPr>
          <w:p>
            <w:r>
              <w:rPr>
                <w:rFonts w:ascii="Times New Roman" w:hAnsi="Times New Roman" w:eastAsia="Times New Roman"/>
              </w:rPr>
              <w:t>66/80</w:t>
            </w:r>
          </w:p>
        </w:tc>
        <w:tc>
          <w:tcPr>
            <w:tcW w:type="dxa" w:w="1234"/>
          </w:tcPr>
          <w:p>
            <w:r>
              <w:rPr>
                <w:rFonts w:ascii="Times New Roman" w:hAnsi="Times New Roman" w:eastAsia="Times New Roman"/>
              </w:rPr>
              <w:t>19/82</w:t>
            </w:r>
          </w:p>
        </w:tc>
        <w:tc>
          <w:tcPr>
            <w:tcW w:type="dxa" w:w="1234"/>
          </w:tcPr>
          <w:p>
            <w:r>
              <w:rPr>
                <w:rFonts w:ascii="Times New Roman" w:hAnsi="Times New Roman" w:eastAsia="Times New Roman"/>
              </w:rPr>
              <w:t>68/78</w:t>
            </w:r>
          </w:p>
        </w:tc>
        <w:tc>
          <w:tcPr>
            <w:tcW w:type="dxa" w:w="1234"/>
          </w:tcPr>
          <w:p>
            <w:r>
              <w:rPr>
                <w:rFonts w:ascii="Times New Roman" w:hAnsi="Times New Roman" w:eastAsia="Times New Roman"/>
              </w:rPr>
              <w:t>+0.050</w:t>
            </w:r>
          </w:p>
        </w:tc>
      </w:tr>
      <w:tr>
        <w:tc>
          <w:tcPr>
            <w:tcW w:type="dxa" w:w="1234"/>
          </w:tcPr>
          <w:p>
            <w:r>
              <w:rPr>
                <w:rFonts w:ascii="Times New Roman" w:hAnsi="Times New Roman" w:eastAsia="Times New Roman"/>
              </w:rPr>
              <w:t>PDIO_14</w:t>
            </w:r>
          </w:p>
        </w:tc>
        <w:tc>
          <w:tcPr>
            <w:tcW w:type="dxa" w:w="1234"/>
          </w:tcPr>
          <w:p>
            <w:r>
              <w:rPr>
                <w:rFonts w:ascii="Times New Roman" w:hAnsi="Times New Roman" w:eastAsia="Times New Roman"/>
              </w:rPr>
              <w:t>290</w:t>
            </w:r>
          </w:p>
        </w:tc>
        <w:tc>
          <w:tcPr>
            <w:tcW w:type="dxa" w:w="1234"/>
          </w:tcPr>
          <w:p>
            <w:r>
              <w:rPr>
                <w:rFonts w:ascii="Times New Roman" w:hAnsi="Times New Roman" w:eastAsia="Times New Roman"/>
              </w:rPr>
              <w:t>23/41</w:t>
            </w:r>
          </w:p>
        </w:tc>
        <w:tc>
          <w:tcPr>
            <w:tcW w:type="dxa" w:w="1234"/>
          </w:tcPr>
          <w:p>
            <w:r>
              <w:rPr>
                <w:rFonts w:ascii="Times New Roman" w:hAnsi="Times New Roman" w:eastAsia="Times New Roman"/>
              </w:rPr>
              <w:t>70/81</w:t>
            </w:r>
          </w:p>
        </w:tc>
        <w:tc>
          <w:tcPr>
            <w:tcW w:type="dxa" w:w="1234"/>
          </w:tcPr>
          <w:p>
            <w:r>
              <w:rPr>
                <w:rFonts w:ascii="Times New Roman" w:hAnsi="Times New Roman" w:eastAsia="Times New Roman"/>
              </w:rPr>
              <w:t>22/64</w:t>
            </w:r>
          </w:p>
        </w:tc>
        <w:tc>
          <w:tcPr>
            <w:tcW w:type="dxa" w:w="1234"/>
          </w:tcPr>
          <w:p>
            <w:r>
              <w:rPr>
                <w:rFonts w:ascii="Times New Roman" w:hAnsi="Times New Roman" w:eastAsia="Times New Roman"/>
              </w:rPr>
              <w:t>75/104</w:t>
            </w:r>
          </w:p>
        </w:tc>
        <w:tc>
          <w:tcPr>
            <w:tcW w:type="dxa" w:w="1234"/>
          </w:tcPr>
          <w:p>
            <w:r>
              <w:rPr>
                <w:rFonts w:ascii="Times New Roman" w:hAnsi="Times New Roman" w:eastAsia="Times New Roman"/>
              </w:rPr>
              <w:t>+0.074</w:t>
            </w:r>
          </w:p>
        </w:tc>
      </w:tr>
      <w:tr>
        <w:tc>
          <w:tcPr>
            <w:tcW w:type="dxa" w:w="1234"/>
          </w:tcPr>
          <w:p>
            <w:r>
              <w:rPr>
                <w:rFonts w:ascii="Times New Roman" w:hAnsi="Times New Roman" w:eastAsia="Times New Roman"/>
              </w:rPr>
              <w:t>PDIO_15</w:t>
            </w:r>
          </w:p>
        </w:tc>
        <w:tc>
          <w:tcPr>
            <w:tcW w:type="dxa" w:w="1234"/>
          </w:tcPr>
          <w:p>
            <w:r>
              <w:rPr>
                <w:rFonts w:ascii="Times New Roman" w:hAnsi="Times New Roman" w:eastAsia="Times New Roman"/>
              </w:rPr>
              <w:t>437</w:t>
            </w:r>
          </w:p>
        </w:tc>
        <w:tc>
          <w:tcPr>
            <w:tcW w:type="dxa" w:w="1234"/>
          </w:tcPr>
          <w:p>
            <w:r>
              <w:rPr>
                <w:rFonts w:ascii="Times New Roman" w:hAnsi="Times New Roman" w:eastAsia="Times New Roman"/>
              </w:rPr>
              <w:t>31/82</w:t>
            </w:r>
          </w:p>
        </w:tc>
        <w:tc>
          <w:tcPr>
            <w:tcW w:type="dxa" w:w="1234"/>
          </w:tcPr>
          <w:p>
            <w:r>
              <w:rPr>
                <w:rFonts w:ascii="Times New Roman" w:hAnsi="Times New Roman" w:eastAsia="Times New Roman"/>
              </w:rPr>
              <w:t>150/162</w:t>
            </w:r>
          </w:p>
        </w:tc>
        <w:tc>
          <w:tcPr>
            <w:tcW w:type="dxa" w:w="1234"/>
          </w:tcPr>
          <w:p>
            <w:r>
              <w:rPr>
                <w:rFonts w:ascii="Times New Roman" w:hAnsi="Times New Roman" w:eastAsia="Times New Roman"/>
              </w:rPr>
              <w:t>18/50</w:t>
            </w:r>
          </w:p>
        </w:tc>
        <w:tc>
          <w:tcPr>
            <w:tcW w:type="dxa" w:w="1234"/>
          </w:tcPr>
          <w:p>
            <w:r>
              <w:rPr>
                <w:rFonts w:ascii="Times New Roman" w:hAnsi="Times New Roman" w:eastAsia="Times New Roman"/>
              </w:rPr>
              <w:t>115/143</w:t>
            </w:r>
          </w:p>
        </w:tc>
        <w:tc>
          <w:tcPr>
            <w:tcW w:type="dxa" w:w="1234"/>
          </w:tcPr>
          <w:p>
            <w:r>
              <w:rPr>
                <w:rFonts w:ascii="Times New Roman" w:hAnsi="Times New Roman" w:eastAsia="Times New Roman"/>
              </w:rPr>
              <w:t>-0.104</w:t>
            </w:r>
          </w:p>
        </w:tc>
      </w:tr>
      <w:tr>
        <w:tc>
          <w:tcPr>
            <w:tcW w:type="dxa" w:w="1234"/>
          </w:tcPr>
          <w:p>
            <w:r>
              <w:rPr>
                <w:rFonts w:ascii="Times New Roman" w:hAnsi="Times New Roman" w:eastAsia="Times New Roman"/>
              </w:rPr>
              <w:t>PDIO_16</w:t>
            </w:r>
          </w:p>
        </w:tc>
        <w:tc>
          <w:tcPr>
            <w:tcW w:type="dxa" w:w="1234"/>
          </w:tcPr>
          <w:p>
            <w:r>
              <w:rPr>
                <w:rFonts w:ascii="Times New Roman" w:hAnsi="Times New Roman" w:eastAsia="Times New Roman"/>
              </w:rPr>
              <w:t>437</w:t>
            </w:r>
          </w:p>
        </w:tc>
        <w:tc>
          <w:tcPr>
            <w:tcW w:type="dxa" w:w="1234"/>
          </w:tcPr>
          <w:p>
            <w:r>
              <w:rPr>
                <w:rFonts w:ascii="Times New Roman" w:hAnsi="Times New Roman" w:eastAsia="Times New Roman"/>
              </w:rPr>
              <w:t>17/58</w:t>
            </w:r>
          </w:p>
        </w:tc>
        <w:tc>
          <w:tcPr>
            <w:tcW w:type="dxa" w:w="1234"/>
          </w:tcPr>
          <w:p>
            <w:r>
              <w:rPr>
                <w:rFonts w:ascii="Times New Roman" w:hAnsi="Times New Roman" w:eastAsia="Times New Roman"/>
              </w:rPr>
              <w:t>115/143</w:t>
            </w:r>
          </w:p>
        </w:tc>
        <w:tc>
          <w:tcPr>
            <w:tcW w:type="dxa" w:w="1234"/>
          </w:tcPr>
          <w:p>
            <w:r>
              <w:rPr>
                <w:rFonts w:ascii="Times New Roman" w:hAnsi="Times New Roman" w:eastAsia="Times New Roman"/>
              </w:rPr>
              <w:t>22/65</w:t>
            </w:r>
          </w:p>
        </w:tc>
        <w:tc>
          <w:tcPr>
            <w:tcW w:type="dxa" w:w="1234"/>
          </w:tcPr>
          <w:p>
            <w:r>
              <w:rPr>
                <w:rFonts w:ascii="Times New Roman" w:hAnsi="Times New Roman" w:eastAsia="Times New Roman"/>
              </w:rPr>
              <w:t>132/171</w:t>
            </w:r>
          </w:p>
        </w:tc>
        <w:tc>
          <w:tcPr>
            <w:tcW w:type="dxa" w:w="1234"/>
          </w:tcPr>
          <w:p>
            <w:r>
              <w:rPr>
                <w:rFonts w:ascii="Times New Roman" w:hAnsi="Times New Roman" w:eastAsia="Times New Roman"/>
              </w:rPr>
              <w:t>-0.078</w:t>
            </w:r>
          </w:p>
        </w:tc>
      </w:tr>
      <w:tr>
        <w:tc>
          <w:tcPr>
            <w:tcW w:type="dxa" w:w="1234"/>
          </w:tcPr>
          <w:p>
            <w:r>
              <w:rPr>
                <w:rFonts w:ascii="Times New Roman" w:hAnsi="Times New Roman" w:eastAsia="Times New Roman"/>
              </w:rPr>
              <w:t>PDIO_18</w:t>
            </w:r>
          </w:p>
        </w:tc>
        <w:tc>
          <w:tcPr>
            <w:tcW w:type="dxa" w:w="1234"/>
          </w:tcPr>
          <w:p>
            <w:r>
              <w:rPr>
                <w:rFonts w:ascii="Times New Roman" w:hAnsi="Times New Roman" w:eastAsia="Times New Roman"/>
              </w:rPr>
              <w:t>164</w:t>
            </w:r>
          </w:p>
        </w:tc>
        <w:tc>
          <w:tcPr>
            <w:tcW w:type="dxa" w:w="1234"/>
          </w:tcPr>
          <w:p>
            <w:r>
              <w:rPr>
                <w:rFonts w:ascii="Times New Roman" w:hAnsi="Times New Roman" w:eastAsia="Times New Roman"/>
              </w:rPr>
              <w:t>7/45</w:t>
            </w:r>
          </w:p>
        </w:tc>
        <w:tc>
          <w:tcPr>
            <w:tcW w:type="dxa" w:w="1234"/>
          </w:tcPr>
          <w:p>
            <w:r>
              <w:rPr>
                <w:rFonts w:ascii="Times New Roman" w:hAnsi="Times New Roman" w:eastAsia="Times New Roman"/>
              </w:rPr>
              <w:t>45/51</w:t>
            </w:r>
          </w:p>
        </w:tc>
        <w:tc>
          <w:tcPr>
            <w:tcW w:type="dxa" w:w="1234"/>
          </w:tcPr>
          <w:p>
            <w:r>
              <w:rPr>
                <w:rFonts w:ascii="Times New Roman" w:hAnsi="Times New Roman" w:eastAsia="Times New Roman"/>
              </w:rPr>
              <w:t>9/16</w:t>
            </w:r>
          </w:p>
        </w:tc>
        <w:tc>
          <w:tcPr>
            <w:tcW w:type="dxa" w:w="1234"/>
          </w:tcPr>
          <w:p>
            <w:r>
              <w:rPr>
                <w:rFonts w:ascii="Times New Roman" w:hAnsi="Times New Roman" w:eastAsia="Times New Roman"/>
              </w:rPr>
              <w:t>51/52</w:t>
            </w:r>
          </w:p>
        </w:tc>
        <w:tc>
          <w:tcPr>
            <w:tcW w:type="dxa" w:w="1234"/>
          </w:tcPr>
          <w:p>
            <w:r>
              <w:rPr>
                <w:rFonts w:ascii="Times New Roman" w:hAnsi="Times New Roman" w:eastAsia="Times New Roman"/>
              </w:rPr>
              <w:t>-0.309</w:t>
            </w:r>
          </w:p>
        </w:tc>
      </w:tr>
    </w:tbl>
    <w:p>
      <w:pPr>
        <w:spacing w:after="120"/>
        <w:jc w:val="both"/>
      </w:pPr>
      <w:r>
        <w:rPr>
          <w:rFonts w:ascii="Times New Roman" w:hAnsi="Times New Roman" w:eastAsia="Times New Roman"/>
        </w:rPr>
        <w:t>The donor-pooled visibility interaction is negative in 8 of 12 donors and positive in 4; its median is -0.041, range -0.467 to +0.074. Donor baseline-detected counts range from 139 to 1431. A previous analysis took within-block gaps then the median within each donor; this table instead pools blocks by donor, so its individual gaps can differ without contradiction. Neither summary resolves source-batch confounding, outcome-dependent missingness, or the absence of original masks and images. The score is a detection audit, not a new experiment, a missing-outcome correction or an independent validation cohort. Original sign/specificity gates remain failed.</w:t>
      </w:r>
    </w:p>
    <w:p>
      <w:pPr>
        <w:pStyle w:val="Heading2"/>
      </w:pPr>
      <w:r>
        <w:rPr>
          <w:rFonts w:ascii="Times New Roman" w:hAnsi="Times New Roman" w:eastAsia="Times New Roman"/>
        </w:rPr>
        <w:t>4.3u Can visibility differences explain the observed size contrast? Not from these rows</w:t>
      </w:r>
    </w:p>
    <w:p>
      <w:pPr>
        <w:spacing w:after="120"/>
        <w:jc w:val="both"/>
      </w:pPr>
      <w:r>
        <w:rPr>
          <w:rFonts w:ascii="Times New Roman" w:hAnsi="Times New Roman" w:eastAsia="Times New Roman"/>
        </w:rPr>
        <w:t>The donor table suggests a testable source of selection, but the critical 2,000 responses remain absent. In a separately locked post-result diagnostic, we paired each of the 12 donors' pooled large-minus-small treatment-by-size endpoint-visibility gaps with that donor's median block-level size contrast among source rows with positive A1. The resulting descriptive Pearson r is +0.349 and Spearman rho is +0.203. Leave-one-donor-out Pearson coefficients span +0.231 to +0.645; Spearman spans +0.100 to +0.564. Only 5/12 donors have matching signs. These associations are unstable and not a missingness correction: visibility pools blocks by count whereas swelling takes the donor median of within-block measured-pair contrasts. We report no p-value because the donor pairs and the selection question follow inspection of these outcomes. A positive r cannot show that detection caused an observed effect; a small r cannot rule out selection from the very responses we cannot see. Exact donor pairs are in results/postresult_visibility_effect_concordance.json. The pre-registered biological sign and specificity failures still hold.</w:t>
      </w:r>
    </w:p>
    <w:p>
      <w:pPr>
        <w:pStyle w:val="Heading2"/>
      </w:pPr>
      <w:r>
        <w:rPr>
          <w:rFonts w:ascii="Times New Roman" w:hAnsi="Times New Roman" w:eastAsia="Times New Roman"/>
        </w:rPr>
        <w:t>4.3v One-donor influence cannot explain the neighbor visibility gradient</w:t>
      </w:r>
    </w:p>
    <w:p>
      <w:pPr>
        <w:spacing w:after="120"/>
        <w:jc w:val="both"/>
      </w:pPr>
      <w:r>
        <w:rPr>
          <w:rFonts w:ascii="Times New Roman" w:hAnsi="Times New Roman" w:eastAsia="Times New Roman"/>
        </w:rPr>
        <w:t>The prior within-image x treatment x baseline-size nearest-neighbor audit splits each eligible stratum at its own distance median. An arithmetic recheck preserves 279 eligible and 5 sparse strata; 6,952 included plus 12 excluded objects reconcile exactly to the 6,964 baseline-detected objects. All twelve saved donor-average close-minus-far positive-A1 visibility differences are negative: median -0.083, range -0.159 to -0.002. The equal-donor mean is -0.077; leaving out each donor in turn spans -0.084 to -0.070. Thus no one donor reverses this descriptive selected-source association. The original 100 within-stratum exposure-label permutations are only a technical null, not randomized biology; we did not calculate a post-hoc donor p-value. Neither the sign unanimity nor leave-one-out stability identifies why 2,000 A1 outcomes are missing or whether the organoids without t0 detections differ. Precise per-donor numbers and source checks are in results/postresult_neighbor_gradient_donor_influence.json. Original treatment-size sign and zero-forskolin specificity gates stay failed.</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pPr>
        <w:pStyle w:val="Heading2"/>
      </w:pPr>
      <w:r>
        <w:rPr>
          <w:rFonts w:ascii="Times New Roman" w:hAnsi="Times New Roman" w:eastAsia="Times New Roman"/>
        </w:rPr>
        <w:t>Secondary exploratory analyses II: segmentation benchmark and split integrity</w:t>
      </w:r>
    </w:p>
    <w:p>
      <w:pPr>
        <w:spacing w:after="120"/>
        <w:jc w:val="both"/>
      </w:pPr>
      <w:r>
        <w:rPr>
          <w:rFonts w:ascii="Times New Roman" w:hAnsi="Times New Roman" w:eastAsia="Times New Roman"/>
        </w:rPr>
        <w:t>Sections 4.5 through 4.5j are a secondary arm. Its benchmark-beat claim is withdrawn because repeated acquisition fields cross the splits; the arm is retained as an integrity case study and labeled exploratory.</w:t>
      </w:r>
    </w:p>
    <w:p>
      <w:pPr>
        <w:pStyle w:val="Heading2"/>
      </w:pPr>
      <w:r>
        <w:rPr>
          <w:rFonts w:ascii="Times New Roman" w:hAnsi="Times New Roman" w:eastAsia="Times New Roman"/>
        </w:rPr>
        <w:t>4.5 Segmentation benchmark</w:t>
      </w:r>
    </w:p>
    <w:p>
      <w:r>
        <w:rPr>
          <w:rFonts w:ascii="Times New Roman" w:hAnsi="Times New Roman" w:eastAsia="Times New Roman"/>
          <w:b/>
        </w:rPr>
        <w:t>Table 14.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filename-distinct 12-image eval split was scored separately,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First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filename-distinct validation images, 12 evaluation files not scored until final selection, but repeated acquisition fields were later found across splits (Section 4.5e).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exact-file train/val overlap, but the later near-duplicate audit finds that it did not secure acquisition-group independence. It is not a benchmark match. Per-image TP/FP/FN and both AP versions are preserved in results/trainonly_seg/sealed_eval.json; selection frozen before eval at commit 120f944.</w:t>
      </w:r>
    </w:p>
    <w:p>
      <w:r>
        <w:rPr>
          <w:rFonts w:ascii="Times New Roman" w:hAnsi="Times New Roman" w:eastAsia="Times New Roman"/>
          <w:b/>
        </w:rPr>
        <w:t>Table 15.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4.5c Locked v2 train-only improvement and narrow published numerical threshold</w:t>
      </w:r>
    </w:p>
    <w:p>
      <w:pPr>
        <w:spacing w:after="120"/>
        <w:jc w:val="both"/>
      </w:pPr>
      <w:r>
        <w:rPr>
          <w:rFonts w:ascii="Times New Roman" w:hAnsi="Times New Roman" w:eastAsia="Times New Roman"/>
        </w:rPr>
        <w:t>The negative clean v1 checkpoint above remains the historical result, not a deleted failure. Amendment-free preregistration in notes/prereg_ap50_beat.md locked the v2 gate at mean author-scorer AP50 &gt; 0.76 on the same nominally held-out 12-file eval split. A later scene-overlap audit invalidates its independence (Section 4.5e). Fine-tuning trained solely on 184 train images for 30 extra epochs with stronger augmentation and a lower learning rate; the checkpoint at epoch 30 minimized cross-entropy on the filename-distinct but scene-overlapping validation split. The unchanged 108-combination grid was scored only on the first 20 validation images. Grid index 41 selected [0.5, 0.5, 0.3, 40] at validation AP50 0.826061; selection was frozen at commit 7eaa46c17a610ac8173ad1194d992668403a6760 before one v2 evaluation-file score.</w:t>
      </w:r>
    </w:p>
    <w:p>
      <w:pPr>
        <w:spacing w:after="120"/>
        <w:jc w:val="both"/>
      </w:pPr>
      <w:r>
        <w:rPr>
          <w:rFonts w:ascii="Times New Roman" w:hAnsi="Times New Roman" w:eastAsia="Times New Roman"/>
        </w:rPr>
        <w:t>The released author scorer (OrgaSegment v1.0.1 commit aeaec17c42fefde61a8b2215a616d419e8126e9f) gives an evaluation-file mean AP50 0.761108, exceeding the locked numerical comparison 0.760000 by 0.001108. The unique-mask-count implementation gives 0.761773 and is NOT used for the gate. These are the saved single-run per-image means in results/trainonly_seg/sealed_eval_v2.json, not replicate-run means or a confidence-bound comparison. The released Mask R-CNN predictions were not scored head-to-head here; the published rounded reference 0.76 +/- 0.12 may be an estimate from a differing evaluation protocol. The numerical margin is small relative to image-to-image spread. More importantly, repeated fields of view span train and eval files (Section 4.5e): the &gt;0.76 numerical crossing is preserved as a historical calculation but cannot count as an independent benchmark win. The model cannot be called the best virtual organoid in the world.</w:t>
      </w:r>
    </w:p>
    <w:p>
      <w:r>
        <w:rPr>
          <w:rFonts w:ascii="Times New Roman" w:hAnsi="Times New Roman" w:eastAsia="Times New Roman"/>
          <w:b/>
        </w:rPr>
        <w:t>Table 16. V2 single sealed author-scorer evaluation. Full image names, TP, FP, FN, and mask-ID-gap accounting: results/trainonly_seg/sealed_eval_v2.json. This is a frozen-selection evaluation-file comparison, but acquisition-field overlap disqualifies an independent held-out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55</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57</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50</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92</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71</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110</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0.790</w:t>
            </w:r>
          </w:p>
        </w:tc>
        <w:tc>
          <w:tcPr>
            <w:tcW w:type="dxa" w:w="1728"/>
          </w:tcPr>
          <w:p>
            <w:r>
              <w:rPr>
                <w:rFonts w:ascii="Times New Roman" w:hAnsi="Times New Roman" w:eastAsia="Times New Roman"/>
              </w:rPr>
              <w:t>0.798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92</w:t>
            </w:r>
          </w:p>
        </w:tc>
      </w:tr>
    </w:tbl>
    <w:p>
      <w:pPr>
        <w:spacing w:after="120"/>
        <w:jc w:val="both"/>
      </w:pPr>
      <w:r>
        <w:rPr>
          <w:rFonts w:ascii="Times New Roman" w:hAnsi="Times New Roman" w:eastAsia="Times New Roman"/>
        </w:rPr>
        <w:t>Open controls: release the prediction masks and rerun both models under exactly identical code and split; estimate paired uncertainty over images and train seeds; test a separately sourced annotation cohort. No threshold, checkpoint, or postprocessing retuning after the sealed v2 result is permitted for a claim about this same eval split.</w:t>
      </w:r>
    </w:p>
    <w:p>
      <w:pPr>
        <w:pStyle w:val="Heading2"/>
      </w:pPr>
      <w:r>
        <w:rPr>
          <w:rFonts w:ascii="Times New Roman" w:hAnsi="Times New Roman" w:eastAsia="Times New Roman"/>
        </w:rPr>
        <w:t>4.5d What the thin numerical threshold crossing cannot establish</w:t>
      </w:r>
    </w:p>
    <w:p>
      <w:pPr>
        <w:spacing w:after="120"/>
        <w:jc w:val="both"/>
      </w:pPr>
      <w:r>
        <w:rPr>
          <w:rFonts w:ascii="Times New Roman" w:hAnsi="Times New Roman" w:eastAsia="Times New Roman"/>
        </w:rPr>
        <w:t>After the sealed v2 result, we wrote and ran a descriptive uncertainty audit; it is explicitly post-evaluation and cannot change the predeclared &gt;0.76 numerical gate. The 12-image author-scorer mean is 0.761108 with sample image SD 0.113212. A seed-20260926 image-resampling percentile interval from 20,000 draws is [0.703230, 0.825010]. It includes the published rounded 0.76; it does not account for acquisition-field leakage, and 5/12 leave-one-image-out v2 means fall at or below 0.76. All image deletion outcomes are preserved in results/ap50_uncertainty_audit.json; none are used to reselect a model. This is evidence of thin numerical margin; the cross-split repeated fields independently disqualify a held-out general-superiority claim.</w:t>
      </w:r>
    </w:p>
    <w:p>
      <w:pPr>
        <w:spacing w:after="120"/>
        <w:jc w:val="both"/>
      </w:pPr>
      <w:r>
        <w:rPr>
          <w:rFonts w:ascii="Times New Roman" w:hAnsi="Times New Roman" w:eastAsia="Times New Roman"/>
        </w:rPr>
        <w:t>The paired v2 minus our own clean v1 image mean is +0.022436, with conditional image-bootstrap interval [+0.004474, +0.041408]. It improves 8 images, declines 2 and ties 2 under a 1e-7 tolerance; the two-sided sign p over nonties is 0.109375. This within-project comparison is useful debugging evidence, not a head-to-head result against the released Mask R-CNN or a second cohort. Image bootstrap estimates uncertainty conditional on this fixed split and ignores training-seed and domain-shift variation. A new acquisition batch with locked weights/preprocessing and, ideally, paired author checkpoint predictions is the needed confirmatory benchmark.</w:t>
      </w:r>
    </w:p>
    <w:p>
      <w:pPr>
        <w:pStyle w:val="Heading2"/>
      </w:pPr>
      <w:r>
        <w:rPr>
          <w:rFonts w:ascii="Times New Roman" w:hAnsi="Times New Roman" w:eastAsia="Times New Roman"/>
        </w:rPr>
        <w:t>4.5e Post-result audit: repeated acquisition fields cross segmentation splits</w:t>
      </w:r>
    </w:p>
    <w:p>
      <w:pPr>
        <w:spacing w:after="120"/>
        <w:jc w:val="both"/>
      </w:pPr>
      <w:r>
        <w:rPr>
          <w:rFonts w:ascii="Times New Roman" w:hAnsi="Times New Roman" w:eastAsia="Times New Roman"/>
        </w:rPr>
        <w:t>A new post-result forensic scan found zero identical image or mask SHA256s across the 184/35/12 train/val/eval files. But standardized 32-by-32 grayscale thumbnails flagged 5 cross-split pairs above cosine 0.95. The top train/eval pair reached 0.996584. Direct visual inspection of the original image pixels confirmed the same organoid layout in this pair and in two train/val pairs despite different filenames, brightness and image detail. A fourth val/eval pair has a partly shifted but similar field; its acquisition identity is not adjudicated. This scan is post hoc and the threshold is an investigation aid, not a validated group identifier. The complete pair list and file hashes are in results/seg_split_integrity_v2.json; screenshots are not needed to reproduce the thumbnail audit from the original public files.</w:t>
      </w:r>
    </w:p>
    <w:p>
      <w:pPr>
        <w:spacing w:after="120"/>
        <w:jc w:val="both"/>
      </w:pPr>
      <w:r>
        <w:rPr>
          <w:rFonts w:ascii="Times New Roman" w:hAnsi="Times New Roman" w:eastAsia="Times New Roman"/>
        </w:rPr>
        <w:t>This changes the interpretation of Sections 4.5a-d. Train-only means train-filename-only, not acquisition-scene-only. File-untouched means scores were not requested during selection, not that the underlying scenes were unseen. The 0.761108 author-scorer mean and the locked &gt;0.76 numerical arithmetic remain exactly as recorded; the prerequisite of an independently held-out benchmark sample was not satisfied. We retract the benchmark-improvement claim rather than excluding overlapping eval images after seeing outcomes, rewriting the gate, or treating a post hoc subgroup as a new sealed test. The earlier 0.73867 negative remains in the record. We need source acquisition and donor metadata, group-disjoint training/validation, an untouched independently acquired evaluation cohort, and a paired author-baseline scorer before claiming benchmark improvement. Source-derived filenames are not enough to prove independence of remaining images.</w:t>
      </w:r>
    </w:p>
    <w:p>
      <w:pPr>
        <w:pStyle w:val="Heading2"/>
      </w:pPr>
      <w:r>
        <w:rPr>
          <w:rFonts w:ascii="Times New Roman" w:hAnsi="Times New Roman" w:eastAsia="Times New Roman"/>
        </w:rPr>
        <w:t>4.5f A scene-graph audit and its false positives</w:t>
      </w:r>
    </w:p>
    <w:p>
      <w:pPr>
        <w:spacing w:after="120"/>
        <w:jc w:val="both"/>
      </w:pPr>
      <w:r>
        <w:rPr>
          <w:rFonts w:ascii="Times New Roman" w:hAnsi="Times New Roman" w:eastAsia="Times New Roman"/>
        </w:rPr>
        <w:t>We implemented an image-only graph for all 231 images, with every pair's 32-by-32 standardized thumbnail cosine and an exact-hash check. Connected components are candidate acquisition scenes; their transitive closure retains repeated frames. At threshold 0.95 there are 215 components, 14 multi-image components, and 5 cross-split components comprising 10 images. At 0.97 and 0.99, 4 and 3 cross-split pairs persist. All cutoffs were selected or inspected AFTER the saved AP50 outcome and so are forensics, not preregistered evaluation choices (scripts/build_scene_graph.py, results/scene_graph_forensics.json).</w:t>
      </w:r>
    </w:p>
    <w:p>
      <w:pPr>
        <w:spacing w:after="120"/>
        <w:jc w:val="both"/>
      </w:pPr>
      <w:r>
        <w:rPr>
          <w:rFonts w:ascii="Times New Roman" w:hAnsi="Times New Roman" w:eastAsia="Times New Roman"/>
        </w:rPr>
        <w:t>A seeded random sample of 1000 cross-split pairs has median cosine 0.352 and 99th percentile 0.865; this descriptive scale check does not yield a calibrated p-value. Visual inspection of the five flagged pairs at 0.95 confirmed three near-identical organoid layouts (one train/eval and two train/val). One val/eval pair may be a shifted scene and remains uncertain. The fifth, a 0003 train/val pair near 0.95065, shows visibly distinct layouts: it is likely a similarity false positive. These adjudications were based on the pixels, not model outcomes; the graph retains even the false-positive candidate to expose threshold limitations. No missing graph edge proves different donors, plates, wells or sessions, because that metadata is unavailable. The old test files have already been seen; excluding image pairs now cannot create a sealed holdout. A new group-disjoint acquisition cohort and published-model paired predictions are still required.</w:t>
      </w:r>
    </w:p>
    <w:p>
      <w:pPr>
        <w:pStyle w:val="Heading2"/>
      </w:pPr>
      <w:r>
        <w:rPr>
          <w:rFonts w:ascii="Times New Roman" w:hAnsi="Times New Roman" w:eastAsia="Times New Roman"/>
        </w:rPr>
        <w:t>4.5g Repeated-field labels confirm shared organoids</w:t>
      </w:r>
    </w:p>
    <w:p>
      <w:pPr>
        <w:spacing w:after="120"/>
        <w:jc w:val="both"/>
      </w:pPr>
      <w:r>
        <w:rPr>
          <w:rFonts w:ascii="Times New Roman" w:hAnsi="Times New Roman" w:eastAsia="Times New Roman"/>
        </w:rPr>
        <w:t>The three strongest cross-split image pairs, all detected above 0.99 cosine before opening their masks in this follow-up, also share labeled organoids. We matched raw 512-by-512 instance masks one-to-one at identical pixel coordinates with a maximum-IoU assignment. Respectively, the two train/val pairs contain 61 and 40 matches at IoU &gt;=0.5 out of 62/66 and 43/45 annotated objects; the train/eval pair contains 50 matches out of 55/52 objects. Corresponding foreground Dice values are 0.905, 0.809, and 0.896. This is direct evidence that many identical organoid layouts and corresponding mask annotations cross filenames and splits, not merely similar illumination or texture.</w:t>
      </w:r>
    </w:p>
    <w:p>
      <w:pPr>
        <w:spacing w:after="120"/>
        <w:jc w:val="both"/>
      </w:pPr>
      <w:r>
        <w:rPr>
          <w:rFonts w:ascii="Times New Roman" w:hAnsi="Times New Roman" w:eastAsia="Times New Roman"/>
        </w:rPr>
        <w:t>The visually distinct-layout 0003 train/val candidate at cosine 0.95065 yields 0 matched objects and Dice 0.028. A retrospectively selected 512-pixel train/eval distinct-layout comparison also yields 0 matches; controls illustrate that thumbnail cosine alone makes false-positive candidate scene groups. The mask checks were performed only after the published-file AP50 was scored; they are annotation consistency evidence, NOT a prospective segmentation test or estimate of benchmark inflation. The same source masks may have been curated together and cannot establish donor independence, either. All original pairs and descriptive controls are in scripts/audit_scene_label_consistency.py and results/scene_label_consistency.json. We have not removed overlapped images or rescored a post hoc uncontaminated subset.</w:t>
      </w:r>
    </w:p>
    <w:p>
      <w:pPr>
        <w:pStyle w:val="Heading2"/>
      </w:pPr>
      <w:r>
        <w:rPr>
          <w:rFonts w:ascii="Times New Roman" w:hAnsi="Times New Roman" w:eastAsia="Times New Roman"/>
        </w:rPr>
        <w:t>4.5h Matched organoid area and boundary variability across repeated fields</w:t>
      </w:r>
    </w:p>
    <w:p>
      <w:pPr>
        <w:spacing w:after="120"/>
        <w:jc w:val="both"/>
      </w:pPr>
      <w:r>
        <w:rPr>
          <w:rFonts w:ascii="Times New Roman" w:hAnsi="Times New Roman" w:eastAsia="Times New Roman"/>
        </w:rPr>
        <w:t>The three high-similarity cross-split fields also permit a direct comparison of their separately stored instance boundaries and areas. A fixed post-result descriptive protocol was written for this analysis; it is not an independently held-out test (notes/paired_scene_boundary_protocol.md).</w:t>
      </w:r>
    </w:p>
    <w:p>
      <w:pPr>
        <w:spacing w:after="120"/>
        <w:jc w:val="both"/>
      </w:pPr>
      <w:r>
        <w:rPr>
          <w:rFonts w:ascii="Times New Roman" w:hAnsi="Times New Roman" w:eastAsia="Times New Roman"/>
        </w:rPr>
        <w:t>At identical raw 512-pixel coordinates we matched labels one-to-one by IoU &gt;=0.5. There are 61, 40, and 50 matched organoids in the three previously flagged pairs. Their median absolute log area ratios are 0.1086, 0.2934, and 0.1451; the median one-pixel-tolerant boundary F1 values are 0.7207, 0.4694, and 0.7314. An exact-copy metric control returns zero area/centroid drift and boundary F1 1; two visually distinct-layout pair controls have zero matched objects at IoU &gt;=0.5. The code and every per-object measurement are in scripts/audit_paired_scene_boundaries.py and results/paired_scene_boundary_consistency.json. This is a measurable repeated-field annotation/acquisition variability signal, not a human inter-rater experiment: acquisition time, annotator identity, mask-curation history and donor IDs are unknown. No valid AP50 ceiling or CFTR phenotype-robustness result follows from it. Independent image acquisition and blinded repeat annotation would be required for those claims.</w:t>
      </w:r>
    </w:p>
    <w:p>
      <w:pPr>
        <w:pStyle w:val="Heading2"/>
      </w:pPr>
      <w:r>
        <w:rPr>
          <w:rFonts w:ascii="Times New Roman" w:hAnsi="Times New Roman" w:eastAsia="Times New Roman"/>
        </w:rPr>
        <w:t>4.5i Retrospective overlap-exclusion score audit</w:t>
      </w:r>
    </w:p>
    <w:p>
      <w:pPr>
        <w:spacing w:after="120"/>
        <w:jc w:val="both"/>
      </w:pPr>
      <w:r>
        <w:rPr>
          <w:rFonts w:ascii="Times New Roman" w:hAnsi="Times New Roman" w:eastAsia="Times New Roman"/>
        </w:rPr>
        <w:t>A further post-result audit asks the narrowest question still available from already-saved outputs: if the graph-flagged cross-split eval images are removed after all scores were viewed, what happens to the saved author-scorer mean? Exclusions come only from the existing image-only graph, never from outcome values. At thresholds 0.95 and 0.97 the flagged eval images are the train-overlapping 20210727_11562 file (AP50 0.87931) and the val-overlapping 20210727_26838 file (AP50 0.71053); removing them leaves 10 images with mean 0.754346, versus 0.761108 on all 12 and 0.729115 for the earlier v1 model on the same retained images. At 0.99 only the train-overlapping file is flagged, leaving 11 images at mean 0.750362. Seeded image-bootstrap intervals, [0.690968, 0.827025] and [0.692235, 0.816450], stay wide and include the rounded published 0.76. Protocol, input hashes and every retained and flagged score are in notes/postresult_scene_overlap_score_audit.md, scripts/audit_postresult_scene_overlap_score.py and results/postresult_scene_overlap_score_audit.json.</w:t>
      </w:r>
    </w:p>
    <w:p>
      <w:pPr>
        <w:spacing w:after="120"/>
        <w:jc w:val="both"/>
      </w:pPr>
      <w:r>
        <w:rPr>
          <w:rFonts w:ascii="Times New Roman" w:hAnsi="Times New Roman" w:eastAsia="Times New Roman"/>
        </w:rPr>
        <w:t>None of these subset means is a held-out benchmark score: the eval files, model and grid were all fixed and scored before the exclusion rule existed, unflagged files can still share acquisition sessions or donors, and no published author-model predictions exist for a paired comparison. The audit is reported because it removes a tempting misreading: even the most aggressive outcome-aware exclusion does not rescue the comparison, it lowers the retained mean below the rounded 0.76 point. The locked all-image v2 score stays exactly as recorded, the retained-subset numbers are diagnostics, and the requirement for a new group-disjoint acquisition cohort with paired author-baseline scoring is unchanged.</w:t>
      </w:r>
    </w:p>
    <w:p>
      <w:pPr>
        <w:pStyle w:val="Heading2"/>
      </w:pPr>
      <w:r>
        <w:rPr>
          <w:rFonts w:ascii="Times New Roman" w:hAnsi="Times New Roman" w:eastAsia="Times New Roman"/>
        </w:rPr>
        <w:t>4.5j Distinct mouse-intestinal detection transfer: negative</w:t>
      </w:r>
    </w:p>
    <w:p>
      <w:pPr>
        <w:spacing w:after="120"/>
        <w:jc w:val="both"/>
      </w:pPr>
      <w:r>
        <w:rPr>
          <w:rFonts w:ascii="Times New Roman" w:hAnsi="Times New Roman" w:eastAsia="Times New Roman"/>
        </w:rPr>
        <w:t>We tested the fixed human-organoid segmentation checkpoint on a different image and annotation domain, not as a repaired version of the original human mask benchmark. The Domènech-Moreno mouse-intestinal 4x EVOS release (Zenodo 6768583) contains 756 train and 84 released validation JPEGs with manually drawn YOLO object boxes across four morphology classes. Its 193.9 MB archive matches the source MD5. Before reading target scores we fixed the existing v2 U-Net weights and the original human-validation parameters, converted its instance masks to tight object boxes, collapsed the target classes into one object class and matched boxes once at IoU &gt;=0.5. Across all 84 validation images and 2,468 valid labeled boxes, there are 850 true positives, 911 false positives and 1,618 false negatives. Micro precision 0.483, recall 0.344, F1 0.402; mean per-image F1 0.340. One released zero-width annotation was recorded and excluded from the valid-box denominator. The source hashes, every image count, protocol and implementation are in results/postresult_mouse_yolo_domain.json, notes/postresult_mouse_yolo_domain_protocol.md and scripts/audit_mouse_yolo_domain.py.</w:t>
      </w:r>
    </w:p>
    <w:p>
      <w:pPr>
        <w:spacing w:after="120"/>
        <w:jc w:val="both"/>
      </w:pPr>
      <w:r>
        <w:rPr>
          <w:rFonts w:ascii="Times New Roman" w:hAnsi="Times New Roman" w:eastAsia="Times New Roman"/>
        </w:rPr>
        <w:t>This is an external-domain negative for the current model's ready-to-use object detection. The target is mouse rather than human, class-specific loose boxes rather than pixel instance masks, and a different microscope/field density, so box F1 cannot be compared with the OrgaSegment paper's human mask AP50 0.76. No published comparator's predictions on the same 84 images are in hand, so this is NOT a leading-tool benchmark. No exact image-hash duplicates occur across target train/validation or original human source, but thumbnail similarity flags possible related target acquisition fields and lacks donor/session metadata. Because no mouse images trained our U-Net, this issue does not explain the low transfer recall, but it prevents an independent mouse split claim. Visual review of example low- and higher-scoring target images showed substantial contrast and object-density differences without identifying the cause of false negatives. The result narrows tool deployment; it neither tests CFTR swelling biology nor alters the failed original donor sign and specificity gates.</w:t>
      </w:r>
    </w:p>
    <w:p>
      <w:pPr>
        <w:pStyle w:val="Heading2"/>
      </w:pPr>
      <w:r>
        <w:rPr>
          <w:rFonts w:ascii="Times New Roman" w:hAnsi="Times New Roman" w:eastAsia="Times New Roman"/>
        </w:rPr>
        <w:t>4.5k Candidate-scene-group-disjoint reassignment and its exploratory test</w:t>
      </w:r>
    </w:p>
    <w:p>
      <w:pPr>
        <w:spacing w:after="120"/>
        <w:jc w:val="both"/>
      </w:pPr>
      <w:r>
        <w:rPr>
          <w:rFonts w:ascii="Times New Roman" w:hAnsi="Times New Roman" w:eastAsia="Times New Roman"/>
        </w:rPr>
        <w:t>We made the image-based leakage diagnosis operational, while preserving the original result as history. Under the 27 September exploratory protocol (notes/prereg_group_disjoint_seg.md, commit b8e5132), an exact image hash or standardized 32-by-32 thumbnail cosine &gt;=0.95 joined images into candidate scene groups, including transitive links. Each group's reassignment followed the highest original priority eval &gt; val &gt; train. Five files moved, including one train file to eval and one val file to eval. The resulting 180/37/14 train/val/eval allocation includes all 231 released files exactly once and puts no graph component across splits (results/group_disjoint_seg_split.json, split implementation commit db30071). At cosine 0.97 and 0.99, the earlier forensic graph found 4 and 3 originally cross-split candidate groups, versus 5 at 0.95; these are descriptive threshold checks, not alternative assignments chosen by AP50. The 0.95 graph is a proxy: one flagged pair has visually different layouts and unflagged files can still share donors, wells or sessions. Without acquisition metadata, this reassignment cannot certify independence.</w:t>
      </w:r>
    </w:p>
    <w:p>
      <w:pPr>
        <w:spacing w:after="120"/>
        <w:jc w:val="both"/>
      </w:pPr>
      <w:r>
        <w:rPr>
          <w:rFonts w:ascii="Times New Roman" w:hAnsi="Times New Roman" w:eastAsia="Times New Roman"/>
        </w:rPr>
        <w:t>We freshly initialized the 3-class base-16 U-Net and trained on only the 180 reassigned train files, with no weights from the old v2 checkpoint. The frozen recipe used 512-pixel grayscale normalization, 256-pixel random crops, batch size two, weighted cross entropy 1/1/3, Adam at 0.002, seeded flips and rotations, and up to 60 epochs. The 37 reassigned validation files selected epoch 60 by lowest weighted cross entropy checked every five epochs (loss 0.077038895); their masks did not enter gradient updates. The checkpoint SHA256 is cc9f8ddfd07155854c8955ccd3089de777bd53fcf6131d0ef7aadb26142360f4. The old postprocessing grid was not rerun: script commit 6b23675 froze the code-default foreground/interior/boundary/minimum-size parameters [0.5, 0.6, 0.3, 20] before the first reassigned-eval score, as permitted by that protocol. Model checkpoint and full epoch history are retained under results/group_disjoint_seg/.</w:t>
      </w:r>
    </w:p>
    <w:p>
      <w:pPr>
        <w:spacing w:after="120"/>
        <w:jc w:val="both"/>
      </w:pPr>
      <w:r>
        <w:rPr>
          <w:rFonts w:ascii="Times New Roman" w:hAnsi="Times New Roman" w:eastAsia="Times New Roman"/>
        </w:rPr>
        <w:t>On the 14 reassigned eval images, the pinned OrgaSegment v1.0.1 author AP50 implementation gives mean 0.750403; our unique-mask-count implementation gives 0.751727. A seed-20260927 image bootstrap with 20,000 draws produces a conditional percentile interval [0.689349, 0.810722]. This includes the rounded published 0.76 and omits seed and donor/acquisition variance. The two scorers differ beyond float rounding on two images with missing ground-truth label IDs: the author scorer counts maximum instance label, while ours counts distinct labels. Neither metric is a head-to-head comparison with released Mask R-CNN predictions, which are unavailable here.</w:t>
      </w:r>
    </w:p>
    <w:p>
      <w:r>
        <w:rPr>
          <w:rFonts w:ascii="Times New Roman" w:hAnsi="Times New Roman" w:eastAsia="Times New Roman"/>
          <w:b/>
        </w:rPr>
        <w:t>Table 17. Candidate-group-disjoint exploratory reassignment: all 14 image scores, including the two moved-to-eval files. Full filenames, unique-count scores and mask-ID-gap accounting are in results/group_disjoint_seg/exploratory_eval.json.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eval 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TP</w:t>
            </w:r>
          </w:p>
        </w:tc>
        <w:tc>
          <w:tcPr>
            <w:tcW w:type="dxa" w:w="1728"/>
          </w:tcPr>
          <w:p>
            <w:r>
              <w:rPr>
                <w:rFonts w:ascii="Times New Roman" w:hAnsi="Times New Roman" w:eastAsia="Times New Roman"/>
              </w:rPr>
              <w:t>FP</w:t>
            </w:r>
          </w:p>
        </w:tc>
        <w:tc>
          <w:tcPr>
            <w:tcW w:type="dxa" w:w="1728"/>
          </w:tcPr>
          <w:p>
            <w:r>
              <w:rPr>
                <w:rFonts w:ascii="Times New Roman" w:hAnsi="Times New Roman" w:eastAsia="Times New Roman"/>
              </w:rPr>
              <w:t>FN</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68</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2</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0.583</w:t>
            </w:r>
          </w:p>
        </w:tc>
        <w:tc>
          <w:tcPr>
            <w:tcW w:type="dxa" w:w="1728"/>
          </w:tcPr>
          <w:p>
            <w:r>
              <w:rPr>
                <w:rFonts w:ascii="Times New Roman" w:hAnsi="Times New Roman" w:eastAsia="Times New Roman"/>
              </w:rPr>
              <w:t>49</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27</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0.811</w:t>
            </w:r>
          </w:p>
        </w:tc>
        <w:tc>
          <w:tcPr>
            <w:tcW w:type="dxa" w:w="1728"/>
          </w:tcPr>
          <w:p>
            <w:r>
              <w:rPr>
                <w:rFonts w:ascii="Times New Roman" w:hAnsi="Times New Roman" w:eastAsia="Times New Roman"/>
              </w:rPr>
              <w:t>43</w:t>
            </w:r>
          </w:p>
        </w:tc>
        <w:tc>
          <w:tcPr>
            <w:tcW w:type="dxa" w:w="1728"/>
          </w:tcPr>
          <w:p>
            <w:r>
              <w:rPr>
                <w:rFonts w:ascii="Times New Roman" w:hAnsi="Times New Roman" w:eastAsia="Times New Roman"/>
              </w:rPr>
              <w:t>9</w:t>
            </w:r>
          </w:p>
        </w:tc>
        <w:tc>
          <w:tcPr>
            <w:tcW w:type="dxa" w:w="1728"/>
          </w:tcPr>
          <w:p>
            <w:r>
              <w:rPr>
                <w:rFonts w:ascii="Times New Roman" w:hAnsi="Times New Roman" w:eastAsia="Times New Roman"/>
              </w:rPr>
              <w:t>1</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33</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3</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0.895</w:t>
            </w:r>
          </w:p>
        </w:tc>
        <w:tc>
          <w:tcPr>
            <w:tcW w:type="dxa" w:w="1728"/>
          </w:tcPr>
          <w:p>
            <w:r>
              <w:rPr>
                <w:rFonts w:ascii="Times New Roman" w:hAnsi="Times New Roman" w:eastAsia="Times New Roman"/>
              </w:rPr>
              <w:t>51</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1</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0.554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15</w:t>
            </w:r>
          </w:p>
        </w:tc>
        <w:tc>
          <w:tcPr>
            <w:tcW w:type="dxa" w:w="1728"/>
          </w:tcPr>
          <w:p>
            <w:r>
              <w:rPr>
                <w:rFonts w:ascii="Times New Roman" w:hAnsi="Times New Roman" w:eastAsia="Times New Roman"/>
              </w:rPr>
              <w:t>14</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0.724</w:t>
            </w:r>
          </w:p>
        </w:tc>
        <w:tc>
          <w:tcPr>
            <w:tcW w:type="dxa" w:w="1728"/>
          </w:tcPr>
          <w:p>
            <w:r>
              <w:rPr>
                <w:rFonts w:ascii="Times New Roman" w:hAnsi="Times New Roman" w:eastAsia="Times New Roman"/>
              </w:rPr>
              <w:t>126</w:t>
            </w:r>
          </w:p>
        </w:tc>
        <w:tc>
          <w:tcPr>
            <w:tcW w:type="dxa" w:w="1728"/>
          </w:tcPr>
          <w:p>
            <w:r>
              <w:rPr>
                <w:rFonts w:ascii="Times New Roman" w:hAnsi="Times New Roman" w:eastAsia="Times New Roman"/>
              </w:rPr>
              <w:t>25</w:t>
            </w:r>
          </w:p>
        </w:tc>
        <w:tc>
          <w:tcPr>
            <w:tcW w:type="dxa" w:w="1728"/>
          </w:tcPr>
          <w:p>
            <w:r>
              <w:rPr>
                <w:rFonts w:ascii="Times New Roman" w:hAnsi="Times New Roman" w:eastAsia="Times New Roman"/>
              </w:rPr>
              <w:t>23</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0.850</w:t>
            </w:r>
          </w:p>
        </w:tc>
        <w:tc>
          <w:tcPr>
            <w:tcW w:type="dxa" w:w="1728"/>
          </w:tcPr>
          <w:p>
            <w:r>
              <w:rPr>
                <w:rFonts w:ascii="Times New Roman" w:hAnsi="Times New Roman" w:eastAsia="Times New Roman"/>
              </w:rPr>
              <w:t>51</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4</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0.632</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42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0.702</w:t>
            </w:r>
          </w:p>
        </w:tc>
        <w:tc>
          <w:tcPr>
            <w:tcW w:type="dxa" w:w="1728"/>
          </w:tcPr>
          <w:p>
            <w:r>
              <w:rPr>
                <w:rFonts w:ascii="Times New Roman" w:hAnsi="Times New Roman" w:eastAsia="Times New Roman"/>
              </w:rPr>
              <w:t>66</w:t>
            </w:r>
          </w:p>
        </w:tc>
        <w:tc>
          <w:tcPr>
            <w:tcW w:type="dxa" w:w="1728"/>
          </w:tcPr>
          <w:p>
            <w:r>
              <w:rPr>
                <w:rFonts w:ascii="Times New Roman" w:hAnsi="Times New Roman" w:eastAsia="Times New Roman"/>
              </w:rPr>
              <w:t>19</w:t>
            </w:r>
          </w:p>
        </w:tc>
        <w:tc>
          <w:tcPr>
            <w:tcW w:type="dxa" w:w="1728"/>
          </w:tcPr>
          <w:p>
            <w:r>
              <w:rPr>
                <w:rFonts w:ascii="Times New Roman" w:hAnsi="Times New Roman" w:eastAsia="Times New Roman"/>
              </w:rPr>
              <w:t>9</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0.767</w:t>
            </w:r>
          </w:p>
        </w:tc>
        <w:tc>
          <w:tcPr>
            <w:tcW w:type="dxa" w:w="1728"/>
          </w:tcPr>
          <w:p>
            <w:r>
              <w:rPr>
                <w:rFonts w:ascii="Times New Roman" w:hAnsi="Times New Roman" w:eastAsia="Times New Roman"/>
              </w:rPr>
              <w:t>56</w:t>
            </w:r>
          </w:p>
        </w:tc>
        <w:tc>
          <w:tcPr>
            <w:tcW w:type="dxa" w:w="1728"/>
          </w:tcPr>
          <w:p>
            <w:r>
              <w:rPr>
                <w:rFonts w:ascii="Times New Roman" w:hAnsi="Times New Roman" w:eastAsia="Times New Roman"/>
              </w:rPr>
              <w:t>14</w:t>
            </w:r>
          </w:p>
        </w:tc>
        <w:tc>
          <w:tcPr>
            <w:tcW w:type="dxa" w:w="1728"/>
          </w:tcPr>
          <w:p>
            <w:r>
              <w:rPr>
                <w:rFonts w:ascii="Times New Roman" w:hAnsi="Times New Roman" w:eastAsia="Times New Roman"/>
              </w:rPr>
              <w:t>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0.705</w:t>
            </w:r>
          </w:p>
        </w:tc>
        <w:tc>
          <w:tcPr>
            <w:tcW w:type="dxa" w:w="1728"/>
          </w:tcPr>
          <w:p>
            <w:r>
              <w:rPr>
                <w:rFonts w:ascii="Times New Roman" w:hAnsi="Times New Roman" w:eastAsia="Times New Roman"/>
              </w:rPr>
              <w:t>55</w:t>
            </w:r>
          </w:p>
        </w:tc>
        <w:tc>
          <w:tcPr>
            <w:tcW w:type="dxa" w:w="1728"/>
          </w:tcPr>
          <w:p>
            <w:r>
              <w:rPr>
                <w:rFonts w:ascii="Times New Roman" w:hAnsi="Times New Roman" w:eastAsia="Times New Roman"/>
              </w:rPr>
              <w:t>19</w:t>
            </w:r>
          </w:p>
        </w:tc>
        <w:tc>
          <w:tcPr>
            <w:tcW w:type="dxa" w:w="1728"/>
          </w:tcPr>
          <w:p>
            <w:r>
              <w:rPr>
                <w:rFonts w:ascii="Times New Roman" w:hAnsi="Times New Roman" w:eastAsia="Times New Roman"/>
              </w:rPr>
              <w:t>4</w:t>
            </w:r>
          </w:p>
        </w:tc>
      </w:tr>
      <w:tr>
        <w:tc>
          <w:tcPr>
            <w:tcW w:type="dxa" w:w="1728"/>
          </w:tcPr>
          <w:p>
            <w:r>
              <w:rPr>
                <w:rFonts w:ascii="Times New Roman" w:hAnsi="Times New Roman" w:eastAsia="Times New Roman"/>
              </w:rPr>
              <w:t>13</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103</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45</w:t>
            </w:r>
          </w:p>
        </w:tc>
      </w:tr>
      <w:tr>
        <w:tc>
          <w:tcPr>
            <w:tcW w:type="dxa" w:w="1728"/>
          </w:tcPr>
          <w:p>
            <w:r>
              <w:rPr>
                <w:rFonts w:ascii="Times New Roman" w:hAnsi="Times New Roman" w:eastAsia="Times New Roman"/>
              </w:rPr>
              <w:t>14</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78</w:t>
            </w:r>
          </w:p>
        </w:tc>
        <w:tc>
          <w:tcPr>
            <w:tcW w:type="dxa" w:w="1728"/>
          </w:tcPr>
          <w:p>
            <w:r>
              <w:rPr>
                <w:rFonts w:ascii="Times New Roman" w:hAnsi="Times New Roman" w:eastAsia="Times New Roman"/>
              </w:rPr>
              <w:t>13</w:t>
            </w:r>
          </w:p>
        </w:tc>
        <w:tc>
          <w:tcPr>
            <w:tcW w:type="dxa" w:w="1728"/>
          </w:tcPr>
          <w:p>
            <w:r>
              <w:rPr>
                <w:rFonts w:ascii="Times New Roman" w:hAnsi="Times New Roman" w:eastAsia="Times New Roman"/>
              </w:rPr>
              <w:t>9</w:t>
            </w:r>
          </w:p>
        </w:tc>
      </w:tr>
    </w:tbl>
    <w:p>
      <w:pPr>
        <w:spacing w:after="120"/>
        <w:jc w:val="both"/>
      </w:pPr>
      <w:r>
        <w:rPr>
          <w:rFonts w:ascii="Times New Roman" w:hAnsi="Times New Roman" w:eastAsia="Times New Roman"/>
        </w:rPr>
        <w:t>Failure analysis is heterogeneous rather than a single global threshold effect. The lowest-scoring images had author AP50 0.554 (36 TP, 15 FP, 14 FN) and 0.583 (49 TP, 8 FP, 27 FN); the highest reached 0.958 (68 TP, 1 FP, 2 FN). The two moved-to-eval images scored 0.850 and 0.767; they were original train/val files, not previously scored as eval, but both share image-similarity components with original eval files and were in the known source set. On the 12 original eval images shared with the old v2 report, a descriptive same-file paired mean change is -0.0204 AP50. This is not an isolated effect of leakage removal: weights, training membership, validation set, model selection and extraction parameters all changed. The original 0.761108 result and numerical threshold crossing remain archived; the new 0.750403 estimate is not a corrected benchmark score, an independent replication or proof that the old estimate was inflated by exactly their difference. The eval includes 10 singleton proxy groups and two two-image groups, but these are not verified independent donors or plates; the image-bootstrap interval ignores any hidden nesting. An untouched acquisition cohort with real donor/plate/field IDs and paired published-model predictions is still required for a leading-tool claim (notes/group_disjoint_eval_design_limits.md).</w:t>
      </w:r>
    </w:p>
    <w:p>
      <w:pPr>
        <w:pStyle w:val="Heading2"/>
      </w:pPr>
      <w:r>
        <w:rPr>
          <w:rFonts w:ascii="Times New Roman" w:hAnsi="Times New Roman" w:eastAsia="Times New Roman"/>
        </w:rPr>
        <w:t>4.5k.1 Same-file score reconciliation across the two models</w:t>
      </w:r>
    </w:p>
    <w:p>
      <w:pPr>
        <w:spacing w:after="120"/>
        <w:jc w:val="both"/>
      </w:pPr>
      <w:r>
        <w:rPr>
          <w:rFonts w:ascii="Times New Roman" w:hAnsi="Times New Roman" w:eastAsia="Times New Roman"/>
        </w:rPr>
        <w:t>The new 14-file eval mixes two previously unscored-as-eval images with the 12 original eval files. To keep denominators straight, a post-result reconciliation compares only those 12 identical filenames between the old v2 score and the freshly trained group-reassigned model. The older mean on these 12 files is 0.761108; the new mean on the same files is 0.740710, a new-minus-old mean of -0.020398. The median per-file change is -0.005336, with range -0.112821 to +0.015426. Three images improve, eight worsen and one ties exactly in saved float values. Old totals across the shared files are 798 true positives, 112 false positives and 176 false negatives; new totals are 794, 133 and 180. These totals describe instance matches, not independent experimental units.</w:t>
      </w:r>
    </w:p>
    <w:p>
      <w:r>
        <w:rPr>
          <w:rFonts w:ascii="Times New Roman" w:hAnsi="Times New Roman" w:eastAsia="Times New Roman"/>
          <w:b/>
        </w:rPr>
        <w:t>Table 18. Same-file author-scorer AP50 changes across the two model fits. Full filenames, proxy components, ground-truth counts and TP/FP/FN are in results/group_disjoint_seg/postresult_samefile_delta.json.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shared original eval image #</w:t>
            </w:r>
          </w:p>
        </w:tc>
        <w:tc>
          <w:tcPr>
            <w:tcW w:type="dxa" w:w="2160"/>
          </w:tcPr>
          <w:p>
            <w:r>
              <w:rPr>
                <w:rFonts w:ascii="Times New Roman" w:hAnsi="Times New Roman" w:eastAsia="Times New Roman"/>
              </w:rPr>
              <w:t>old AP50</w:t>
            </w:r>
          </w:p>
        </w:tc>
        <w:tc>
          <w:tcPr>
            <w:tcW w:type="dxa" w:w="2160"/>
          </w:tcPr>
          <w:p>
            <w:r>
              <w:rPr>
                <w:rFonts w:ascii="Times New Roman" w:hAnsi="Times New Roman" w:eastAsia="Times New Roman"/>
              </w:rPr>
              <w:t>new AP50</w:t>
            </w:r>
          </w:p>
        </w:tc>
        <w:tc>
          <w:tcPr>
            <w:tcW w:type="dxa" w:w="2160"/>
          </w:tcPr>
          <w:p>
            <w:r>
              <w:rPr>
                <w:rFonts w:ascii="Times New Roman" w:hAnsi="Times New Roman" w:eastAsia="Times New Roman"/>
              </w:rPr>
              <w:t>change</w:t>
            </w:r>
          </w:p>
        </w:tc>
      </w:tr>
      <w:tr>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0.958</w:t>
            </w:r>
          </w:p>
        </w:tc>
        <w:tc>
          <w:tcPr>
            <w:tcW w:type="dxa" w:w="2160"/>
          </w:tcPr>
          <w:p>
            <w:r>
              <w:rPr>
                <w:rFonts w:ascii="Times New Roman" w:hAnsi="Times New Roman" w:eastAsia="Times New Roman"/>
              </w:rPr>
              <w:t>0.958</w:t>
            </w:r>
          </w:p>
        </w:tc>
        <w:tc>
          <w:tcPr>
            <w:tcW w:type="dxa" w:w="2160"/>
          </w:tcPr>
          <w:p>
            <w:r>
              <w:rPr>
                <w:rFonts w:ascii="Times New Roman" w:hAnsi="Times New Roman" w:eastAsia="Times New Roman"/>
              </w:rPr>
              <w:t>+0.000</w:t>
            </w:r>
          </w:p>
        </w:tc>
      </w:tr>
      <w:tr>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0.658</w:t>
            </w:r>
          </w:p>
        </w:tc>
        <w:tc>
          <w:tcPr>
            <w:tcW w:type="dxa" w:w="2160"/>
          </w:tcPr>
          <w:p>
            <w:r>
              <w:rPr>
                <w:rFonts w:ascii="Times New Roman" w:hAnsi="Times New Roman" w:eastAsia="Times New Roman"/>
              </w:rPr>
              <w:t>0.583</w:t>
            </w:r>
          </w:p>
        </w:tc>
        <w:tc>
          <w:tcPr>
            <w:tcW w:type="dxa" w:w="2160"/>
          </w:tcPr>
          <w:p>
            <w:r>
              <w:rPr>
                <w:rFonts w:ascii="Times New Roman" w:hAnsi="Times New Roman" w:eastAsia="Times New Roman"/>
              </w:rPr>
              <w:t>-0.075</w:t>
            </w:r>
          </w:p>
        </w:tc>
      </w:tr>
      <w:tr>
        <w:tc>
          <w:tcPr>
            <w:tcW w:type="dxa" w:w="2160"/>
          </w:tcPr>
          <w:p>
            <w:r>
              <w:rPr>
                <w:rFonts w:ascii="Times New Roman" w:hAnsi="Times New Roman" w:eastAsia="Times New Roman"/>
              </w:rPr>
              <w:t>3</w:t>
            </w:r>
          </w:p>
        </w:tc>
        <w:tc>
          <w:tcPr>
            <w:tcW w:type="dxa" w:w="2160"/>
          </w:tcPr>
          <w:p>
            <w:r>
              <w:rPr>
                <w:rFonts w:ascii="Times New Roman" w:hAnsi="Times New Roman" w:eastAsia="Times New Roman"/>
              </w:rPr>
              <w:t>0.796</w:t>
            </w:r>
          </w:p>
        </w:tc>
        <w:tc>
          <w:tcPr>
            <w:tcW w:type="dxa" w:w="2160"/>
          </w:tcPr>
          <w:p>
            <w:r>
              <w:rPr>
                <w:rFonts w:ascii="Times New Roman" w:hAnsi="Times New Roman" w:eastAsia="Times New Roman"/>
              </w:rPr>
              <w:t>0.811</w:t>
            </w:r>
          </w:p>
        </w:tc>
        <w:tc>
          <w:tcPr>
            <w:tcW w:type="dxa" w:w="2160"/>
          </w:tcPr>
          <w:p>
            <w:r>
              <w:rPr>
                <w:rFonts w:ascii="Times New Roman" w:hAnsi="Times New Roman" w:eastAsia="Times New Roman"/>
              </w:rPr>
              <w:t>+0.015</w:t>
            </w:r>
          </w:p>
        </w:tc>
      </w:tr>
      <w:tr>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0.944</w:t>
            </w:r>
          </w:p>
        </w:tc>
        <w:tc>
          <w:tcPr>
            <w:tcW w:type="dxa" w:w="2160"/>
          </w:tcPr>
          <w:p>
            <w:r>
              <w:rPr>
                <w:rFonts w:ascii="Times New Roman" w:hAnsi="Times New Roman" w:eastAsia="Times New Roman"/>
              </w:rPr>
              <w:t>0.892</w:t>
            </w:r>
          </w:p>
        </w:tc>
        <w:tc>
          <w:tcPr>
            <w:tcW w:type="dxa" w:w="2160"/>
          </w:tcPr>
          <w:p>
            <w:r>
              <w:rPr>
                <w:rFonts w:ascii="Times New Roman" w:hAnsi="Times New Roman" w:eastAsia="Times New Roman"/>
              </w:rPr>
              <w:t>-0.053</w:t>
            </w:r>
          </w:p>
        </w:tc>
      </w:tr>
      <w:tr>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0.879</w:t>
            </w:r>
          </w:p>
        </w:tc>
        <w:tc>
          <w:tcPr>
            <w:tcW w:type="dxa" w:w="2160"/>
          </w:tcPr>
          <w:p>
            <w:r>
              <w:rPr>
                <w:rFonts w:ascii="Times New Roman" w:hAnsi="Times New Roman" w:eastAsia="Times New Roman"/>
              </w:rPr>
              <w:t>0.895</w:t>
            </w:r>
          </w:p>
        </w:tc>
        <w:tc>
          <w:tcPr>
            <w:tcW w:type="dxa" w:w="2160"/>
          </w:tcPr>
          <w:p>
            <w:r>
              <w:rPr>
                <w:rFonts w:ascii="Times New Roman" w:hAnsi="Times New Roman" w:eastAsia="Times New Roman"/>
              </w:rPr>
              <w:t>+0.015</w:t>
            </w:r>
          </w:p>
        </w:tc>
      </w:tr>
      <w:tr>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0.667</w:t>
            </w:r>
          </w:p>
        </w:tc>
        <w:tc>
          <w:tcPr>
            <w:tcW w:type="dxa" w:w="2160"/>
          </w:tcPr>
          <w:p>
            <w:r>
              <w:rPr>
                <w:rFonts w:ascii="Times New Roman" w:hAnsi="Times New Roman" w:eastAsia="Times New Roman"/>
              </w:rPr>
              <w:t>0.554</w:t>
            </w:r>
          </w:p>
        </w:tc>
        <w:tc>
          <w:tcPr>
            <w:tcW w:type="dxa" w:w="2160"/>
          </w:tcPr>
          <w:p>
            <w:r>
              <w:rPr>
                <w:rFonts w:ascii="Times New Roman" w:hAnsi="Times New Roman" w:eastAsia="Times New Roman"/>
              </w:rPr>
              <w:t>-0.113</w:t>
            </w:r>
          </w:p>
        </w:tc>
      </w:tr>
      <w:tr>
        <w:tc>
          <w:tcPr>
            <w:tcW w:type="dxa" w:w="2160"/>
          </w:tcPr>
          <w:p>
            <w:r>
              <w:rPr>
                <w:rFonts w:ascii="Times New Roman" w:hAnsi="Times New Roman" w:eastAsia="Times New Roman"/>
              </w:rPr>
              <w:t>7</w:t>
            </w:r>
          </w:p>
        </w:tc>
        <w:tc>
          <w:tcPr>
            <w:tcW w:type="dxa" w:w="2160"/>
          </w:tcPr>
          <w:p>
            <w:r>
              <w:rPr>
                <w:rFonts w:ascii="Times New Roman" w:hAnsi="Times New Roman" w:eastAsia="Times New Roman"/>
              </w:rPr>
              <w:t>0.729</w:t>
            </w:r>
          </w:p>
        </w:tc>
        <w:tc>
          <w:tcPr>
            <w:tcW w:type="dxa" w:w="2160"/>
          </w:tcPr>
          <w:p>
            <w:r>
              <w:rPr>
                <w:rFonts w:ascii="Times New Roman" w:hAnsi="Times New Roman" w:eastAsia="Times New Roman"/>
              </w:rPr>
              <w:t>0.724</w:t>
            </w:r>
          </w:p>
        </w:tc>
        <w:tc>
          <w:tcPr>
            <w:tcW w:type="dxa" w:w="2160"/>
          </w:tcPr>
          <w:p>
            <w:r>
              <w:rPr>
                <w:rFonts w:ascii="Times New Roman" w:hAnsi="Times New Roman" w:eastAsia="Times New Roman"/>
              </w:rPr>
              <w:t>-0.005</w:t>
            </w:r>
          </w:p>
        </w:tc>
      </w:tr>
      <w:tr>
        <w:tc>
          <w:tcPr>
            <w:tcW w:type="dxa" w:w="2160"/>
          </w:tcPr>
          <w:p>
            <w:r>
              <w:rPr>
                <w:rFonts w:ascii="Times New Roman" w:hAnsi="Times New Roman" w:eastAsia="Times New Roman"/>
              </w:rPr>
              <w:t>8</w:t>
            </w:r>
          </w:p>
        </w:tc>
        <w:tc>
          <w:tcPr>
            <w:tcW w:type="dxa" w:w="2160"/>
          </w:tcPr>
          <w:p>
            <w:r>
              <w:rPr>
                <w:rFonts w:ascii="Times New Roman" w:hAnsi="Times New Roman" w:eastAsia="Times New Roman"/>
              </w:rPr>
              <w:t>0.630</w:t>
            </w:r>
          </w:p>
        </w:tc>
        <w:tc>
          <w:tcPr>
            <w:tcW w:type="dxa" w:w="2160"/>
          </w:tcPr>
          <w:p>
            <w:r>
              <w:rPr>
                <w:rFonts w:ascii="Times New Roman" w:hAnsi="Times New Roman" w:eastAsia="Times New Roman"/>
              </w:rPr>
              <w:t>0.632</w:t>
            </w:r>
          </w:p>
        </w:tc>
        <w:tc>
          <w:tcPr>
            <w:tcW w:type="dxa" w:w="2160"/>
          </w:tcPr>
          <w:p>
            <w:r>
              <w:rPr>
                <w:rFonts w:ascii="Times New Roman" w:hAnsi="Times New Roman" w:eastAsia="Times New Roman"/>
              </w:rPr>
              <w:t>+0.003</w:t>
            </w:r>
          </w:p>
        </w:tc>
      </w:tr>
      <w:tr>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0.707</w:t>
            </w:r>
          </w:p>
        </w:tc>
        <w:tc>
          <w:tcPr>
            <w:tcW w:type="dxa" w:w="2160"/>
          </w:tcPr>
          <w:p>
            <w:r>
              <w:rPr>
                <w:rFonts w:ascii="Times New Roman" w:hAnsi="Times New Roman" w:eastAsia="Times New Roman"/>
              </w:rPr>
              <w:t>0.702</w:t>
            </w:r>
          </w:p>
        </w:tc>
        <w:tc>
          <w:tcPr>
            <w:tcW w:type="dxa" w:w="2160"/>
          </w:tcPr>
          <w:p>
            <w:r>
              <w:rPr>
                <w:rFonts w:ascii="Times New Roman" w:hAnsi="Times New Roman" w:eastAsia="Times New Roman"/>
              </w:rPr>
              <w:t>-0.004</w:t>
            </w:r>
          </w:p>
        </w:tc>
      </w:tr>
      <w:tr>
        <w:tc>
          <w:tcPr>
            <w:tcW w:type="dxa" w:w="2160"/>
          </w:tcPr>
          <w:p>
            <w:r>
              <w:rPr>
                <w:rFonts w:ascii="Times New Roman" w:hAnsi="Times New Roman" w:eastAsia="Times New Roman"/>
              </w:rPr>
              <w:t>10</w:t>
            </w:r>
          </w:p>
        </w:tc>
        <w:tc>
          <w:tcPr>
            <w:tcW w:type="dxa" w:w="2160"/>
          </w:tcPr>
          <w:p>
            <w:r>
              <w:rPr>
                <w:rFonts w:ascii="Times New Roman" w:hAnsi="Times New Roman" w:eastAsia="Times New Roman"/>
              </w:rPr>
              <w:t>0.711</w:t>
            </w:r>
          </w:p>
        </w:tc>
        <w:tc>
          <w:tcPr>
            <w:tcW w:type="dxa" w:w="2160"/>
          </w:tcPr>
          <w:p>
            <w:r>
              <w:rPr>
                <w:rFonts w:ascii="Times New Roman" w:hAnsi="Times New Roman" w:eastAsia="Times New Roman"/>
              </w:rPr>
              <w:t>0.705</w:t>
            </w:r>
          </w:p>
        </w:tc>
        <w:tc>
          <w:tcPr>
            <w:tcW w:type="dxa" w:w="2160"/>
          </w:tcPr>
          <w:p>
            <w:r>
              <w:rPr>
                <w:rFonts w:ascii="Times New Roman" w:hAnsi="Times New Roman" w:eastAsia="Times New Roman"/>
              </w:rPr>
              <w:t>-0.005</w:t>
            </w:r>
          </w:p>
        </w:tc>
      </w:tr>
      <w:tr>
        <w:tc>
          <w:tcPr>
            <w:tcW w:type="dxa" w:w="2160"/>
          </w:tcPr>
          <w:p>
            <w:r>
              <w:rPr>
                <w:rFonts w:ascii="Times New Roman" w:hAnsi="Times New Roman" w:eastAsia="Times New Roman"/>
              </w:rPr>
              <w:t>11</w:t>
            </w:r>
          </w:p>
        </w:tc>
        <w:tc>
          <w:tcPr>
            <w:tcW w:type="dxa" w:w="2160"/>
          </w:tcPr>
          <w:p>
            <w:r>
              <w:rPr>
                <w:rFonts w:ascii="Times New Roman" w:hAnsi="Times New Roman" w:eastAsia="Times New Roman"/>
              </w:rPr>
              <w:t>0.665</w:t>
            </w:r>
          </w:p>
        </w:tc>
        <w:tc>
          <w:tcPr>
            <w:tcW w:type="dxa" w:w="2160"/>
          </w:tcPr>
          <w:p>
            <w:r>
              <w:rPr>
                <w:rFonts w:ascii="Times New Roman" w:hAnsi="Times New Roman" w:eastAsia="Times New Roman"/>
              </w:rPr>
              <w:t>0.652</w:t>
            </w:r>
          </w:p>
        </w:tc>
        <w:tc>
          <w:tcPr>
            <w:tcW w:type="dxa" w:w="2160"/>
          </w:tcPr>
          <w:p>
            <w:r>
              <w:rPr>
                <w:rFonts w:ascii="Times New Roman" w:hAnsi="Times New Roman" w:eastAsia="Times New Roman"/>
              </w:rPr>
              <w:t>-0.013</w:t>
            </w:r>
          </w:p>
        </w:tc>
      </w:tr>
      <w:tr>
        <w:tc>
          <w:tcPr>
            <w:tcW w:type="dxa" w:w="2160"/>
          </w:tcPr>
          <w:p>
            <w:r>
              <w:rPr>
                <w:rFonts w:ascii="Times New Roman" w:hAnsi="Times New Roman" w:eastAsia="Times New Roman"/>
              </w:rPr>
              <w:t>12</w:t>
            </w:r>
          </w:p>
        </w:tc>
        <w:tc>
          <w:tcPr>
            <w:tcW w:type="dxa" w:w="2160"/>
          </w:tcPr>
          <w:p>
            <w:r>
              <w:rPr>
                <w:rFonts w:ascii="Times New Roman" w:hAnsi="Times New Roman" w:eastAsia="Times New Roman"/>
              </w:rPr>
              <w:t>0.790</w:t>
            </w:r>
          </w:p>
        </w:tc>
        <w:tc>
          <w:tcPr>
            <w:tcW w:type="dxa" w:w="2160"/>
          </w:tcPr>
          <w:p>
            <w:r>
              <w:rPr>
                <w:rFonts w:ascii="Times New Roman" w:hAnsi="Times New Roman" w:eastAsia="Times New Roman"/>
              </w:rPr>
              <w:t>0.780</w:t>
            </w:r>
          </w:p>
        </w:tc>
        <w:tc>
          <w:tcPr>
            <w:tcW w:type="dxa" w:w="2160"/>
          </w:tcPr>
          <w:p>
            <w:r>
              <w:rPr>
                <w:rFonts w:ascii="Times New Roman" w:hAnsi="Times New Roman" w:eastAsia="Times New Roman"/>
              </w:rPr>
              <w:t>-0.010</w:t>
            </w:r>
          </w:p>
        </w:tc>
      </w:tr>
    </w:tbl>
    <w:p>
      <w:pPr>
        <w:spacing w:after="120"/>
        <w:jc w:val="both"/>
      </w:pPr>
      <w:r>
        <w:rPr>
          <w:rFonts w:ascii="Times New Roman" w:hAnsi="Times New Roman" w:eastAsia="Times New Roman"/>
        </w:rPr>
        <w:t>The largest per-file decline and the paired average are not measurements of how much leakage inflated the old score. The two fits also changed training membership, validation membership, weights, checkpoint selection and postprocessing. Both use the same masks for these 12 filenames and have unknown donor/plate nesting. The extra two files had been in original train/val and linked to an original eval image by the candidate scene graph; they do not turn this into a new sealed acquisition cohort. The reconciliation protocol was recorded after both outcomes (notes/postresult_samefile_seg_delta_protocol.md). Do not read the table as 12 independent confirmations or retune on its declines.</w:t>
      </w:r>
    </w:p>
    <w:p>
      <w:pPr>
        <w:pStyle w:val="Heading2"/>
      </w:pPr>
      <w:r>
        <w:rPr>
          <w:rFonts w:ascii="Times New Roman" w:hAnsi="Times New Roman" w:eastAsia="Times New Roman"/>
        </w:rPr>
        <w:t>4.5l Post-result candidate-scene-group uncertainty</w:t>
      </w:r>
    </w:p>
    <w:p>
      <w:pPr>
        <w:spacing w:after="120"/>
        <w:jc w:val="both"/>
      </w:pPr>
      <w:r>
        <w:rPr>
          <w:rFonts w:ascii="Times New Roman" w:hAnsi="Times New Roman" w:eastAsia="Times New Roman"/>
        </w:rPr>
        <w:t>The 14-image bootstrap in Section 4.5k resamples image files as if they were exchangeable. A post-result sensitivity instead resamples the frozen 0.95 thumbnail-graph components. The reassigned eval files form 12 candidate groups, 10 singletons and 2 two-image groups. Equal weighting by candidate group gives author AP50 0.741429; seed-20260927 bootstrap of 20,000 group-mean resamples gives a descriptive interval [0.675048, 0.809498]. The image-weighted mean is 0.750403 with image-bootstrap interval [0.689349, 0.810722]. Different point estimates reflect changing the weights of the two duplicated-proxy groups; this is not a controlled variance-only adjustment or an estimate of donor-level uncertainty.</w:t>
      </w:r>
    </w:p>
    <w:p>
      <w:pPr>
        <w:spacing w:after="120"/>
        <w:jc w:val="both"/>
      </w:pPr>
      <w:r>
        <w:rPr>
          <w:rFonts w:ascii="Times New Roman" w:hAnsi="Times New Roman" w:eastAsia="Times New Roman"/>
        </w:rPr>
        <w:t>This calculation was chosen and run after the AP50 outcomes were known (notes/postresult_group_cluster_uncertainty.md). The image-only graph can merge unrelated fields or miss common donors and plates, and both intervals omit uncertainty over training seeds and annotators. That the two intervals overlap 0.76 has no confirmatory role, because 12 original eval files had already been scored, two moved files were in the known source set, and the published model was not run head-to-head. Full group memberships, scores and deterministic bootstrap implementation are in results/group_disjoint_seg/postresult_group_cluster_uncertainty.json and scripts/audit_group_cluster_uncertainty.py.</w:t>
      </w:r>
    </w:p>
    <w:p>
      <w:pPr>
        <w:pStyle w:val="Heading2"/>
      </w:pPr>
      <w:r>
        <w:rPr>
          <w:rFonts w:ascii="Times New Roman" w:hAnsi="Times New Roman" w:eastAsia="Times New Roman"/>
        </w:rPr>
        <w:t>4.5m Why the two AP50 implementations differ</w:t>
      </w:r>
    </w:p>
    <w:p>
      <w:pPr>
        <w:spacing w:after="120"/>
        <w:jc w:val="both"/>
      </w:pPr>
      <w:r>
        <w:rPr>
          <w:rFonts w:ascii="Times New Roman" w:hAnsi="Times New Roman" w:eastAsia="Times New Roman"/>
        </w:rPr>
        <w:t>The pinned released scorer reports mean 0.750403, while our alternate positive-label-count implementation reports 0.751727, a difference of +0.001324. A post-result ledger check found exactly 2 eval masks with a missing ground-truth label ID; these are the only images whose two AP50 values differ beyond 1e-6. The released function infers its ground-truth object count from the maximum label number, whereas ours counts positive IDs actually present. On the two affected images, the unique-count score is higher by +0.010654 and +0.007879; their author-scorer TP/FP/FN triples are [56, 14, 3] and [78, 13, 9]. This is a label-index denominator issue, not two biological or model predictions. The author-scored value remains the reported primary exploratory number for compatibility with the released protocol; neither scorer version supplies a paired released-model benchmark. The per-image audit and implementation are results/group_disjoint_seg/postresult_gt_id_gap_audit.json and scripts/audit_seg_gt_id_gap.py.</w:t>
      </w:r>
    </w:p>
    <w:p>
      <w:pPr>
        <w:pStyle w:val="Heading2"/>
      </w:pPr>
      <w:r>
        <w:rPr>
          <w:rFonts w:ascii="Times New Roman" w:hAnsi="Times New Roman" w:eastAsia="Times New Roman"/>
        </w:rPr>
        <w:t>4.5n Object-density error accounting on the exploratory eval</w:t>
      </w:r>
    </w:p>
    <w:p>
      <w:pPr>
        <w:spacing w:after="120"/>
        <w:jc w:val="both"/>
      </w:pPr>
      <w:r>
        <w:rPr>
          <w:rFonts w:ascii="Times New Roman" w:hAnsi="Times New Roman" w:eastAsia="Times New Roman"/>
        </w:rPr>
        <w:t>The per-image AP50 spread motivates a narrower failure audit without another model run. After seeing the outcomes, we split all 14 reassigned eval files at their median ground-truth count (64.5 instances per image): 7 images at or below it and 7 above. The low-count group's author AP50 mean is 0.782, with 325 TP, 68 FP and 30 FN; the high-count group's mean is 0.719, with 576 TP, 84 FP and 157 FN. Aggregate FN fraction rises from 0.085 to 0.214; mean false positives per image rise from 9.7 to 12.0. A continuous GT-count/AP50 Spearman coefficient is -0.411. Both moved-to-eval files land in the low-count group, so original split membership is also confounded with this contrast.</w:t>
      </w:r>
    </w:p>
    <w:p>
      <w:pPr>
        <w:spacing w:after="120"/>
        <w:jc w:val="both"/>
      </w:pPr>
      <w:r>
        <w:rPr>
          <w:rFonts w:ascii="Times New Roman" w:hAnsi="Times New Roman" w:eastAsia="Times New Roman"/>
        </w:rPr>
        <w:t>This is an outcome-aware descriptive stratification, not a predeclared density subgroup or causal test. Ground-truth count is an annotation property and can covary with magnification, morphology, object overlap, illumination and acquisition batch, none of which was controlled here. The small 7/7 grouping does not establish a general density failure mode, does not identify the cause of false negatives, and cannot guide post-hoc threshold changes on this eval. Every filename, count and TP/FP/FN is in results/group_disjoint_seg/postresult_object_density.json; the rule and implementation are in notes/postresult_seg_object_density_protocol.md and scripts/audit_seg_object_density.py. Independent acquisitions with metadata and blinded masks would be needed to test a density interaction.</w:t>
      </w:r>
    </w:p>
    <w:p>
      <w:pPr>
        <w:pStyle w:val="Heading2"/>
      </w:pPr>
      <w:r>
        <w:rPr>
          <w:rFonts w:ascii="Times New Roman" w:hAnsi="Times New Roman" w:eastAsia="Times New Roman"/>
        </w:rPr>
        <w:t>4.5o Post-result strict-overlap AP75 diagnostic</w:t>
      </w:r>
    </w:p>
    <w:p>
      <w:pPr>
        <w:spacing w:after="120"/>
        <w:jc w:val="both"/>
      </w:pPr>
      <w:r>
        <w:rPr>
          <w:rFonts w:ascii="Times New Roman" w:hAnsi="Times New Roman" w:eastAsia="Times New Roman"/>
        </w:rPr>
        <w:t>The released author metric at IoU 0.5 gives one view of detection, but an object whose overlap barely clears 0.5 can still have a visibly inaccurate boundary. After viewing the AP50 outcomes, we fixed an exploratory stricter-overlap check at IoU 0.75 (notes/postresult_ap75_boundary_protocol.md). The checkpoint, all 14 assigned eval image/mask pairs, three-view preprocessing and extraction thresholds were unchanged; rerunning the author AP50 metric matched all 14 previously saved per-image AP50 and TP/FP/FN values exactly. At IoU 0.75 the same predictions give mean AP 0.569097, versus reproduced AP50 0.750403: mean per-image AP75-minus-AP50 -0.181306, median -0.172416. At 0.5 the images total 901 matched instances, 152 false positives and 187 false negatives; at 0.75 the same predictions yield 738, 315 and 350. These are alternate matching criteria applied to one prediction set, not new biological observations.</w:t>
      </w:r>
    </w:p>
    <w:p>
      <w:pPr>
        <w:spacing w:after="120"/>
        <w:jc w:val="both"/>
      </w:pPr>
      <w:r>
        <w:rPr>
          <w:rFonts w:ascii="Times New Roman" w:hAnsi="Times New Roman" w:eastAsia="Times New Roman"/>
        </w:rPr>
        <w:t>The strict-IoU drop is a model-output diagnostic, not proof of one failure mechanism. Boundary errors, instance separation, annotation shifts and acquisition characteristics can all change matching at 0.75; the previously documented repeated-scene annotation/acquisition variability and two missing mask-label IDs complicate simple attribution. We have no paired released author-model AP75 predictions on these same files, so this cannot establish a strict-overlap benchmark win or loss. The 14 images are known-source files and the proxy scene graph is not donor or plate identity. Full per-image AP50/AP75 and TP/FP/FN, checkpoint/source hashes and the executable read-only scorer are in results/group_disjoint_seg/postresult_ap75_diagnostic.json and scripts/audit_group_disjoint_ap75.py. No retuning or original gate change follows.</w:t>
      </w:r>
    </w:p>
    <w:p>
      <w:pPr>
        <w:pStyle w:val="Heading2"/>
      </w:pPr>
      <w:r>
        <w:rPr>
          <w:rFonts w:ascii="Times New Roman" w:hAnsi="Times New Roman" w:eastAsia="Times New Roman"/>
        </w:rPr>
        <w:t>Secondary exploratory analyses III: organoid-to-tissue fidelity across public transcriptomes</w:t>
      </w:r>
    </w:p>
    <w:p>
      <w:pPr>
        <w:spacing w:after="120"/>
        <w:jc w:val="both"/>
      </w:pPr>
      <w:r>
        <w:rPr>
          <w:rFonts w:ascii="Times New Roman" w:hAnsi="Times New Roman" w:eastAsia="Times New Roman"/>
        </w:rPr>
        <w:t>Sections 4.6 through 4.13 are off-question secondary analyses of organoid-to-tissue fidelity in public expression data, retained and labeled exploratory.</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19.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These series-level ranks were computed before the sample-level audit in Section 4.9. At this stage, the clean text-filtered subset appeared to match cultured fibroblasts often, and the working prediction was that a parenchymal-gene restriction would leave a fibroblast best-match share above 15% in that same text-filtered subset. That prediction is an internal same-series test, not a biological validation. We later checked sample metadata and found many series labeled as organoid-related do not contain organoid samples; Section 4.9 retracts the broad culture-fibroblast interpretation. The tool vorganoid fidelity produces a tissue-rank calculation, not a diagnosis or validated organoid-quality score.</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20.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These same-series tissue-rank shifts suggest cell-composition sensitivity, but mixed sample labels prevent a general organoid-specific correction claim. Removing the selected culture genes did not materially change this rank result. The internal text-filtered-subset prediction (fibroblast best-match share above 15% on parenchymal-only genes) was numerically met before the later sample-label audit: 28% [0.20, 0.37] and 22% [0.15, 0.29]. The lower bound of the second interval touches the threshold; more importantly, a threshold met on mixed samples cannot validate a general organoid phenomenon. The strict organoid-only reanalysis in Section 4.9 takes precedence over this earlier text-filtered aggregate. vorganoid fidelity --purity applies the gene restriction to a supplied count matrix without asserting clinical or biological calibration.</w:t>
      </w:r>
    </w:p>
    <w:p>
      <w:pPr>
        <w:pStyle w:val="Heading2"/>
      </w:pPr>
      <w:r>
        <w:rPr>
          <w:rFonts w:ascii="Times New Roman" w:hAnsi="Times New Roman" w:eastAsia="Times New Roman"/>
        </w:rPr>
        <w:t>4.8 What drives the text-filtered fibroblast rank pattern?</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21.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these mixed series profiles lack. Removing either family alone leaves the earlier text-filtered rank pattern in place (Sections 4.6-4.7), but the later strictly organoid-only audit in Section 4.9 overrides a general attractor claim. Restricting to 19,254 HGNC protein-coding genes also retains that text-filtered rank pattern (fibroblast best match 44% [0.35, 0.53] and 28% [0.20, 0.36]) in the text-filtered subset; non-coding genes alone do not explain that aggregate, but sample composition still can. A future proliferation/purity hypothesis would need organoid and matched primary tissue from the same donors, profiled together. It cannot be inferred as the mechanism from these mixed series.</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22.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23.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24.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25.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2"/>
      </w:pPr>
      <w:r>
        <w:rPr>
          <w:rFonts w:ascii="Times New Roman" w:hAnsi="Times New Roman" w:eastAsia="Times New Roman"/>
        </w:rPr>
        <w:t>4.5k A separate FIS demo's track labels are not unique</w:t>
      </w:r>
    </w:p>
    <w:p>
      <w:pPr>
        <w:spacing w:after="120"/>
        <w:jc w:val="both"/>
      </w:pPr>
      <w:r>
        <w:rPr>
          <w:rFonts w:ascii="Times New Roman" w:hAnsi="Times New Roman" w:eastAsia="Times New Roman"/>
        </w:rPr>
        <w:t>A post-result external-source audit found a different open intestinal CFTR forskolin-swelling demonstration experiment (Hagemeijer et al. 2020; https://github.com/hmbotelho/FIS_analysis). Its one fluorescence plate has 64 imaged wells at seven time points, with 448 exported TIFFs, 448 CellProfiler mask PNGs and a combined 31,900-row object table. The 64 wells divide evenly across forskolin alone, VX-809, VX-770 and their combination; eight positive forskolin concentrations are represented. The README describes organoids homozygous for a class-II CFTR mutation, but does not identify an independent multi-donor cohort. Neither a zero-forskolin nor a CFTR-inhibitor arm appears in its plate descriptor. These are different imaging and drug conditions from our original donor-stratified brightfield VX445/VX661/VX770 analysis, so no original sign, specificity or benchmark gate can transfer.</w:t>
      </w:r>
    </w:p>
    <w:p>
      <w:pPr>
        <w:spacing w:after="120"/>
        <w:jc w:val="both"/>
      </w:pPr>
      <w:r>
        <w:rPr>
          <w:rFonts w:ascii="Times New Roman" w:hAnsi="Times New Roman" w:eastAsia="Times New Roman"/>
        </w:rPr>
        <w:t>The source's tracking field requires care. Although its README says TrackObjects assigns numeric labels to organoids across frames, the actual pooled CellProfiler table has 1,080 rows without a track label and 929 well x time x nonmissing-label groups with multiple object rows (965 excess rows, up to three objects per group). Therefore the 4,265 labels observed at baseline and final frame cannot simply be treated as 4,265 unambiguous paired organoids. A sampled mask confirms processed algorithmic image masks, not hand-drawn reference labels. We did not compute a swelling interaction from these rows. The pinned source hashes, exact counts, and repeatable audit are in results/postresult_external_fis_demo_source.json and notes/postresult_external_fis_demo_source.md. This is an external workflow lead with a track-identity limitation, not independent biological validation or an untouched segmentation test.</w:t>
      </w:r>
    </w:p>
    <w:p>
      <w:pPr>
        <w:pStyle w:val="Heading2"/>
      </w:pPr>
      <w:r>
        <w:rPr>
          <w:rFonts w:ascii="Times New Roman" w:hAnsi="Times New Roman" w:eastAsia="Times New Roman"/>
        </w:rPr>
        <w:t>5. Findings that did not hold</w:t>
      </w:r>
    </w:p>
    <w:p>
      <w:pPr>
        <w:spacing w:after="120"/>
        <w:jc w:val="both"/>
      </w:pPr>
      <w:r>
        <w:rPr>
          <w:rFonts w:ascii="Times New Roman" w:hAnsi="Times New Roman" w:eastAsia="Times New Roman"/>
        </w:rPr>
        <w:t>The original sign-only donor-block test (9/12, p=0.073) and zero-forskolin specificity test (3/11, p=0.967) failed; the later size mixed-model result is same-accession evidence, not donor-independent validation or a CFTR-specific mechanism. The initial power-law interpretation and size-adjusted donor discrimination claim were not retained. The first segmentation checkpoint fell below the published mean, and the v2 evaluation-file AP50 crossed its rounded comparison only after an image split later shown to share organoid fields; it is not an independent benchmark improvement. Full negative-arm results and protocols remain in the repository results and notes, and in Sections 4.3-4.5.</w:t>
      </w:r>
    </w:p>
    <w:p>
      <w:pPr>
        <w:spacing w:after="120"/>
        <w:jc w:val="both"/>
      </w:pPr>
      <w:r>
        <w:rPr>
          <w:rFonts w:ascii="Times New Roman" w:hAnsi="Times New Roman" w:eastAsia="Times New Roman"/>
        </w:rPr>
        <w:t>Fidelity claims narrowed after their controls: the broad culture-fibroblast attractor was retracted for strictly organoid-only samples, kidney external profiles contradicted the original organ split, and several mechanism/clinical-target enrichment arms did not meet their registered bars. We retain those numerical tests in the repository rather than expanding each failed arm into the paper's main narrative. Neither the size result nor tissue-rank analysis is a clinical diagnostic.</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original plate-and-dose-matched donor sign test fails at alpha 0.05, while the later locked magnitude-aware donor test and mixed model detect a same-accession positive interaction. This conflict of estimator sensitivity does not establish an independently replicated or CFTR-specific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exact donor-magnitude and mixed-model tests agreeing in a new cohort.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is associated with some exploratory single-organoid readouts, but the registered matched-block and specificity tests fail, and size correction did not improve per-donor discrimination. Recording the starting-size distribution across passages is a possible research quality-control variable, not a tested intervention or clinical adjustment.</w:t>
      </w:r>
    </w:p>
    <w:p>
      <w:pPr>
        <w:spacing w:after="120"/>
        <w:jc w:val="both"/>
      </w:pPr>
      <w:r>
        <w:rPr>
          <w:rFonts w:ascii="Times New Roman" w:hAnsi="Times New Roman" w:eastAsia="Times New Roman"/>
        </w:rPr>
        <w:t>Independent novelty and mechanism remain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26.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45.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47.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49.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50.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51.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52.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53.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54.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55.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56.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57.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58.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