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nominally split-separated segmentation v2 crossed the published AP50 point estimate by a thin margin, but a later pixel-level audit found repeated fields of view across train, validation and evaluation files. We withdraw the independent benchmark-beat interpretation and require acquisition-group-separated retraining and new evaluation.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The apparent benchmark crossing is not an independent holdout result because repeated fields of view span splits. Neither it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A fifth recorded ChatGPT role-play critique suggested converting the observed leakage from an anecdote into a reproducible scene-group diagnostic. 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A sixth ChatGPT role-play critique read the pasted text of Sections 4.5b-4.6 and asked whether annotation instability could explain model error. Its proposed mask-self-transform score cannot measure human annotation uncertainty: changing brightness with the same mask leaves it unchanged, and geometrically warping a mask measures the programmed warp. We rejected that metric. A narrower, testable question is available from the three already identified high-similarity cross-split fields: how much do separately stored annotations for the corresponding organoids differ in boundary and area? A fixed post-result descriptive protocol was written, but this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nominally clean v1 segmentation is below the published 0.76 average; frozen v2 numerically crosses it by 0.001108, but repeated fields of view cross train/val/eval boundaries. This is not an independent benchmark win.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