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Small-Organoid Attenuation of CFTR-Modulator Swelling in Patient-Derived Intestinal Organoids: a Single-Organoid Re-Analysis with a Biophysical Swelling Twin</w:t>
      </w:r>
    </w:p>
    <w:p>
      <w:pPr>
        <w:jc w:val="center"/>
      </w:pPr>
      <w:r>
        <w:rPr>
          <w:rFonts w:ascii="Times New Roman" w:hAnsi="Times New Roman" w:eastAsia="Times New Roman"/>
        </w:rPr>
        <w:t>MEGA-PROGRAM-27, Item 3 - Udita Phookan (program owner); computational work by an AI research agent. Working draft of 25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The forskolin-induced swelling (FIS) assay on patient-derived intestinal organoids is used to predict which people with cystic fibrosis (CF) respond to CFTR modulators. Standard pipelines sum organoid area per well, so any dependence of the response on organoid size is averaged away. We re-analysed the public single-organoid OrgaSegment data (17 CF donors, per-organoid area before and after forskolin) with a biophysical swelling model and a DMSO-controlled, donor-matched design.</w:t>
      </w:r>
    </w:p>
    <w:p>
      <w:pPr>
        <w:spacing w:after="120"/>
        <w:jc w:val="both"/>
      </w:pPr>
      <w:r>
        <w:rPr>
          <w:rFonts w:ascii="Times New Roman" w:hAnsi="Times New Roman" w:eastAsia="Times New Roman"/>
        </w:rPr>
        <w:t>Finding (candidate). Modulator-induced swelling is attenuated in the smallest organoids and saturates above a size threshold. For elexacaftor/tezacaftor/ivacaftor (Trikafta) the drug-minus-DMSO log-swelling effect rises from 0.336 [0.262, 0.405] in the smallest size octile to a plateau near 0.55-0.64; top minus bottom 0.251 [0.184, 0.323] (donor bootstrap). Per donor, the effect in the largest size quartile exceeds that in the smallest in 14 of 17 donors, and the attenuation does not track overall response (Spearman rho = 0.24, p = 0.35). Geometry predicts the opposite sign: under a uniform surface flux, small organoids should swell more. Area noise also biases the slope negative. So the effect is unlikely to be a measurement artefact, but track-selection bias remains unbounded.</w:t>
      </w:r>
    </w:p>
    <w:p>
      <w:pPr>
        <w:spacing w:after="120"/>
        <w:jc w:val="both"/>
      </w:pPr>
      <w:r>
        <w:rPr>
          <w:rFonts w:ascii="Times New Roman" w:hAnsi="Times New Roman" w:eastAsia="Times New Roman"/>
        </w:rPr>
        <w:t>Negatives. Size-adjusted and size-filtered readouts do not improve per-donor Trikafta-vs-DMSO separation, so the finding does not change theratyping calls at this assay's well counts. Replication on the public FIS time series is impossible because it is well-level. Our best U-Net segmentation (512 px, tuned) reaches mAP@0.5 = 0.733 +/- 0.129 on the OrgaSegment eval split (published 0.76 +/- 0.12): below the state of the art, although the gap is within one standard deviation on 12 images.</w:t>
      </w:r>
    </w:p>
    <w:p>
      <w:pPr>
        <w:spacing w:after="120"/>
        <w:jc w:val="both"/>
      </w:pPr>
      <w:r>
        <w:rPr>
          <w:rFonts w:ascii="Times New Roman" w:hAnsi="Times New Roman" w:eastAsia="Times New Roman"/>
        </w:rPr>
        <w:t>Fidelity. Scoring 151 organoid GEO series against GTEx, cultured fibroblasts are the most common best match. A GEOparse sample-level audit shows this 'culture-fibroblast attractor' comes mostly from non-organoid samples in organoid-titled series: on 45 strictly organoid series it falls to 9-29%. We retract it as a general organoid property.</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so the slope of log 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The within-well regression we fit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with a well intercept a_w that absorbs donor, plate and well effects. Measurement noise in A0 enters both sides with opposite sign (s = A1/A0), which biases b downward:</w:t>
      </w:r>
    </w:p>
    <w:p>
      <w:pPr>
        <w:jc w:val="center"/>
      </w:pPr>
      <w:r>
        <w:rPr>
          <w:rFonts w:ascii="Times New Roman" w:hAnsi="Times New Roman" w:eastAsia="Times New Roman"/>
          <w:i/>
        </w:rPr>
        <w:t>E[ b-hat ] = b - Var(u) / ( Var(log A0) + Var(u) ),   u = noise in log A0</w:t>
      </w:r>
      <w:r>
        <w:rPr>
          <w:rFonts w:ascii="Times New Roman" w:hAnsi="Times New Roman" w:eastAsia="Times New Roman"/>
        </w:rPr>
        <w:tab/>
        <w:tab/>
        <w:t>(6)</w:t>
      </w:r>
    </w:p>
    <w:p>
      <w:pPr>
        <w:spacing w:after="120"/>
        <w:jc w:val="both"/>
      </w:pPr>
      <w:r>
        <w:rPr>
          <w:rFonts w:ascii="Times New Roman" w:hAnsi="Times New Roman" w:eastAsia="Times New Roman"/>
        </w:rPr>
        <w:t>so a positive observed b is conservative.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(distinct, accession-level). Five distinct assay/image datasets shown here; the committed accession ledger now has 168 primary entries;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slope is near zero without CFTR rescue and positive whenever a modulator is present. The sign is opposite to the surface-limited prediction. A power-law reading (alpha &gt; 1) was rejected: restricted to organoids above 2,000 px the slope turns negative (Trikafta -0.117), and binned means rise then plateau. Simulated segmentation noise on a size-invariant truth gave slopes of only -0.002 to -0.055.</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pStyle w:val="Heading2"/>
      </w:pPr>
      <w:r>
        <w:rPr>
          <w:rFonts w:ascii="Times New Roman" w:hAnsi="Times New Roman" w:eastAsia="Times New Roman"/>
        </w:rPr>
        <w:t>4.3c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5.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6.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7.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r>
        <w:rPr>
          <w:rFonts w:ascii="Times New Roman" w:hAnsi="Times New Roman" w:eastAsia="Times New Roman"/>
        </w:rPr>
        <w:br w:type="page"/>
      </w:r>
    </w:p>
    <w:p>
      <w:pPr>
        <w:pStyle w:val="Heading2"/>
      </w:pPr>
      <w:r>
        <w:rPr>
          <w:rFonts w:ascii="Times New Roman" w:hAnsi="Times New Roman" w:eastAsia="Times New Roman"/>
        </w:rPr>
        <w:t>4.5 Segmentation benchmark</w:t>
      </w:r>
    </w:p>
    <w:p>
      <w:r>
        <w:rPr>
          <w:rFonts w:ascii="Times New Roman" w:hAnsi="Times New Roman" w:eastAsia="Times New Roman"/>
          <w:b/>
        </w:rPr>
        <w:t>Table 8.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disjoint 12-image eval split was held out,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9.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Organ of origin is recovered four to five times above chance. Brain organoids are the most faithful, and lung, breast and pancreas the least. Across every method, the most frequent best match is GTEx cultured fibroblasts, which we name the culture-fibroblast attractor. It survives the label audit and the removal of proliferation and EMT genes. It is not yet a discovery: GTEx tissues contain immune, vascular and stromal cells, while organoids and cultured fibroblasts are purified cultures, so cell-type purity is an unexcluded explanation. Falsifiable prediction: restricted to epithelium-specific genes, the fibroblast best-match share in the clean subset will stay above 15%. The tool vorganoid fidelity scores any count matrix this way.</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10.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Removing culture genes does not change it. Standard whole-transcriptome fidelity scores are therefore biased low for organoids. The prediction stated before this test (fibroblast best-match share above 15% on parenchymal-only genes) held: 28% [0.20, 0.37] and 22% [0.15, 0.29]. The lower bound of the second interval touches the threshold, so purity is weakened but not excluded as the explanation. vorganoid fidelity --purity applies this correction to any count matrix.</w:t>
      </w:r>
    </w:p>
    <w:p>
      <w:pPr>
        <w:pStyle w:val="Heading2"/>
      </w:pPr>
      <w:r>
        <w:rPr>
          <w:rFonts w:ascii="Times New Roman" w:hAnsi="Times New Roman" w:eastAsia="Times New Roman"/>
        </w:rPr>
        <w:t>4.8 What drives the attractor, and is it robust to gene class?</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11.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organoids lack. Removing either family alone leaves the attractor in place (Sections 4.6-4.7). Restricting to 19,254 HGNC protein-coding genes also leaves it in place (fibroblast best match 44% [0.35, 0.53] and 28% [0.20, 0.36]), so it is not a non-coding artefact. Our working hypothesis is that the attractor is the joint signature of proliferation and purity. It remains a candidate: a direct test needs organoid and matched primary tissue from the same donors, profiled together.</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12.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13.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14.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15.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1"/>
      </w:pPr>
      <w:r>
        <w:rPr>
          <w:rFonts w:ascii="Times New Roman" w:hAnsi="Times New Roman" w:eastAsia="Times New Roman"/>
        </w:rPr>
        <w:t>5. Negative results (kept by design)</w:t>
      </w:r>
    </w:p>
    <w:p>
      <w:pPr>
        <w:spacing w:after="120"/>
        <w:jc w:val="both"/>
      </w:pPr>
      <w:r>
        <w:rPr>
          <w:rFonts w:ascii="Times New Roman" w:hAnsi="Times New Roman" w:eastAsia="Times New Roman"/>
        </w:rPr>
        <w:t>- The initial power-law (alpha &gt; 1) interpretation was withdrawn after large-organoid checks contradicted it.</w:t>
      </w:r>
    </w:p>
    <w:p>
      <w:pPr>
        <w:spacing w:after="120"/>
        <w:jc w:val="both"/>
      </w:pPr>
      <w:r>
        <w:rPr>
          <w:rFonts w:ascii="Times New Roman" w:hAnsi="Times New Roman" w:eastAsia="Times New Roman"/>
        </w:rPr>
        <w:t>- Size-adjusted and size-filtered readouts do not improve donor-level modulator discrimination.</w:t>
      </w:r>
    </w:p>
    <w:p>
      <w:pPr>
        <w:spacing w:after="120"/>
        <w:jc w:val="both"/>
      </w:pPr>
      <w:r>
        <w:rPr>
          <w:rFonts w:ascii="Times New Roman" w:hAnsi="Times New Roman" w:eastAsia="Times New Roman"/>
        </w:rPr>
        <w:t>- Matched donor x plate x dose robustness H1 fails: 9/12 positive donor medians, p=0.073, despite the pooled later-date result.</w:t>
      </w:r>
    </w:p>
    <w:p>
      <w:pPr>
        <w:spacing w:after="120"/>
        <w:jc w:val="both"/>
      </w:pPr>
      <w:r>
        <w:rPr>
          <w:rFonts w:ascii="Times New Roman" w:hAnsi="Times New Roman" w:eastAsia="Times New Roman"/>
        </w:rPr>
        <w:t>- Small-organoid replication on the public FIS time series is impossible: it is well-level; the 20-patient triple-vs-double ranking passes, but the separate VTI-vs-ETI ranking fails (6/9, p=0.254).</w:t>
      </w:r>
    </w:p>
    <w:p>
      <w:pPr>
        <w:spacing w:after="120"/>
        <w:jc w:val="both"/>
      </w:pPr>
      <w:r>
        <w:rPr>
          <w:rFonts w:ascii="Times New Roman" w:hAnsi="Times New Roman" w:eastAsia="Times New Roman"/>
        </w:rPr>
        <w:t>- Our segmentation is below the published state of the art.</w:t>
      </w:r>
    </w:p>
    <w:p>
      <w:pPr>
        <w:spacing w:after="120"/>
        <w:jc w:val="both"/>
      </w:pPr>
      <w:r>
        <w:rPr>
          <w:rFonts w:ascii="Times New Roman" w:hAnsi="Times New Roman" w:eastAsia="Times New Roman"/>
        </w:rPr>
        <w:t>- Fidelity: 'Pancreas' as best match (35/151 series with S3000) disappears with other methods, so it is a method artefact.</w:t>
      </w:r>
    </w:p>
    <w:p>
      <w:pPr>
        <w:spacing w:after="120"/>
        <w:jc w:val="both"/>
      </w:pPr>
      <w:r>
        <w:rPr>
          <w:rFonts w:ascii="Times New Roman" w:hAnsi="Times New Roman" w:eastAsia="Times New Roman"/>
        </w:rPr>
        <w:t>- Fidelity: a 'liver disease' series (GSE278954) ranks Liver 50th of 54, and lung and breast organoids are rarely matched to their organ.</w:t>
      </w:r>
    </w:p>
    <w:p>
      <w:pPr>
        <w:spacing w:after="120"/>
        <w:jc w:val="both"/>
      </w:pPr>
      <w:r>
        <w:rPr>
          <w:rFonts w:ascii="Times New Roman" w:hAnsi="Times New Roman" w:eastAsia="Times New Roman"/>
        </w:rPr>
        <w:t>- Fidelity: organ labels come from text, and series profiles average all samples, including any non-organoid controls.</w:t>
      </w:r>
    </w:p>
    <w:p>
      <w:pPr>
        <w:spacing w:after="120"/>
        <w:jc w:val="both"/>
      </w:pPr>
      <w:r>
        <w:rPr>
          <w:rFonts w:ascii="Times New Roman" w:hAnsi="Times New Roman" w:eastAsia="Times New Roman"/>
        </w:rPr>
        <w:t>- Fidelity: the HPA parenchymal share of deficit genes does not clearly separate faithful from unfaithful organs (p = 0.061); lung organoids break the pattern.</w:t>
      </w:r>
    </w:p>
    <w:p>
      <w:pPr>
        <w:spacing w:after="120"/>
        <w:jc w:val="both"/>
      </w:pPr>
      <w:r>
        <w:rPr>
          <w:rFonts w:ascii="Times New Roman" w:hAnsi="Times New Roman" w:eastAsia="Times New Roman"/>
        </w:rPr>
        <w:t>- Fidelity: all organoid types lack secreted proteins (UniProt), so the secretome does not explain the organ split.</w:t>
      </w:r>
    </w:p>
    <w:p>
      <w:pPr>
        <w:spacing w:after="120"/>
        <w:jc w:val="both"/>
      </w:pPr>
      <w:r>
        <w:rPr>
          <w:rFonts w:ascii="Times New Roman" w:hAnsi="Times New Roman" w:eastAsia="Times New Roman"/>
        </w:rPr>
        <w:t>- Replication: the kidney part of the organ split failed out of sample (two ArrayExpress kidney datasets rank kidney 1st and 2nd).</w:t>
      </w:r>
    </w:p>
    <w:p>
      <w:pPr>
        <w:spacing w:after="120"/>
        <w:jc w:val="both"/>
      </w:pPr>
      <w:r>
        <w:rPr>
          <w:rFonts w:ascii="Times New Roman" w:hAnsi="Times New Roman" w:eastAsia="Times New Roman"/>
        </w:rPr>
        <w:t>- GSEA: metabolic deficits are also present in faithful brain organoids; not specific to poor fidelity.</w:t>
      </w:r>
    </w:p>
    <w:p>
      <w:pPr>
        <w:spacing w:after="120"/>
        <w:jc w:val="both"/>
      </w:pPr>
      <w:r>
        <w:rPr>
          <w:rFonts w:ascii="Times New Roman" w:hAnsi="Times New Roman" w:eastAsia="Times New Roman"/>
        </w:rPr>
        <w:t>- Open Targets: liver deficits show no liver-disease enrichment despite the aggregate diagonal-dominance pass.</w:t>
      </w:r>
    </w:p>
    <w:p>
      <w:pPr>
        <w:spacing w:after="120"/>
        <w:jc w:val="both"/>
      </w:pPr>
      <w:r>
        <w:rPr>
          <w:rFonts w:ascii="Times New Roman" w:hAnsi="Times New Roman" w:eastAsia="Times New Roman"/>
        </w:rPr>
        <w:t>- decoupler: lineage master-TF positive control fails (2/12); pathway signals are shared across cultures.</w:t>
      </w:r>
    </w:p>
    <w:p>
      <w:pPr>
        <w:spacing w:after="120"/>
        <w:jc w:val="both"/>
      </w:pPr>
      <w:r>
        <w:rPr>
          <w:rFonts w:ascii="Times New Roman" w:hAnsi="Times New Roman" w:eastAsia="Times New Roman"/>
        </w:rPr>
        <w:t>- ClinPGx: pre-registered VIP flag is defective; CPIC-only deviation passes liver deficit but fails liver specificity.</w:t>
      </w:r>
    </w:p>
    <w:p>
      <w:pPr>
        <w:spacing w:after="120"/>
        <w:jc w:val="both"/>
      </w:pPr>
      <w:r>
        <w:rPr>
          <w:rFonts w:ascii="Times New Roman" w:hAnsi="Times New Roman" w:eastAsia="Times New Roman"/>
        </w:rPr>
        <w:t>- gnomAD and Ensembl: no liver-vs-brain differentiation by LOEUF or protein-coding composition.</w:t>
      </w:r>
    </w:p>
    <w:p>
      <w:pPr>
        <w:spacing w:after="120"/>
        <w:jc w:val="both"/>
      </w:pPr>
      <w:r>
        <w:rPr>
          <w:rFonts w:ascii="Times New Roman" w:hAnsi="Times New Roman" w:eastAsia="Times New Roman"/>
        </w:rPr>
        <w:t>- Single-cell GSE108291: no ALDOB/SLC17A3 coexpression under the registered two-marker definition; dropout is an alternative.</w:t>
      </w:r>
    </w:p>
    <w:p>
      <w:pPr>
        <w:spacing w:after="120"/>
        <w:jc w:val="both"/>
      </w:pPr>
      <w:r>
        <w:rPr>
          <w:rFonts w:ascii="Times New Roman" w:hAnsi="Times New Roman" w:eastAsia="Times New Roman"/>
        </w:rPr>
        <w:t>- HPO: too few annotated genes for the registered clinical phenotype contrast.</w:t>
      </w:r>
    </w:p>
    <w:p>
      <w:pPr>
        <w:spacing w:after="120"/>
        <w:jc w:val="both"/>
      </w:pPr>
      <w:r>
        <w:rPr>
          <w:rFonts w:ascii="Times New Roman" w:hAnsi="Times New Roman" w:eastAsia="Times New Roman"/>
        </w:rPr>
        <w:t>- InterPro: primary contrast invalid due to mistaken liver top-100 gene-set membership.</w:t>
      </w:r>
    </w:p>
    <w:p>
      <w:pPr>
        <w:spacing w:after="120"/>
        <w:jc w:val="both"/>
      </w:pPr>
      <w:r>
        <w:rPr>
          <w:rFonts w:ascii="Times New Roman" w:hAnsi="Times New Roman" w:eastAsia="Times New Roman"/>
        </w:rPr>
        <w:t>- Fidelity: the culture-fibroblast attractor is RETRACTED as a general organoid property: on 45 series whose samples are all organoids it shrinks to 9-29% of series (Section 4.9).</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In this accession, drug-minus-DMSO swelling tends to rise from small to larger organoids and then plateau. The plate-and-dose-matched donor sign test fails at alpha 0.05, so we do not establish a reliable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a sign-test p&lt;0.05.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may affect single-organoid readouts, but size correction did not improve per-donor discrimination. A lab comparing assays across passages may record its starting-size distribution as a quality-control variable; no clinical adjustment is recommended from these data.</w:t>
      </w:r>
    </w:p>
    <w:p>
      <w:pPr>
        <w:spacing w:after="120"/>
        <w:jc w:val="both"/>
      </w:pPr>
      <w:r>
        <w:rPr>
          <w:rFonts w:ascii="Times New Roman" w:hAnsi="Times New Roman" w:eastAsia="Times New Roman"/>
        </w:rPr>
        <w:t>Novelty. We did not find this effect reported for intestinal FIS in the literature we searched (OrgaSegment; the FIS_analysis pipeline, which sums area per well). Related: nasal 2D-derived organoids show swelling variation concentrated in large structures (bioRxiv 2021.07.20.453105).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16.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17.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18.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19.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20.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21.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22.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23.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24.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25.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26.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40.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41.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42.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43.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44.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45.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47.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48.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