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4.6 New-source eligibility without new outcome scoring</w:t>
      </w:r>
    </w:p>
    <w:p>
      <w:pPr>
        <w:spacing w:after="120"/>
        <w:jc w:val="both"/>
      </w:pPr>
      <w:r>
        <w:rPr>
          <w:rFonts w:ascii="Times New Roman" w:hAnsi="Times New Roman" w:eastAsia="Times New Roman"/>
        </w:rPr>
        <w:t>The 28 September eligibility protocols were frozen before a new object-level assay or segmentation mask was scored (results/preregistration_external_object_cohort_20260928.md and results/preregistration_independent_seg_benchmark_20260928.md). The earlier source audit distinguishes biological treatment similarity from raw-object usability. Drevinek's independent twenty-patient intestinal study publishes well-level area trajectories; a new patient count alone cannot validate the initial-size interaction if the individual baseline object cannot be joined to its endpoint. Berical et al. supply prior art for single-airway-spheroid swelling, but the public figure workbook does not link an individual spheroid's baseline area to a donor-matched modulator and vehicle response. A respiratory FIS dataset screened out small baseline objects and lacks the matched modulator-versus-DMSO contrast. These are explicit exclusion reasons for this question, not adverse results for those studies. The updated ledger is results/new_source_eligibility_screen_20260928.md, with the earlier source audit retained.</w:t>
      </w:r>
    </w:p>
    <w:p>
      <w:pPr>
        <w:spacing w:after="120"/>
        <w:jc w:val="both"/>
      </w:pPr>
      <w:r>
        <w:rPr>
          <w:rFonts w:ascii="Times New Roman" w:hAnsi="Times New Roman" w:eastAsia="Times New Roman"/>
        </w:rPr>
        <w:t>The source requirements are intentionally conjunctive. A multi-donor table without persistent object IDs cannot estimate the same object's baseline-to-endpoint log swelling. An object table without matched drug, vehicle and zero-forskolin conditions cannot retest the failed specificity contrast. Repeated wells within one patient cannot replace an independent donor unit, and two deposits of the same study cannot be counted as two cohorts. The released examples do not yet satisfy these conditions together. We therefore report no new effect size, donor sign count or specificity p-value. In particular the original 9-of-12 donor sign failure and 3-of-11 zero-forskolin failure remain the preregistered findings, regardless of later same-accession magnitude-aware analyses.</w:t>
      </w:r>
    </w:p>
    <w:p>
      <w:pPr>
        <w:spacing w:after="120"/>
        <w:jc w:val="both"/>
      </w:pPr>
      <w:r>
        <w:rPr>
          <w:rFonts w:ascii="Times New Roman" w:hAnsi="Times New Roman" w:eastAsia="Times New Roman"/>
        </w:rPr>
        <w:t>A separate question is whether the segmentation comparison can be run on a genuinely new acquisition. The published OrgaSegment v1.0.1 release at https://github.com/Living-Technologies/OrgaSegment/releases/tag/v1.0.1 contains the publication-era OrganoidBasic20211215.h5 Mask R-CNN weights, a roughly 256 MB asset, and the tagged repository exposes scorer and prediction code. This locates the comparator artifact but is not an executed paired comparison. The original Zenodo Organoid Basic release https://zenodo.org/records/10278229 supplies the train/validation/evaluation image masks already used by our work. Image filenames do not state patient, plate or imaging-session independence; pixels and matched masks already demonstrated repeated fields across the nominal splits. Holding out two further filenames after their scores were seen changes neither provenance nor the fact that the target was exposed.</w:t>
      </w:r>
    </w:p>
    <w:p>
      <w:pPr>
        <w:spacing w:after="120"/>
        <w:jc w:val="both"/>
      </w:pPr>
      <w:r>
        <w:rPr>
          <w:rFonts w:ascii="Times New Roman" w:hAnsi="Times New Roman" w:eastAsia="Times New Roman"/>
        </w:rPr>
        <w:t>The next benchmark must name the donor or acquisition batch as its unit before opening test masks, prove it disjoint from all training and selection images, and run both frozen models on exactly the same paired images. The paper's rounded 0.76 author mean is not a paired per-image prediction, so a one-model comparison with that number lacks a valid uncertainty estimate for the difference. Published weights, compatible runtime and evaluator are necessary but insufficient; a third-party masked source with donor/plate/field metadata remains unverified. The benchmark claim stays withdrawn until these conditions are met, even though the weight-file URL itself is now known.</w:t>
      </w:r>
    </w:p>
    <w:p>
      <w:pPr>
        <w:pStyle w:val="Heading2"/>
      </w:pPr>
      <w:r>
        <w:rPr>
          <w:rFonts w:ascii="Times New Roman" w:hAnsi="Times New Roman" w:eastAsia="Times New Roman"/>
        </w:rPr>
        <w:t>4.6a Synthetic masking does not validate the missing-track envelope</w:t>
      </w:r>
    </w:p>
    <w:p>
      <w:pPr>
        <w:spacing w:after="120"/>
        <w:jc w:val="both"/>
      </w:pPr>
      <w:r>
        <w:rPr>
          <w:rFonts w:ascii="Times New Roman" w:hAnsi="Times New Roman" w:eastAsia="Times New Roman"/>
        </w:rPr>
        <w:t>We tested one candidate method contribution rather than simply naming it: the four-arm, two-size donor/block-aware missing-track envelope is compared with a pooled global envelope after simulated masking of already observed tracks. The 28 September protocol was frozen and pushed before the simulation (notes/prereg_masked_observability_method_benchmark_20260928.md, commit e534528). This experiment uses 4,964 originally positive baseline/end pairs and keeps the original 31 blocks and 12 donors; it has no information about the truly absent endpoints or objects that were never visible at baseline. The full-known positive-pair donor-equal contrast is +0.207978 log units, a simulation reference only, not the population effect.</w:t>
      </w:r>
    </w:p>
    <w:p>
      <w:pPr>
        <w:spacing w:after="120"/>
        <w:jc w:val="both"/>
      </w:pPr>
      <w:r>
        <w:rPr>
          <w:rFonts w:ascii="Times New Roman" w:hAnsi="Times New Roman" w:eastAsia="Times New Roman"/>
        </w:rPr>
        <w:t>Under MCAR masking, all 100 preregistered repetitions remained eligible. Complete-case and the favorable known-baseline-propensity weighted reference had mean absolute errors 0.0231 and 0.0231, respectively. The cell-specific and pooled global 5th-95th response-scenario envelopes each contained the one known aggregate truth in 100% of repetitions; the median cell/global width ratio was 0.9078. Still, 10.3%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MAR masking, all 100 preregistered repetitions remained eligible. Complete-case and the favorable known-baseline-propensity weighted reference had mean absolute errors 0.0248 and 0.0253, respectively. The cell-specific and pooled global 5th-95th response-scenario envelopes each contained the one known aggregate truth in 100% of repetitions; the median cell/global width ratio was 0.9008. Still, 11.0%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MNAR masking, all 100 preregistered repetitions remained eligible. Complete-case and the favorable known-baseline-propensity weighted reference had mean absolute errors 0.0295 and 0.0303, respectively. The cell-specific and pooled global 5th-95th response-scenario envelopes each contained the one known aggregate truth in 100% of repetitions; the median cell/global width ratio was 0.9016. Still, 14.2%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The predeclared method criterion required at least 90% aggregate-truth containment and a width ratio no greater than 0.90 in every mechanism. The width ratios of 0.9078, 0.9008 and 0.9016 fail it, despite the broad intervals' containment. In the outcome-dependent missingness simulation the weighting reference deliberately omits the hidden response, so a small observed bias here is not evidence of a correct missing-not-at-random model. This one-source study gives no superior-algorithm claim; it makes the method's uncertainty boundary inspectable. The original donor sign and zero-forskolin gates stay failed, and generic missing-outcome sensitivity analysis predates the present work (e.g. https://pmc.ncbi.nlm.nih.gov/articles/PMC10524136/). Full mask-level results, including a documented RNG-redraw stream deviation that affected no replicate eligibility, are in results/masked_observability_method_benchmark.json and results/finding_masked_observability_method_benchmark.md.</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