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4.5j.1 What a benchmark requires after the scene audit</w:t>
      </w:r>
    </w:p>
    <w:p>
      <w:pPr>
        <w:spacing w:after="120"/>
        <w:jc w:val="both"/>
      </w:pPr>
      <w:r>
        <w:rPr>
          <w:rFonts w:ascii="Times New Roman" w:hAnsi="Times New Roman" w:eastAsia="Times New Roman"/>
        </w:rPr>
        <w:t>The principal split problem is neither an identical-file copy nor a recalculation of AP50. The 231 released image and mask filenames can differ while depicting many of the same organoids in the same layout. A train/eval pair and two train/validation pairs were confirmed by pixels and aligned mask objects; exact image and mask SHA256 overlaps across splits were zero. A model trained on one frame can therefore encounter corresponding structures in a filename-distinct evaluation frame, and a validation-set grid can select postprocessing on material related to training. This does not quantify the amount by which a given AP50 was inflated: paired acquisitions also vary in contrast and annotation, and the model was not refit with every other factor held constant. It establishes that the needed unseen-acquisition premise did not hold for the nominal original split. Numerical crossing of 0.760000 by 0.001108 is preserved as arithmetic, while the inference that this is an independent benchmark improvement is withdrawn (results/seg_split_integrity_v2.json; results/scene_label_consistency.json; results/paired_scene_boundary_consistency.json).</w:t>
      </w:r>
    </w:p>
    <w:p>
      <w:pPr>
        <w:spacing w:after="120"/>
        <w:jc w:val="both"/>
      </w:pPr>
      <w:r>
        <w:rPr>
          <w:rFonts w:ascii="Times New Roman" w:hAnsi="Times New Roman" w:eastAsia="Times New Roman"/>
        </w:rPr>
        <w:t>Three distinct controls make the provenance diagnosis harder to dismiss and keep it within scope. First, SHA256 checks show no exact image or mask duplicate across the 184/35/12 original files; a simple file hash audit alone would have falsely reassured us. Second, standardized thumbnails identify candidate repeated scenes, and direct image inspection adjudicates their layout: the top train/eval pair, for example, reaches cosine 0.996584, while one weaker candidate near 0.95065 visibly contains a different arrangement. The similarity threshold is a scouting tool with false positives, not a certified source acquisition ID. Third, raw instance masks at the same coordinates share dozens of organoid matches in the three strongest pairs, while distinct-layout controls have zero matched objects. A label-ID gap in two later exploratory masks explains the difference between two implementations of the scoring denominator, but it does not explain away the repeated scenes. Those denominator discrepancies were recorded separately from the split-integrity question; the original threshold crossing used the pinned author scorer, not whichever version gave a higher value (results/group_disjoint_seg/postresult_gt_id_gap_audit.json).</w:t>
      </w:r>
    </w:p>
    <w:p>
      <w:pPr>
        <w:spacing w:after="120"/>
        <w:jc w:val="both"/>
      </w:pPr>
      <w:r>
        <w:rPr>
          <w:rFonts w:ascii="Times New Roman" w:hAnsi="Times New Roman" w:eastAsia="Times New Roman"/>
        </w:rPr>
        <w:t>The subsequent candidate-group reassignment is useful as a failure-mode test, not a cure. Grouping by a fixed image-similarity graph before the new fit places linked candidate components together, then reassigns 180 files to train, 37 to validation and 14 to evaluation. The new training starts fresh; the old v2 weights do not cross into it. Yet twelve of the 14 new eval filenames had already been scored in the original evaluation. The other two belonged to the original train/validation source and are linked to original-eval candidate scenes; moving them changes file allocation but does not manufacture an untouched acquisition cohort. The graph can also miss same-donor, same-plate or adjacent fields when they are visually dissimilar. Without metadata for donor, plate, well, time and acquisition, zero graph components crossing the new split is only a proxy condition. Its 0.750403 author-scorer mean and wide conditional image-bootstrap interval are exploratory diagnostics. They cannot be compared as an isolated estimate of leakage inflation against 0.761108 because training membership, checkpoint, selection and postprocessing all changed, and neither evaluation is a second independent cohort (results/group_disjoint_seg_split.json; results/group_disjoint_seg/exploratory_eval.json; results/group_disjoint_seg/postresult_samefile_delta.json).</w:t>
      </w:r>
    </w:p>
    <w:p>
      <w:pPr>
        <w:spacing w:after="120"/>
        <w:jc w:val="both"/>
      </w:pPr>
      <w:r>
        <w:rPr>
          <w:rFonts w:ascii="Times New Roman" w:hAnsi="Times New Roman" w:eastAsia="Times New Roman"/>
        </w:rPr>
        <w:t>Error analysis of that exploratory 14-image set finds several competing explanations rather than one selected cause. The median ground-truth instance count is 64.5; splitting at that fixed descriptive median after all outcomes were known gives seven low-count and seven high-count images. Mean author AP50 is 0.7820 versus 0.7188, and aggregated false-negative fractions are 0.0845 versus 0.2142. But the groups differ in morphology, illumination, crowding, acquired field and annotation count, and the two moved-to-eval files are both in the low-count group. The split was not a preregistered predictor test; the fourteen files are neither donor-independent nor an externally sourced replication. The observed association cannot prove density causes misses or justify a new image-specific threshold (results/group_disjoint_seg/postresult_object_density.json).</w:t>
      </w:r>
    </w:p>
    <w:p>
      <w:pPr>
        <w:spacing w:after="120"/>
        <w:jc w:val="both"/>
      </w:pPr>
      <w:r>
        <w:rPr>
          <w:rFonts w:ascii="Times New Roman" w:hAnsi="Times New Roman" w:eastAsia="Times New Roman"/>
        </w:rPr>
        <w:t>Changing the matching strictness from IoU 0.50 to 0.75 with the frozen checkpoint, image set and extraction parameters produces mean author AP75 0.569097, versus reproduced AP50 0.750403. Matching sums change from 901 TP, 152 FP and 187 FN at 0.50 to 738 TP, 315 FP and 350 FN at 0.75. These values show that exact overlap quality is a material axis of the saved predictions. They do not isolate whether borders, instance separation, source mask curation or image acquisition explains the difference. There is no released baseline model evaluated at AP75 on these exact files in this workflow. Reporting a strict-overlap decline is a useful diagnostic for what a paired comparator would need to test, not a new benchmark failure or gain (results/group_disjoint_seg/postresult_ap75_diagnostic.json).</w:t>
      </w:r>
    </w:p>
    <w:p>
      <w:pPr>
        <w:spacing w:after="120"/>
        <w:jc w:val="both"/>
      </w:pPr>
      <w:r>
        <w:rPr>
          <w:rFonts w:ascii="Times New Roman" w:hAnsi="Times New Roman" w:eastAsia="Times New Roman"/>
        </w:rPr>
        <w:t>A credible replacement comparison needs its unit of generalization specified before images or scores are opened. Acquisition metadata must group all views of one field and, where the intended use is across patients or sessions, hold entire donors or acquisition batches apart. Freeze the trained checkpoint, preprocessing and instance-extraction thresholds using training and validation groups only. Score an independent evaluation cohort once under the same released-author AP implementation, run the published model's predictions head-to-head on the identical images, and disclose per-image AP, matched object counts, grouping, uncertainty over groups and training seeds. It would remain necessary to distinguish a segmentation score from the downstream CFTR assay: even strong instance AP does not prove track identity, positive-endpoint ascertainment, donor-level size biology or clinical treatment prediction. None of these confirmatory conditions was completed for the original 12 or exploratory 14 known-source files.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4.5p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