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 Single-Organoid Re-Analysis with a Biophysical Swelling Twin</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w:t>
      </w:r>
    </w:p>
    <w:p>
      <w:pPr>
        <w:jc w:val="center"/>
      </w:pPr>
      <w:r>
        <w:rPr>
          <w:rFonts w:ascii="Times New Roman" w:hAnsi="Times New Roman" w:eastAsia="Times New Roman"/>
          <w:i/>
        </w:rPr>
        <w:t>E[ b-hat ] = b - Var(u) / ( Var(log A0) + Var(u) ),   u = noise in log A0</w:t>
      </w:r>
      <w:r>
        <w:rPr>
          <w:rFonts w:ascii="Times New Roman" w:hAnsi="Times New Roman" w:eastAsia="Times New Roman"/>
        </w:rPr>
        <w:tab/>
        <w:tab/>
        <w:t>(6)</w:t>
      </w:r>
    </w:p>
    <w:p>
      <w:pPr>
        <w:spacing w:after="120"/>
        <w:jc w:val="both"/>
      </w:pPr>
      <w:r>
        <w:rPr>
          <w:rFonts w:ascii="Times New Roman" w:hAnsi="Times New Roman" w:eastAsia="Times New Roman"/>
        </w:rPr>
        <w:t>so a positive observed b is conservative.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(distinct, accession-level). Three distinct assay/image datasets shown here; the committed accession ledger now has 166 primary entries, including one independent FIS demo plate counted once (not 32 CSV datasets).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5.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4.5 Segmentation benchmark</w:t>
      </w:r>
    </w:p>
    <w:p>
      <w:r>
        <w:rPr>
          <w:rFonts w:ascii="Times New Roman" w:hAnsi="Times New Roman" w:eastAsia="Times New Roman"/>
          <w:b/>
        </w:rPr>
        <w:t>Table 6.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7.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8.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9.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10.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11.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12.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13.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a 2021 nasal CFTR-modulator FIS study reported well-summed areas. These are unsuitable for the specific small-organoid modulator test, but the search was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Replication on the public FIS time series is impossible: it is well-level.</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14.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