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Does Starting Organoid Size Modify the CFTR-Modulator Swelling Response? A Size-Aware, Missing-Data-Robust Computational Pipeline for Single-Organoid Response Analysis</w:t>
      </w:r>
    </w:p>
    <w:p>
      <w:pPr>
        <w:jc w:val="center"/>
      </w:pPr>
      <w:r>
        <w:rPr>
          <w:rFonts w:ascii="Times New Roman" w:hAnsi="Times New Roman" w:eastAsia="Times New Roman"/>
        </w:rPr>
        <w:t>MEGA-PROGRAM-27, Item 3 - Udita Phookan (program owner). Working draft of 27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We ask one primary question: does starting organoid size modify the CFTR-modulator swelling response of single intestinal organoids after accounting for track attrition? The primary endpoint is the donor-level large-minus-small elexacaftor/tezacaftor/ivacaftor minus DMSO log-swelling contrast, and the primary analysis is the pre-registered donor-block mixed model with an exact donor-level sign-flip test, reported together with its companion pre-registered tests. All other analyses in this paper are exploratory and are labeled as such.</w:t>
      </w:r>
    </w:p>
    <w:p>
      <w:pPr>
        <w:spacing w:after="120"/>
        <w:jc w:val="both"/>
      </w:pPr>
      <w:r>
        <w:rPr>
          <w:rFonts w:ascii="Times New Roman" w:hAnsi="Times New Roman" w:eastAsia="Times New Roman"/>
        </w:rPr>
        <w:t>The primary pre-registered tests, stated first: the sign-only donor test FAILED (9/12 positive, p=0.073), the zero-forskolin specificity test FAILED (3/11, p=0.967), and the matched plate-dose stress test FAILED. Under the separately locked donor-block analysis (31 eligible donor x experiment x dose blocks from 12 donors), the magnitude-aware treatment-by-large coefficient is +0.252815 (positive-direction one-sided p=0.00001151; 4,096-assignment exact donor-level sign flip p=0.002930), and the exploratory donor-matched octile contrast rises from 0.336 [0.262, 0.405] in the smallest starting-size octile toward 0.55-0.64 in larger octiles (top minus bottom 0.251 [0.184, 0.323], donor bootstrap). These are within-accession, magnitude-aware results, not independent replication or a clinical predictor.</w:t>
      </w:r>
    </w:p>
    <w:p>
      <w:pPr>
        <w:spacing w:after="120"/>
        <w:jc w:val="both"/>
      </w:pPr>
      <w:r>
        <w:rPr>
          <w:rFonts w:ascii="Times New Roman" w:hAnsi="Times New Roman" w:eastAsia="Times New Roman"/>
        </w:rPr>
        <w:t>The methodological contribution is an explicit audit of track attrition: tracked organoids are not a random subset, because endpoint observability varies with starting size, treatment arm and local crowding. We quantify, with donor-clustered observability models, stratified neighbor analysis, track-retention tables and missing-endpoint bounds, how much of an apparent size contrast such structured attrition can create or hide. This size-aware, missing-data-robust pipeline is the part of the work other CFTR swelling studies can reuse.</w:t>
      </w:r>
    </w:p>
    <w:p>
      <w:pPr>
        <w:spacing w:after="120"/>
        <w:jc w:val="both"/>
      </w:pPr>
      <w:r>
        <w:rPr>
          <w:rFonts w:ascii="Times New Roman" w:hAnsi="Times New Roman" w:eastAsia="Times New Roman"/>
        </w:rPr>
        <w:t>A separate segmentation arm is reported as a secondary exploratory analysis: a train-only U-Net reached author-scored AP50 0.761108 against a rounded published 0.76, but repeated acquisition fields cross the train/evaluation and train/validation filenames, so no independent benchmark-beat claim is made and an acquisition-candidate-group-disjoint exploratory reassignment was subsequently run on previously seen files. This paper is an in vitro computational reanalysis only, not a diagnostic or treatment predictor. The repository preserves all gate outcomes, code and negative controls.</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single-organoid response depends on starting size, and whether correcting for it improves drug-response calls.</w:t>
      </w:r>
    </w:p>
    <w:p>
      <w:pPr>
        <w:pStyle w:val="Heading2"/>
      </w:pPr>
      <w:r>
        <w:rPr>
          <w:rFonts w:ascii="Times New Roman" w:hAnsi="Times New Roman" w:eastAsia="Times New Roman"/>
        </w:rPr>
        <w:t>1.1 Primary question, primary endpoint and primary analysis</w:t>
      </w:r>
    </w:p>
    <w:p>
      <w:pPr>
        <w:spacing w:after="120"/>
        <w:jc w:val="both"/>
      </w:pPr>
      <w:r>
        <w:rPr>
          <w:rFonts w:ascii="Times New Roman" w:hAnsi="Times New Roman" w:eastAsia="Times New Roman"/>
        </w:rPr>
        <w:t>Primary question: does starting organoid size modify the CFTR-modulator swelling response of single intestinal organoids after accounting for track attrition? Primary endpoint: the donor-level large-minus-small Trikafta-minus-DMSO log-swelling contrast. Primary analysis: the pre-registered donor-block mixed model plus the 4,096-assignment exact donor-level sign-flip test, interpreted alongside the companion pre-registered sign-only, zero-forskolin specificity and matched plate-dose stress tests. This framing is a post-verdict amendment of 27 September 2026 (owner-provided verdict archived with message-ID provenance in results/judge_rounds/; amendment queue locked before execution in notes/judge_verdict_01_amendment_queue.md). It changes presentation order and emphasis only: every pre-registered gate, outcome and negative control is unchanged, and the failed primary tests are reported in Section 4 before any magnitude-aware result.</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For a strictly positive response (s &gt; 1), the idealized model implies the local slope of log(log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in this idealized model. We do NOT fit log(log s): it is undefined when s &lt;= 1, as occurs in 1,520 of 14,783 positive-forskolin observations (10.3%). Instead our empirical within-well regression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A positive empirical b has the same directional prediction only for positive responses under the idealized model; it does not estimate alpha and can reflect non-secretion mechanisms, especially for s &lt;= 1. With a well intercept a_w absorbing donor, plate and well effects, measurement noise in A0 enters both sides with opposite sign (s = A1/A0), which biases b downward under independent zero-mean log-area errors u at baseline and endpoint, with latent log baseline size x_true:</w:t>
      </w:r>
    </w:p>
    <w:p>
      <w:pPr>
        <w:jc w:val="center"/>
      </w:pPr>
      <w:r>
        <w:rPr>
          <w:rFonts w:ascii="Times New Roman" w:hAnsi="Times New Roman" w:eastAsia="Times New Roman"/>
          <w:i/>
        </w:rPr>
        <w:t>E[ b-hat ] ≈ (b Var(x_true) - Var(u)) / (Var(x_true) + Var(u)),   x = log A0 = x_true + u</w:t>
      </w:r>
      <w:r>
        <w:rPr>
          <w:rFonts w:ascii="Times New Roman" w:hAnsi="Times New Roman" w:eastAsia="Times New Roman"/>
        </w:rPr>
        <w:tab/>
        <w:tab/>
        <w:t>(6)</w:t>
      </w:r>
    </w:p>
    <w:p>
      <w:pPr>
        <w:spacing w:after="120"/>
        <w:jc w:val="both"/>
      </w:pPr>
      <w:r>
        <w:rPr>
          <w:rFonts w:ascii="Times New Roman" w:hAnsi="Times New Roman" w:eastAsia="Times New Roman"/>
        </w:rPr>
        <w:t>Thus a positive observed b is conservative only under this independent-error model; correlated or size-dependent segmentation and track selection can reverse the bias.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Four distinct Zenodo accessions are shown: the DIS and FIS files are two assay tables under the SAME accession 10610438, not two datasets. The ledger has 168 primary-used accession entries across imaging, FIS and transcriptomic analyses; separate Drevinek-group releases may overlap patients and are not individual-object replication.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Drevinek intestinal FIS cohort</w:t>
            </w:r>
          </w:p>
        </w:tc>
        <w:tc>
          <w:tcPr>
            <w:tcW w:type="dxa" w:w="1728"/>
          </w:tcPr>
          <w:p>
            <w:r>
              <w:rPr>
                <w:rFonts w:ascii="Times New Roman" w:hAnsi="Times New Roman" w:eastAsia="Times New Roman"/>
              </w:rPr>
              <w:t>Zenodo 4771466</w:t>
            </w:r>
          </w:p>
        </w:tc>
        <w:tc>
          <w:tcPr>
            <w:tcW w:type="dxa" w:w="1728"/>
          </w:tcPr>
          <w:p>
            <w:r>
              <w:rPr>
                <w:rFonts w:ascii="Times New Roman" w:hAnsi="Times New Roman" w:eastAsia="Times New Roman"/>
              </w:rPr>
              <w:t>20 patient IDs, 54 plates, well-level 0-60 minute area series</w:t>
            </w:r>
          </w:p>
        </w:tc>
        <w:tc>
          <w:tcPr>
            <w:tcW w:type="dxa" w:w="1728"/>
          </w:tcPr>
          <w:p>
            <w:r>
              <w:rPr>
                <w:rFonts w:ascii="Times New Roman" w:hAnsi="Times New Roman" w:eastAsia="Times New Roman"/>
              </w:rPr>
              <w:t>triple-vs-double treatment ranking</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Borek-Dohalska intestinal FIS cohort</w:t>
            </w:r>
          </w:p>
        </w:tc>
        <w:tc>
          <w:tcPr>
            <w:tcW w:type="dxa" w:w="1728"/>
          </w:tcPr>
          <w:p>
            <w:r>
              <w:rPr>
                <w:rFonts w:ascii="Times New Roman" w:hAnsi="Times New Roman" w:eastAsia="Times New Roman"/>
              </w:rPr>
              <w:t>Zenodo 15754800</w:t>
            </w:r>
          </w:p>
        </w:tc>
        <w:tc>
          <w:tcPr>
            <w:tcW w:type="dxa" w:w="1728"/>
          </w:tcPr>
          <w:p>
            <w:r>
              <w:rPr>
                <w:rFonts w:ascii="Times New Roman" w:hAnsi="Times New Roman" w:eastAsia="Times New Roman"/>
              </w:rPr>
              <w:t>12 patient IDs, 33 plates, well-level areas; possible overlap with 4771466</w:t>
            </w:r>
          </w:p>
        </w:tc>
        <w:tc>
          <w:tcPr>
            <w:tcW w:type="dxa" w:w="1728"/>
          </w:tcPr>
          <w:p>
            <w:r>
              <w:rPr>
                <w:rFonts w:ascii="Times New Roman" w:hAnsi="Times New Roman" w:eastAsia="Times New Roman"/>
              </w:rPr>
              <w:t>negative VTI-vs-ETI ranking test</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empirical slope is near zero in DMSO and positive in each modulator group. Its sign contrasts with a simple surface-limited secretion prediction only for strictly positive responses; it does not estimate alpha for the full data, which include shrinking objects. A power-law reading (alpha &gt; 1) was rejected: restricted to organoids above 2,000 px the slope turns negative (Trikafta -0.117), and binned means rise then plateau. A specific simulation of independent, size-invariant segmentation noise on a flat true response gave slopes of -0.002 to -0.055; size-dependent segmentation and differential track retention were not ruled out.</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spacing w:after="120"/>
        <w:jc w:val="both"/>
      </w:pPr>
      <w:r>
        <w:rPr>
          <w:rFonts w:ascii="Times New Roman" w:hAnsi="Times New Roman" w:eastAsia="Times New Roman"/>
        </w:rPr>
        <w:t>An additional pre-specified eligibility sensitivity used the same accession and original size bins, varying only minimum organoid count in every treatment-by-size cell. At five per cell, the result weakens to 8/12 positive donors (one-sided p=0.193848). At ten, six of six donors are positive (nominal p=0.015625), but six is below the frozen eight-donor eligibility floor, so that setting is UNINTERPRETABLE, not a rescue. At twenty, only three donors remain. A frozen post hoc donor-composition audit shows all three min-three nonpositive donors (PDIO_01, PDIO_16, PDIO_18) disappear at minimum ten; the six survivors were already positive at min three, and three other positive donors also disappear. This is selective eligibility, not evidence that excluded donors are nonresponders. The frozen three-per-cell H1 still FAILS (results/block_eligibility_sensitivity.json; results/finding_eligibility_composition.md).</w:t>
      </w:r>
    </w:p>
    <w:p>
      <w:r>
        <w:rPr>
          <w:rFonts w:ascii="Times New Roman" w:hAnsi="Times New Roman" w:eastAsia="Times New Roman"/>
          <w:b/>
        </w:rPr>
        <w:t>Table 5. Same-accession eligibility sensitivity preregistered before rerun at b9978eb; the nominal six-donor p at minimum ten does not meet the frozen eligible-donor floor or constitute independent validation.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minimum objects/cell</w:t>
            </w:r>
          </w:p>
        </w:tc>
        <w:tc>
          <w:tcPr>
            <w:tcW w:type="dxa" w:w="1440"/>
          </w:tcPr>
          <w:p>
            <w:r>
              <w:rPr>
                <w:rFonts w:ascii="Times New Roman" w:hAnsi="Times New Roman" w:eastAsia="Times New Roman"/>
              </w:rPr>
              <w:t>eligible blocks</w:t>
            </w:r>
          </w:p>
        </w:tc>
        <w:tc>
          <w:tcPr>
            <w:tcW w:type="dxa" w:w="1440"/>
          </w:tcPr>
          <w:p>
            <w:r>
              <w:rPr>
                <w:rFonts w:ascii="Times New Roman" w:hAnsi="Times New Roman" w:eastAsia="Times New Roman"/>
              </w:rPr>
              <w:t>donors</w:t>
            </w:r>
          </w:p>
        </w:tc>
        <w:tc>
          <w:tcPr>
            <w:tcW w:type="dxa" w:w="1440"/>
          </w:tcPr>
          <w:p>
            <w:r>
              <w:rPr>
                <w:rFonts w:ascii="Times New Roman" w:hAnsi="Times New Roman" w:eastAsia="Times New Roman"/>
              </w:rPr>
              <w:t>positive</w:t>
            </w:r>
          </w:p>
        </w:tc>
        <w:tc>
          <w:tcPr>
            <w:tcW w:type="dxa" w:w="1440"/>
          </w:tcPr>
          <w:p>
            <w:r>
              <w:rPr>
                <w:rFonts w:ascii="Times New Roman" w:hAnsi="Times New Roman" w:eastAsia="Times New Roman"/>
              </w:rPr>
              <w:t>one-sided p</w:t>
            </w:r>
          </w:p>
        </w:tc>
        <w:tc>
          <w:tcPr>
            <w:tcW w:type="dxa" w:w="1440"/>
          </w:tcPr>
          <w:p>
            <w:r>
              <w:rPr>
                <w:rFonts w:ascii="Times New Roman" w:hAnsi="Times New Roman" w:eastAsia="Times New Roman"/>
              </w:rPr>
              <w:t>verdict</w:t>
            </w:r>
          </w:p>
        </w:tc>
      </w:tr>
      <w:tr>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31</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.072998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5</w:t>
            </w:r>
          </w:p>
        </w:tc>
        <w:tc>
          <w:tcPr>
            <w:tcW w:type="dxa" w:w="1440"/>
          </w:tcPr>
          <w:p>
            <w:r>
              <w:rPr>
                <w:rFonts w:ascii="Times New Roman" w:hAnsi="Times New Roman" w:eastAsia="Times New Roman"/>
              </w:rPr>
              <w:t>28</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.193848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15</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.015625</w:t>
            </w:r>
          </w:p>
        </w:tc>
        <w:tc>
          <w:tcPr>
            <w:tcW w:type="dxa" w:w="1440"/>
          </w:tcPr>
          <w:p>
            <w:r>
              <w:rPr>
                <w:rFonts w:ascii="Times New Roman" w:hAnsi="Times New Roman" w:eastAsia="Times New Roman"/>
              </w:rPr>
              <w:t>n&lt;8</w:t>
            </w:r>
          </w:p>
        </w:tc>
      </w:tr>
      <w:tr>
        <w:tc>
          <w:tcPr>
            <w:tcW w:type="dxa" w:w="1440"/>
          </w:tcPr>
          <w:p>
            <w:r>
              <w:rPr>
                <w:rFonts w:ascii="Times New Roman" w:hAnsi="Times New Roman" w:eastAsia="Times New Roman"/>
              </w:rPr>
              <w:t>20</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.125000</w:t>
            </w:r>
          </w:p>
        </w:tc>
        <w:tc>
          <w:tcPr>
            <w:tcW w:type="dxa" w:w="1440"/>
          </w:tcPr>
          <w:p>
            <w:r>
              <w:rPr>
                <w:rFonts w:ascii="Times New Roman" w:hAnsi="Times New Roman" w:eastAsia="Times New Roman"/>
              </w:rPr>
              <w:t>n&lt;8</w:t>
            </w:r>
          </w:p>
        </w:tc>
      </w:tr>
    </w:tbl>
    <w:p>
      <w:pPr>
        <w:pStyle w:val="Heading2"/>
      </w:pPr>
      <w:r>
        <w:rPr>
          <w:rFonts w:ascii="Times New Roman" w:hAnsi="Times New Roman" w:eastAsia="Times New Roman"/>
        </w:rPr>
        <w:t>4.3c No-forskolin specificity stress test: fails</w:t>
      </w:r>
    </w:p>
    <w:p>
      <w:pPr>
        <w:spacing w:after="120"/>
        <w:jc w:val="both"/>
      </w:pPr>
      <w:r>
        <w:rPr>
          <w:rFonts w:ascii="Times New Roman" w:hAnsi="Times New Roman" w:eastAsia="Times New Roman"/>
        </w:rPr>
        <w:t>An additional frozen within-accession check asked whether the drug-by-starting-size contrast is more positive at 0.128 uM forskolin than in the same donor and experiment at zero forskolin. Both doses required &gt;=3 objects in every treatment-by-size cell. Of 50 donor-experiment combinations, 24 pairs across 11 donors qualify; six source donors lack an eligible pair. Only 3/11 donor-median paired deltas are positive, exact one-sided sign p=0.967285, so the preregistered specificity H1 FAILS. A no-forskolin size interaction is often larger, weakening a CFTR-stimulation-specific interpretation. This does not prove drug inactivity or identify the cause of the zero-dose pattern: pretreatment, baseline biology and size-dependent tracking remain possible. The same accession and post hoc size cutoffs preclude independent validation (results/zero_fsk_control.json; results/finding_zero_fsk_control.md).</w:t>
      </w:r>
    </w:p>
    <w:p>
      <w:r>
        <w:rPr>
          <w:rFonts w:ascii="Times New Roman" w:hAnsi="Times New Roman" w:eastAsia="Times New Roman"/>
          <w:b/>
        </w:rPr>
        <w:t>Table 6. Same-accession specificity check, donor-equal medians: positive delta means greater size interaction at .128 versus zero forskolin. Plate-paired deltas are aggregated separately, so they need not equal the difference of the two displayed median effects. No clinical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donor</w:t>
            </w:r>
          </w:p>
        </w:tc>
        <w:tc>
          <w:tcPr>
            <w:tcW w:type="dxa" w:w="1728"/>
          </w:tcPr>
          <w:p>
            <w:r>
              <w:rPr>
                <w:rFonts w:ascii="Times New Roman" w:hAnsi="Times New Roman" w:eastAsia="Times New Roman"/>
              </w:rPr>
              <w:t>paired plates</w:t>
            </w:r>
          </w:p>
        </w:tc>
        <w:tc>
          <w:tcPr>
            <w:tcW w:type="dxa" w:w="1728"/>
          </w:tcPr>
          <w:p>
            <w:r>
              <w:rPr>
                <w:rFonts w:ascii="Times New Roman" w:hAnsi="Times New Roman" w:eastAsia="Times New Roman"/>
              </w:rPr>
              <w:t>effect 0 uM</w:t>
            </w:r>
          </w:p>
        </w:tc>
        <w:tc>
          <w:tcPr>
            <w:tcW w:type="dxa" w:w="1728"/>
          </w:tcPr>
          <w:p>
            <w:r>
              <w:rPr>
                <w:rFonts w:ascii="Times New Roman" w:hAnsi="Times New Roman" w:eastAsia="Times New Roman"/>
              </w:rPr>
              <w:t>effect .128 uM</w:t>
            </w:r>
          </w:p>
        </w:tc>
        <w:tc>
          <w:tcPr>
            <w:tcW w:type="dxa" w:w="1728"/>
          </w:tcPr>
          <w:p>
            <w:r>
              <w:rPr>
                <w:rFonts w:ascii="Times New Roman" w:hAnsi="Times New Roman" w:eastAsia="Times New Roman"/>
              </w:rPr>
              <w:t>paired delta</w:t>
            </w:r>
          </w:p>
        </w:tc>
      </w:tr>
      <w:tr>
        <w:tc>
          <w:tcPr>
            <w:tcW w:type="dxa" w:w="1728"/>
          </w:tcPr>
          <w:p>
            <w:r>
              <w:rPr>
                <w:rFonts w:ascii="Times New Roman" w:hAnsi="Times New Roman" w:eastAsia="Times New Roman"/>
              </w:rPr>
              <w:t>PDIO_01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+0.425</w:t>
            </w:r>
          </w:p>
        </w:tc>
        <w:tc>
          <w:tcPr>
            <w:tcW w:type="dxa" w:w="1728"/>
          </w:tcPr>
          <w:p>
            <w:r>
              <w:rPr>
                <w:rFonts w:ascii="Times New Roman" w:hAnsi="Times New Roman" w:eastAsia="Times New Roman"/>
              </w:rPr>
              <w:t>-0.013</w:t>
            </w:r>
          </w:p>
        </w:tc>
        <w:tc>
          <w:tcPr>
            <w:tcW w:type="dxa" w:w="1728"/>
          </w:tcPr>
          <w:p>
            <w:r>
              <w:rPr>
                <w:rFonts w:ascii="Times New Roman" w:hAnsi="Times New Roman" w:eastAsia="Times New Roman"/>
              </w:rPr>
              <w:t>-0.439</w:t>
            </w:r>
          </w:p>
        </w:tc>
      </w:tr>
      <w:tr>
        <w:tc>
          <w:tcPr>
            <w:tcW w:type="dxa" w:w="1728"/>
          </w:tcPr>
          <w:p>
            <w:r>
              <w:rPr>
                <w:rFonts w:ascii="Times New Roman" w:hAnsi="Times New Roman" w:eastAsia="Times New Roman"/>
              </w:rPr>
              <w:t>PDIO_03</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+0.446</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-0.055</w:t>
            </w:r>
          </w:p>
        </w:tc>
      </w:tr>
      <w:tr>
        <w:tc>
          <w:tcPr>
            <w:tcW w:type="dxa" w:w="1728"/>
          </w:tcPr>
          <w:p>
            <w:r>
              <w:rPr>
                <w:rFonts w:ascii="Times New Roman" w:hAnsi="Times New Roman" w:eastAsia="Times New Roman"/>
              </w:rPr>
              <w:t>PDIO_05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+0.599</w:t>
            </w:r>
          </w:p>
        </w:tc>
        <w:tc>
          <w:tcPr>
            <w:tcW w:type="dxa" w:w="1728"/>
          </w:tcPr>
          <w:p>
            <w:r>
              <w:rPr>
                <w:rFonts w:ascii="Times New Roman" w:hAnsi="Times New Roman" w:eastAsia="Times New Roman"/>
              </w:rPr>
              <w:t>+0.231</w:t>
            </w:r>
          </w:p>
        </w:tc>
      </w:tr>
      <w:tr>
        <w:tc>
          <w:tcPr>
            <w:tcW w:type="dxa" w:w="1728"/>
          </w:tcPr>
          <w:p>
            <w:r>
              <w:rPr>
                <w:rFonts w:ascii="Times New Roman" w:hAnsi="Times New Roman" w:eastAsia="Times New Roman"/>
              </w:rPr>
              <w:t>PDIO_06</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+0.382</w:t>
            </w:r>
          </w:p>
        </w:tc>
        <w:tc>
          <w:tcPr>
            <w:tcW w:type="dxa" w:w="1728"/>
          </w:tcPr>
          <w:p>
            <w:r>
              <w:rPr>
                <w:rFonts w:ascii="Times New Roman" w:hAnsi="Times New Roman" w:eastAsia="Times New Roman"/>
              </w:rPr>
              <w:t>+0.349</w:t>
            </w:r>
          </w:p>
        </w:tc>
        <w:tc>
          <w:tcPr>
            <w:tcW w:type="dxa" w:w="1728"/>
          </w:tcPr>
          <w:p>
            <w:r>
              <w:rPr>
                <w:rFonts w:ascii="Times New Roman" w:hAnsi="Times New Roman" w:eastAsia="Times New Roman"/>
              </w:rPr>
              <w:t>-0.216</w:t>
            </w:r>
          </w:p>
        </w:tc>
      </w:tr>
      <w:tr>
        <w:tc>
          <w:tcPr>
            <w:tcW w:type="dxa" w:w="1728"/>
          </w:tcPr>
          <w:p>
            <w:r>
              <w:rPr>
                <w:rFonts w:ascii="Times New Roman" w:hAnsi="Times New Roman" w:eastAsia="Times New Roman"/>
              </w:rPr>
              <w:t>PDIO_09</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+0.260</w:t>
            </w:r>
          </w:p>
        </w:tc>
        <w:tc>
          <w:tcPr>
            <w:tcW w:type="dxa" w:w="1728"/>
          </w:tcPr>
          <w:p>
            <w:r>
              <w:rPr>
                <w:rFonts w:ascii="Times New Roman" w:hAnsi="Times New Roman" w:eastAsia="Times New Roman"/>
              </w:rPr>
              <w:t>+0.231</w:t>
            </w:r>
          </w:p>
        </w:tc>
        <w:tc>
          <w:tcPr>
            <w:tcW w:type="dxa" w:w="1728"/>
          </w:tcPr>
          <w:p>
            <w:r>
              <w:rPr>
                <w:rFonts w:ascii="Times New Roman" w:hAnsi="Times New Roman" w:eastAsia="Times New Roman"/>
              </w:rPr>
              <w:t>+0.127</w:t>
            </w:r>
          </w:p>
        </w:tc>
      </w:tr>
      <w:tr>
        <w:tc>
          <w:tcPr>
            <w:tcW w:type="dxa" w:w="1728"/>
          </w:tcPr>
          <w:p>
            <w:r>
              <w:rPr>
                <w:rFonts w:ascii="Times New Roman" w:hAnsi="Times New Roman" w:eastAsia="Times New Roman"/>
              </w:rPr>
              <w:t>PDIO_11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+0.448</w:t>
            </w:r>
          </w:p>
        </w:tc>
        <w:tc>
          <w:tcPr>
            <w:tcW w:type="dxa" w:w="1728"/>
          </w:tcPr>
          <w:p>
            <w:r>
              <w:rPr>
                <w:rFonts w:ascii="Times New Roman" w:hAnsi="Times New Roman" w:eastAsia="Times New Roman"/>
              </w:rPr>
              <w:t>+0.323</w:t>
            </w:r>
          </w:p>
        </w:tc>
        <w:tc>
          <w:tcPr>
            <w:tcW w:type="dxa" w:w="1728"/>
          </w:tcPr>
          <w:p>
            <w:r>
              <w:rPr>
                <w:rFonts w:ascii="Times New Roman" w:hAnsi="Times New Roman" w:eastAsia="Times New Roman"/>
              </w:rPr>
              <w:t>-0.126</w:t>
            </w:r>
          </w:p>
        </w:tc>
      </w:tr>
      <w:tr>
        <w:tc>
          <w:tcPr>
            <w:tcW w:type="dxa" w:w="1728"/>
          </w:tcPr>
          <w:p>
            <w:r>
              <w:rPr>
                <w:rFonts w:ascii="Times New Roman" w:hAnsi="Times New Roman" w:eastAsia="Times New Roman"/>
              </w:rPr>
              <w:t>PDIO_12</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+0.459</w:t>
            </w:r>
          </w:p>
        </w:tc>
        <w:tc>
          <w:tcPr>
            <w:tcW w:type="dxa" w:w="1728"/>
          </w:tcPr>
          <w:p>
            <w:r>
              <w:rPr>
                <w:rFonts w:ascii="Times New Roman" w:hAnsi="Times New Roman" w:eastAsia="Times New Roman"/>
              </w:rPr>
              <w:t>+0.263</w:t>
            </w:r>
          </w:p>
        </w:tc>
        <w:tc>
          <w:tcPr>
            <w:tcW w:type="dxa" w:w="1728"/>
          </w:tcPr>
          <w:p>
            <w:r>
              <w:rPr>
                <w:rFonts w:ascii="Times New Roman" w:hAnsi="Times New Roman" w:eastAsia="Times New Roman"/>
              </w:rPr>
              <w:t>-0.195</w:t>
            </w:r>
          </w:p>
        </w:tc>
      </w:tr>
      <w:tr>
        <w:tc>
          <w:tcPr>
            <w:tcW w:type="dxa" w:w="1728"/>
          </w:tcPr>
          <w:p>
            <w:r>
              <w:rPr>
                <w:rFonts w:ascii="Times New Roman" w:hAnsi="Times New Roman" w:eastAsia="Times New Roman"/>
              </w:rPr>
              <w:t>PDIO_13</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+0.361</w:t>
            </w:r>
          </w:p>
        </w:tc>
        <w:tc>
          <w:tcPr>
            <w:tcW w:type="dxa" w:w="1728"/>
          </w:tcPr>
          <w:p>
            <w:r>
              <w:rPr>
                <w:rFonts w:ascii="Times New Roman" w:hAnsi="Times New Roman" w:eastAsia="Times New Roman"/>
              </w:rPr>
              <w:t>+0.273</w:t>
            </w:r>
          </w:p>
        </w:tc>
        <w:tc>
          <w:tcPr>
            <w:tcW w:type="dxa" w:w="1728"/>
          </w:tcPr>
          <w:p>
            <w:r>
              <w:rPr>
                <w:rFonts w:ascii="Times New Roman" w:hAnsi="Times New Roman" w:eastAsia="Times New Roman"/>
              </w:rPr>
              <w:t>-0.087</w:t>
            </w:r>
          </w:p>
        </w:tc>
      </w:tr>
      <w:tr>
        <w:tc>
          <w:tcPr>
            <w:tcW w:type="dxa" w:w="1728"/>
          </w:tcPr>
          <w:p>
            <w:r>
              <w:rPr>
                <w:rFonts w:ascii="Times New Roman" w:hAnsi="Times New Roman" w:eastAsia="Times New Roman"/>
              </w:rPr>
              <w:t>PDIO_14</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+0.183</w:t>
            </w:r>
          </w:p>
        </w:tc>
        <w:tc>
          <w:tcPr>
            <w:tcW w:type="dxa" w:w="1728"/>
          </w:tcPr>
          <w:p>
            <w:r>
              <w:rPr>
                <w:rFonts w:ascii="Times New Roman" w:hAnsi="Times New Roman" w:eastAsia="Times New Roman"/>
              </w:rPr>
              <w:t>+0.197</w:t>
            </w:r>
          </w:p>
        </w:tc>
        <w:tc>
          <w:tcPr>
            <w:tcW w:type="dxa" w:w="1728"/>
          </w:tcPr>
          <w:p>
            <w:r>
              <w:rPr>
                <w:rFonts w:ascii="Times New Roman" w:hAnsi="Times New Roman" w:eastAsia="Times New Roman"/>
              </w:rPr>
              <w:t>+0.014</w:t>
            </w:r>
          </w:p>
        </w:tc>
      </w:tr>
      <w:tr>
        <w:tc>
          <w:tcPr>
            <w:tcW w:type="dxa" w:w="1728"/>
          </w:tcPr>
          <w:p>
            <w:r>
              <w:rPr>
                <w:rFonts w:ascii="Times New Roman" w:hAnsi="Times New Roman" w:eastAsia="Times New Roman"/>
              </w:rPr>
              <w:t>PDIO_15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+0.149</w:t>
            </w:r>
          </w:p>
        </w:tc>
        <w:tc>
          <w:tcPr>
            <w:tcW w:type="dxa" w:w="1728"/>
          </w:tcPr>
          <w:p>
            <w:r>
              <w:rPr>
                <w:rFonts w:ascii="Times New Roman" w:hAnsi="Times New Roman" w:eastAsia="Times New Roman"/>
              </w:rPr>
              <w:t>+0.061</w:t>
            </w:r>
          </w:p>
        </w:tc>
        <w:tc>
          <w:tcPr>
            <w:tcW w:type="dxa" w:w="1728"/>
          </w:tcPr>
          <w:p>
            <w:r>
              <w:rPr>
                <w:rFonts w:ascii="Times New Roman" w:hAnsi="Times New Roman" w:eastAsia="Times New Roman"/>
              </w:rPr>
              <w:t>-0.107</w:t>
            </w:r>
          </w:p>
        </w:tc>
      </w:tr>
      <w:tr>
        <w:tc>
          <w:tcPr>
            <w:tcW w:type="dxa" w:w="1728"/>
          </w:tcPr>
          <w:p>
            <w:r>
              <w:rPr>
                <w:rFonts w:ascii="Times New Roman" w:hAnsi="Times New Roman" w:eastAsia="Times New Roman"/>
              </w:rPr>
              <w:t>PDIO_16</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+0.152</w:t>
            </w:r>
          </w:p>
        </w:tc>
        <w:tc>
          <w:tcPr>
            <w:tcW w:type="dxa" w:w="1728"/>
          </w:tcPr>
          <w:p>
            <w:r>
              <w:rPr>
                <w:rFonts w:ascii="Times New Roman" w:hAnsi="Times New Roman" w:eastAsia="Times New Roman"/>
              </w:rPr>
              <w:t>-0.091</w:t>
            </w:r>
          </w:p>
        </w:tc>
        <w:tc>
          <w:tcPr>
            <w:tcW w:type="dxa" w:w="1728"/>
          </w:tcPr>
          <w:p>
            <w:r>
              <w:rPr>
                <w:rFonts w:ascii="Times New Roman" w:hAnsi="Times New Roman" w:eastAsia="Times New Roman"/>
              </w:rPr>
              <w:t>-0.243</w:t>
            </w:r>
          </w:p>
        </w:tc>
      </w:tr>
    </w:tbl>
    <w:p>
      <w:pPr>
        <w:pStyle w:val="Heading2"/>
      </w:pPr>
      <w:r>
        <w:rPr>
          <w:rFonts w:ascii="Times New Roman" w:hAnsi="Times New Roman" w:eastAsia="Times New Roman"/>
        </w:rPr>
        <w:t>4.3d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7.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Secondary exploratory analyses I: well-level FIS drug-ranking replications</w:t>
      </w:r>
    </w:p>
    <w:p>
      <w:pPr>
        <w:spacing w:after="120"/>
        <w:jc w:val="both"/>
      </w:pPr>
      <w:r>
        <w:rPr>
          <w:rFonts w:ascii="Times New Roman" w:hAnsi="Times New Roman" w:eastAsia="Times New Roman"/>
        </w:rPr>
        <w:t>Sections 4.3d (well-level ranking) and 4.3e below are off-question secondary analyses, retained for completeness and labeled exploratory.</w:t>
      </w:r>
    </w:p>
    <w:p>
      <w:pPr>
        <w:pStyle w:val="Heading2"/>
      </w:pPr>
      <w:r>
        <w:rPr>
          <w:rFonts w:ascii="Times New Roman" w:hAnsi="Times New Roman" w:eastAsia="Times New Roman"/>
        </w:rPr>
        <w:t>4.3d Distinct multi-patient well-level FIS cohort: published drug ranking reproduced</w:t>
      </w:r>
    </w:p>
    <w:p>
      <w:pPr>
        <w:spacing w:after="120"/>
        <w:jc w:val="both"/>
      </w:pPr>
      <w:r>
        <w:rPr>
          <w:rFonts w:ascii="Times New Roman" w:hAnsi="Times New Roman" w:eastAsia="Times New Roman"/>
        </w:rPr>
        <w:t>A genuinely distinct dataset (Drevinek et al., Zenodo 4771466) contains well-level area time series from 20 CF patient IDs on 54 patient-date plates. The analysis was pre-registered and committed before downloading the source; source plate-map inspection then showed that its FskOnly wells are a reference line, not patient-matched vehicle. That provenance correction was committed before outcome analysis. Of 432 patient-plate-dose blocks, 431 have &gt;=2 wells per treatment and matched 0-60 minute measurements; one TEZ/IVA block has one well and is excluded. Equal-well area AUC is normalized to each well's time-zero area, then triple ELX/TEZ/IVA minus double TEZ/IVA is taken at patient/plate/dose level; each patient contributes the median over its blocks. Positive in 20/20 patients, median +0.249 baseline-area AUC (exact one-sided sign p=9.5e-07), so the pre-registered treatment-ranking H1 passes. This confirms the published in-vitro triple-over-double ordering on the paper's own public data, not a new discovery or an independent individual-organoid size test. Forty-seven of 431 plate-dose block rankings reverse if unnormalized raw area replaces normalized AUC; both patient-level summaries remain 20/20 positive. No clinical prediction follows (results/drevinek_fis.json; results/finding_drevinek_fis.md).</w:t>
      </w:r>
    </w:p>
    <w:p>
      <w:r>
        <w:rPr>
          <w:rFonts w:ascii="Times New Roman" w:hAnsi="Times New Roman" w:eastAsia="Times New Roman"/>
          <w:b/>
        </w:rPr>
        <w:t>Table 8. Patient-equal well-level treatment-ranking test; no individual organoid areas in this accession.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r>
      <w:tr>
        <w:tc>
          <w:tcPr>
            <w:tcW w:type="dxa" w:w="1440"/>
          </w:tcPr>
          <w:p>
            <w:r>
              <w:rPr>
                <w:rFonts w:ascii="Times New Roman" w:hAnsi="Times New Roman" w:eastAsia="Times New Roman"/>
              </w:rPr>
              <w:t>04-CF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+0.240</w:t>
            </w:r>
          </w:p>
        </w:tc>
        <w:tc>
          <w:tcPr>
            <w:tcW w:type="dxa" w:w="1440"/>
          </w:tcPr>
          <w:p>
            <w:r>
              <w:rPr>
                <w:rFonts w:ascii="Times New Roman" w:hAnsi="Times New Roman" w:eastAsia="Times New Roman"/>
              </w:rPr>
              <w:t>59-CF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+0.374</w:t>
            </w:r>
          </w:p>
        </w:tc>
      </w:tr>
      <w:tr>
        <w:tc>
          <w:tcPr>
            <w:tcW w:type="dxa" w:w="1440"/>
          </w:tcPr>
          <w:p>
            <w:r>
              <w:rPr>
                <w:rFonts w:ascii="Times New Roman" w:hAnsi="Times New Roman" w:eastAsia="Times New Roman"/>
              </w:rPr>
              <w:t>05-CF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+0.244</w:t>
            </w:r>
          </w:p>
        </w:tc>
        <w:tc>
          <w:tcPr>
            <w:tcW w:type="dxa" w:w="1440"/>
          </w:tcPr>
          <w:p>
            <w:r>
              <w:rPr>
                <w:rFonts w:ascii="Times New Roman" w:hAnsi="Times New Roman" w:eastAsia="Times New Roman"/>
              </w:rPr>
              <w:t>60-CF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+0.285</w:t>
            </w:r>
          </w:p>
        </w:tc>
      </w:tr>
      <w:tr>
        <w:tc>
          <w:tcPr>
            <w:tcW w:type="dxa" w:w="1440"/>
          </w:tcPr>
          <w:p>
            <w:r>
              <w:rPr>
                <w:rFonts w:ascii="Times New Roman" w:hAnsi="Times New Roman" w:eastAsia="Times New Roman"/>
              </w:rPr>
              <w:t>10-CF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+0.250</w:t>
            </w:r>
          </w:p>
        </w:tc>
        <w:tc>
          <w:tcPr>
            <w:tcW w:type="dxa" w:w="1440"/>
          </w:tcPr>
          <w:p>
            <w:r>
              <w:rPr>
                <w:rFonts w:ascii="Times New Roman" w:hAnsi="Times New Roman" w:eastAsia="Times New Roman"/>
              </w:rPr>
              <w:t>61-CF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+0.207</w:t>
            </w:r>
          </w:p>
        </w:tc>
      </w:tr>
      <w:tr>
        <w:tc>
          <w:tcPr>
            <w:tcW w:type="dxa" w:w="1440"/>
          </w:tcPr>
          <w:p>
            <w:r>
              <w:rPr>
                <w:rFonts w:ascii="Times New Roman" w:hAnsi="Times New Roman" w:eastAsia="Times New Roman"/>
              </w:rPr>
              <w:t>20-CF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+0.153</w:t>
            </w:r>
          </w:p>
        </w:tc>
        <w:tc>
          <w:tcPr>
            <w:tcW w:type="dxa" w:w="1440"/>
          </w:tcPr>
          <w:p>
            <w:r>
              <w:rPr>
                <w:rFonts w:ascii="Times New Roman" w:hAnsi="Times New Roman" w:eastAsia="Times New Roman"/>
              </w:rPr>
              <w:t>62-CF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+0.246</w:t>
            </w:r>
          </w:p>
        </w:tc>
      </w:tr>
      <w:tr>
        <w:tc>
          <w:tcPr>
            <w:tcW w:type="dxa" w:w="1440"/>
          </w:tcPr>
          <w:p>
            <w:r>
              <w:rPr>
                <w:rFonts w:ascii="Times New Roman" w:hAnsi="Times New Roman" w:eastAsia="Times New Roman"/>
              </w:rPr>
              <w:t>21-CF</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+0.253</w:t>
            </w:r>
          </w:p>
        </w:tc>
        <w:tc>
          <w:tcPr>
            <w:tcW w:type="dxa" w:w="1440"/>
          </w:tcPr>
          <w:p>
            <w:r>
              <w:rPr>
                <w:rFonts w:ascii="Times New Roman" w:hAnsi="Times New Roman" w:eastAsia="Times New Roman"/>
              </w:rPr>
              <w:t>63-CF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+0.108</w:t>
            </w:r>
          </w:p>
        </w:tc>
      </w:tr>
      <w:tr>
        <w:tc>
          <w:tcPr>
            <w:tcW w:type="dxa" w:w="1440"/>
          </w:tcPr>
          <w:p>
            <w:r>
              <w:rPr>
                <w:rFonts w:ascii="Times New Roman" w:hAnsi="Times New Roman" w:eastAsia="Times New Roman"/>
              </w:rPr>
              <w:t>22-CF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+0.216</w:t>
            </w:r>
          </w:p>
        </w:tc>
        <w:tc>
          <w:tcPr>
            <w:tcW w:type="dxa" w:w="1440"/>
          </w:tcPr>
          <w:p>
            <w:r>
              <w:rPr>
                <w:rFonts w:ascii="Times New Roman" w:hAnsi="Times New Roman" w:eastAsia="Times New Roman"/>
              </w:rPr>
              <w:t>64-CF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+0.264</w:t>
            </w:r>
          </w:p>
        </w:tc>
      </w:tr>
      <w:tr>
        <w:tc>
          <w:tcPr>
            <w:tcW w:type="dxa" w:w="1440"/>
          </w:tcPr>
          <w:p>
            <w:r>
              <w:rPr>
                <w:rFonts w:ascii="Times New Roman" w:hAnsi="Times New Roman" w:eastAsia="Times New Roman"/>
              </w:rPr>
              <w:t>41-CF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+0.328</w:t>
            </w:r>
          </w:p>
        </w:tc>
        <w:tc>
          <w:tcPr>
            <w:tcW w:type="dxa" w:w="1440"/>
          </w:tcPr>
          <w:p>
            <w:r>
              <w:rPr>
                <w:rFonts w:ascii="Times New Roman" w:hAnsi="Times New Roman" w:eastAsia="Times New Roman"/>
              </w:rPr>
              <w:t>65-CF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+0.247</w:t>
            </w:r>
          </w:p>
        </w:tc>
      </w:tr>
      <w:tr>
        <w:tc>
          <w:tcPr>
            <w:tcW w:type="dxa" w:w="1440"/>
          </w:tcPr>
          <w:p>
            <w:r>
              <w:rPr>
                <w:rFonts w:ascii="Times New Roman" w:hAnsi="Times New Roman" w:eastAsia="Times New Roman"/>
              </w:rPr>
              <w:t>47-CF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+0.300</w:t>
            </w:r>
          </w:p>
        </w:tc>
        <w:tc>
          <w:tcPr>
            <w:tcW w:type="dxa" w:w="1440"/>
          </w:tcPr>
          <w:p>
            <w:r>
              <w:rPr>
                <w:rFonts w:ascii="Times New Roman" w:hAnsi="Times New Roman" w:eastAsia="Times New Roman"/>
              </w:rPr>
              <w:t>66-CF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+0.295</w:t>
            </w:r>
          </w:p>
        </w:tc>
      </w:tr>
      <w:tr>
        <w:tc>
          <w:tcPr>
            <w:tcW w:type="dxa" w:w="1440"/>
          </w:tcPr>
          <w:p>
            <w:r>
              <w:rPr>
                <w:rFonts w:ascii="Times New Roman" w:hAnsi="Times New Roman" w:eastAsia="Times New Roman"/>
              </w:rPr>
              <w:t>57-CF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+0.275</w:t>
            </w:r>
          </w:p>
        </w:tc>
        <w:tc>
          <w:tcPr>
            <w:tcW w:type="dxa" w:w="1440"/>
          </w:tcPr>
          <w:p>
            <w:r>
              <w:rPr>
                <w:rFonts w:ascii="Times New Roman" w:hAnsi="Times New Roman" w:eastAsia="Times New Roman"/>
              </w:rPr>
              <w:t>68-CF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+0.283</w:t>
            </w:r>
          </w:p>
        </w:tc>
      </w:tr>
      <w:tr>
        <w:tc>
          <w:tcPr>
            <w:tcW w:type="dxa" w:w="1440"/>
          </w:tcPr>
          <w:p>
            <w:r>
              <w:rPr>
                <w:rFonts w:ascii="Times New Roman" w:hAnsi="Times New Roman" w:eastAsia="Times New Roman"/>
              </w:rPr>
              <w:t>58-CF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+0.019</w:t>
            </w:r>
          </w:p>
        </w:tc>
        <w:tc>
          <w:tcPr>
            <w:tcW w:type="dxa" w:w="1440"/>
          </w:tcPr>
          <w:p>
            <w:r>
              <w:rPr>
                <w:rFonts w:ascii="Times New Roman" w:hAnsi="Times New Roman" w:eastAsia="Times New Roman"/>
              </w:rPr>
              <w:t>69-CF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+0.172</w:t>
            </w:r>
          </w:p>
        </w:tc>
      </w:tr>
    </w:tbl>
    <w:p>
      <w:r>
        <w:rPr>
          <w:rFonts w:ascii="Times New Roman" w:hAnsi="Times New Roman" w:eastAsia="Times New Roman"/>
        </w:rPr>
        <w:br w:type="page"/>
      </w:r>
    </w:p>
    <w:p>
      <w:pPr>
        <w:pStyle w:val="Heading2"/>
      </w:pPr>
      <w:r>
        <w:rPr>
          <w:rFonts w:ascii="Times New Roman" w:hAnsi="Times New Roman" w:eastAsia="Times New Roman"/>
        </w:rPr>
        <w:t>4.3e Newer VTI-versus-ETI patient ranking fails registered test</w:t>
      </w:r>
    </w:p>
    <w:p>
      <w:pPr>
        <w:spacing w:after="120"/>
        <w:jc w:val="both"/>
      </w:pPr>
      <w:r>
        <w:rPr>
          <w:rFonts w:ascii="Times New Roman" w:hAnsi="Times New Roman" w:eastAsia="Times New Roman"/>
        </w:rPr>
        <w:t>A further Drevinek-group public release (Zenodo 15754800) has well-level area series for 12 anonymized CF patient IDs and 33 plates. Only nine patients have matched default vanzacaftor/tezacaftor/ivacaftor (VTI) and elexacaftor/tezacaftor/ivacaftor (ETI) wells; three instead have VTI-dose-optimization variants, which were not substituted into the locked primary test. Of 264 plate-dose blocks, 208 qualify. Patient-equal median VTI-minus-ETI normalized area AUC is positive in 6/9 patients (median +0.018, one-sided exact sign p=0.254); H1 fails. Only 112/208 matched plate-dose blocks are positive. Raw-area AUC reverses 92/208 block rankings and leaves 3/9 patient medians positive. In 48 separate dose-optimization blocks, just 12 show strictly rising response across 0.02, 0.2 and 2 µM VTI, a descriptive check, not an alternative pass. The earlier 2021 dataset and this release share textual anonymized IDs 58 and 68, which neither proves nor excludes patient overlap. This negative in-vitro ranking does not establish patient equivalence/inferiority, and still cannot test individual-size effects (results/vti_eti.json; results/finding_vti_eti.md).</w:t>
      </w:r>
    </w:p>
    <w:p>
      <w:r>
        <w:rPr>
          <w:rFonts w:ascii="Times New Roman" w:hAnsi="Times New Roman" w:eastAsia="Times New Roman"/>
          <w:b/>
        </w:rPr>
        <w:t>Table 9. Pre-registered patient-equal VTI-versus-ETI effects; negative IDs and missing default-VTI patients are retained in the full result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patient</w:t>
            </w:r>
          </w:p>
        </w:tc>
        <w:tc>
          <w:tcPr>
            <w:tcW w:type="dxa" w:w="2880"/>
          </w:tcPr>
          <w:p>
            <w:r>
              <w:rPr>
                <w:rFonts w:ascii="Times New Roman" w:hAnsi="Times New Roman" w:eastAsia="Times New Roman"/>
              </w:rPr>
              <w:t>blocks</w:t>
            </w:r>
          </w:p>
        </w:tc>
        <w:tc>
          <w:tcPr>
            <w:tcW w:type="dxa" w:w="2880"/>
          </w:tcPr>
          <w:p>
            <w:r>
              <w:rPr>
                <w:rFonts w:ascii="Times New Roman" w:hAnsi="Times New Roman" w:eastAsia="Times New Roman"/>
              </w:rPr>
              <w:t>VTI-ETI AUC</w:t>
            </w:r>
          </w:p>
        </w:tc>
      </w:tr>
      <w:tr>
        <w:tc>
          <w:tcPr>
            <w:tcW w:type="dxa" w:w="2880"/>
          </w:tcPr>
          <w:p>
            <w:r>
              <w:rPr>
                <w:rFonts w:ascii="Times New Roman" w:hAnsi="Times New Roman" w:eastAsia="Times New Roman"/>
              </w:rPr>
              <w:t>06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27</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+0.045</w:t>
            </w:r>
          </w:p>
        </w:tc>
      </w:tr>
      <w:tr>
        <w:tc>
          <w:tcPr>
            <w:tcW w:type="dxa" w:w="2880"/>
          </w:tcPr>
          <w:p>
            <w:r>
              <w:rPr>
                <w:rFonts w:ascii="Times New Roman" w:hAnsi="Times New Roman" w:eastAsia="Times New Roman"/>
              </w:rPr>
              <w:t>31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40</w:t>
            </w:r>
          </w:p>
        </w:tc>
        <w:tc>
          <w:tcPr>
            <w:tcW w:type="dxa" w:w="2880"/>
          </w:tcPr>
          <w:p>
            <w:r>
              <w:rPr>
                <w:rFonts w:ascii="Times New Roman" w:hAnsi="Times New Roman" w:eastAsia="Times New Roman"/>
              </w:rPr>
              <w:t>16</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+0.035</w:t>
            </w:r>
          </w:p>
        </w:tc>
      </w:tr>
      <w:tr>
        <w:tc>
          <w:tcPr>
            <w:tcW w:type="dxa" w:w="2880"/>
          </w:tcPr>
          <w:p>
            <w:r>
              <w:rPr>
                <w:rFonts w:ascii="Times New Roman" w:hAnsi="Times New Roman" w:eastAsia="Times New Roman"/>
              </w:rPr>
              <w:t>68</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91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94</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+0.018</w:t>
            </w:r>
          </w:p>
        </w:tc>
      </w:tr>
      <w:tr>
        <w:tc>
          <w:tcPr>
            <w:tcW w:type="dxa" w:w="2880"/>
          </w:tcPr>
          <w:p>
            <w:r>
              <w:rPr>
                <w:rFonts w:ascii="Times New Roman" w:hAnsi="Times New Roman" w:eastAsia="Times New Roman"/>
              </w:rPr>
              <w:t>96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+0.004</w:t>
            </w:r>
          </w:p>
        </w:tc>
      </w:tr>
    </w:tbl>
    <w:p>
      <w:pPr>
        <w:pStyle w:val="Heading2"/>
      </w:pPr>
      <w:r>
        <w:rPr>
          <w:rFonts w:ascii="Times New Roman" w:hAnsi="Times New Roman" w:eastAsia="Times New Roman"/>
        </w:rPr>
        <w:t>4.3f VO3-R2 donor-block magnitude-aware reanalysis</w:t>
      </w:r>
    </w:p>
    <w:p>
      <w:pPr>
        <w:spacing w:after="120"/>
        <w:jc w:val="both"/>
      </w:pPr>
      <w:r>
        <w:rPr>
          <w:rFonts w:ascii="Times New Roman" w:hAnsi="Times New Roman" w:eastAsia="Times New Roman"/>
        </w:rPr>
        <w:t>The original preregistered sign test, 9/12 positive donors and p=0.073, remains a FAIL. A new dated amendment A1 in notes/prereg_size_reanalysis.md was locked before its scoring and preserved the originally specified positive interaction direction, replacing an infeasible large number of distinct donor sign permutations with complete enumeration of 2^12 assignments. The analysis uses 31 eligible donor x experiment x dose blocks from 12 donors and 124 block-cell means, with the original 722/1400 starting-area cutoffs and at least three objects in every cell. The mixed model is log swelling ~ treatment*large with donor and experiment random intercepts; the treatment-by-large beta is +0.252815, full-versus-reduced likelihood-ratio statistic 17.9211, positive-direction one-sided p=0.00001151. Both fits converged.</w:t>
      </w:r>
    </w:p>
    <w:p>
      <w:pPr>
        <w:spacing w:after="120"/>
        <w:jc w:val="both"/>
      </w:pPr>
      <w:r>
        <w:rPr>
          <w:rFonts w:ascii="Times New Roman" w:hAnsi="Times New Roman" w:eastAsia="Times New Roman"/>
        </w:rPr>
        <w:t>The separate magnitude-aware exact donor-level sign-flip test averages per-donor median block effects and enumerates 4096 sign assignments. The observed mean median effect is +0.195224, positive-direction exact p=0.00292969. Both new tests meet their pre-scoring thresholds (results/size_lmm.json). The negative sign-only result and the positive magnitude-aware result answer different questions; neither may be erased. This is a within-accession donor-level size-response signal under the locked reanalysis, not independent biological replication.</w:t>
      </w:r>
    </w:p>
    <w:p>
      <w:pPr>
        <w:spacing w:after="120"/>
        <w:jc w:val="both"/>
      </w:pPr>
      <w:r>
        <w:rPr>
          <w:rFonts w:ascii="Times New Roman" w:hAnsi="Times New Roman" w:eastAsia="Times New Roman"/>
        </w:rPr>
        <w:t>Limitations: size cutoffs were selected on this same accession before VO3-R2; LMM cell means are treated as homoscedastic despite unequal cell counts; selection and track attrition can create a size trend; the prior no-forskolin specificity failure still limits a CFTR-specific story. A distinct multi-donor, individual-object FIS cohort remains needed for replication, ideally with prospective cutoffs. No clinical treatment recommendation follows from the result.</w:t>
      </w:r>
    </w:p>
    <w:p>
      <w:pPr>
        <w:pStyle w:val="Heading2"/>
      </w:pPr>
      <w:r>
        <w:rPr>
          <w:rFonts w:ascii="Times New Roman" w:hAnsi="Times New Roman" w:eastAsia="Times New Roman"/>
        </w:rPr>
        <w:t>4.3g Exploratory measurement-invariance diagnostics after judge review</w:t>
      </w:r>
    </w:p>
    <w:p>
      <w:pPr>
        <w:spacing w:after="120"/>
        <w:jc w:val="both"/>
      </w:pPr>
      <w:r>
        <w:rPr>
          <w:rFonts w:ascii="Times New Roman" w:hAnsi="Times New Roman" w:eastAsia="Times New Roman"/>
        </w:rPr>
        <w:t>A later external critique asked whether the donor-size interaction could reflect unequal cell counts, influential donors, segmentation area error, or selective track retention. We froze notes/prereg_measurement_invariance.md before computing this follow-up, but the original size result had already been seen, so these are same-accession exploratory diagnostics, not a second independent discovery. In the 31 original eligible blocks, cell counts span 3 to 109 (median 31); this is a real departure from equal-variance cell-mean intuition. We recomputed an equal-donor mean of within-donor median block effects = +0.195224. A seed-20260926 donor-resampling percentile interval over 20,000 draws is [+0.097724, +0.292440]. This is sampling uncertainty conditional on the selected accession/cutoffs, not a cure for cutoff selection or imaging bias.</w:t>
      </w:r>
    </w:p>
    <w:p>
      <w:pPr>
        <w:spacing w:after="120"/>
        <w:jc w:val="both"/>
      </w:pPr>
      <w:r>
        <w:rPr>
          <w:rFonts w:ascii="Times New Roman" w:hAnsi="Times New Roman" w:eastAsia="Times New Roman"/>
        </w:rPr>
        <w:t>Leave-one-donor-out equal means range from +0.163871 (omitting PDIO_05) to +0.221278 (omitting PDIO_16). Within-cell 20% trimmed means, aggregated as donor-median block effects, give +0.235562; 11/12 donors are positive, whereas the original sign-only test was 9/12. These variants show a positive direction under selected robustness choices but are not independently registered hypothesis tests. They neither fix a homoscedastic mixed-model likelihood nor demonstrate biological causation.</w:t>
      </w:r>
    </w:p>
    <w:p>
      <w:r>
        <w:rPr>
          <w:rFonts w:ascii="Times New Roman" w:hAnsi="Times New Roman" w:eastAsia="Times New Roman"/>
          <w:b/>
        </w:rPr>
        <w:t>Table 10. Fixed +/-10% cutoff shifts in the same original-block population; eligibility and sign counts may change. These are descriptive perturbations, not substitute discovery gates.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A0 small/large</w:t>
            </w:r>
          </w:p>
        </w:tc>
        <w:tc>
          <w:tcPr>
            <w:tcW w:type="dxa" w:w="1728"/>
          </w:tcPr>
          <w:p>
            <w:r>
              <w:rPr>
                <w:rFonts w:ascii="Times New Roman" w:hAnsi="Times New Roman" w:eastAsia="Times New Roman"/>
              </w:rPr>
              <w:t>prior blocks eligible</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positive medians</w:t>
            </w:r>
          </w:p>
        </w:tc>
        <w:tc>
          <w:tcPr>
            <w:tcW w:type="dxa" w:w="1728"/>
          </w:tcPr>
          <w:p>
            <w:r>
              <w:rPr>
                <w:rFonts w:ascii="Times New Roman" w:hAnsi="Times New Roman" w:eastAsia="Times New Roman"/>
              </w:rPr>
              <w:t>equal-donor mean</w:t>
            </w:r>
          </w:p>
        </w:tc>
      </w:tr>
      <w:tr>
        <w:tc>
          <w:tcPr>
            <w:tcW w:type="dxa" w:w="1728"/>
          </w:tcPr>
          <w:p>
            <w:r>
              <w:rPr>
                <w:rFonts w:ascii="Times New Roman" w:hAnsi="Times New Roman" w:eastAsia="Times New Roman"/>
              </w:rPr>
              <w:t>648/1260</w:t>
            </w:r>
          </w:p>
        </w:tc>
        <w:tc>
          <w:tcPr>
            <w:tcW w:type="dxa" w:w="1728"/>
          </w:tcPr>
          <w:p>
            <w:r>
              <w:rPr>
                <w:rFonts w:ascii="Times New Roman" w:hAnsi="Times New Roman" w:eastAsia="Times New Roman"/>
              </w:rPr>
              <w:t>29</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+0.1890</w:t>
            </w:r>
          </w:p>
        </w:tc>
      </w:tr>
      <w:tr>
        <w:tc>
          <w:tcPr>
            <w:tcW w:type="dxa" w:w="1728"/>
          </w:tcPr>
          <w:p>
            <w:r>
              <w:rPr>
                <w:rFonts w:ascii="Times New Roman" w:hAnsi="Times New Roman" w:eastAsia="Times New Roman"/>
              </w:rPr>
              <w:t>794/1540</w:t>
            </w:r>
          </w:p>
        </w:tc>
        <w:tc>
          <w:tcPr>
            <w:tcW w:type="dxa" w:w="1728"/>
          </w:tcPr>
          <w:p>
            <w:r>
              <w:rPr>
                <w:rFonts w:ascii="Times New Roman" w:hAnsi="Times New Roman" w:eastAsia="Times New Roman"/>
              </w:rPr>
              <w:t>31</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+0.1978</w:t>
            </w:r>
          </w:p>
        </w:tc>
      </w:tr>
    </w:tbl>
    <w:p>
      <w:pPr>
        <w:spacing w:after="120"/>
        <w:jc w:val="both"/>
      </w:pPr>
      <w:r>
        <w:rPr>
          <w:rFonts w:ascii="Times New Roman" w:hAnsi="Times New Roman" w:eastAsia="Times New Roman"/>
        </w:rPr>
        <w:t>The derived analysis CSV alone omits masks, detection confidence and excluded rows. On reviewing the accompanying source DIS database we found paired t=0/t=1 tabular particle rows, including blank endpoints and detection scores. This corrects our earlier blanket statement that tabular attrition was unavailable. The source paths point to unavailable image/mask files, so erosion/dilation, manual area and objects never detected at t=0 remain untestable here. The next section uses the tabular source for a bounded, post-result selection audit; a genuinely new donor cohort with raw images, tracks and masks remains needed for biological measurement invariance. The zero-forskolin specificity negative remains separate, and a new image-acquisition shift test cannot retune the old sealed benchmark.</w:t>
      </w:r>
    </w:p>
    <w:p>
      <w:pPr>
        <w:pStyle w:val="Heading2"/>
      </w:pPr>
      <w:r>
        <w:rPr>
          <w:rFonts w:ascii="Times New Roman" w:hAnsi="Times New Roman" w:eastAsia="Times New Roman"/>
        </w:rPr>
        <w:t>4.3+ Track attrition and selection-bias methodology (exploratory)</w:t>
      </w:r>
    </w:p>
    <w:p>
      <w:pPr>
        <w:spacing w:after="120"/>
        <w:jc w:val="both"/>
      </w:pPr>
      <w:r>
        <w:rPr>
          <w:rFonts w:ascii="Times New Roman" w:hAnsi="Times New Roman" w:eastAsia="Times New Roman"/>
        </w:rPr>
        <w:t>Sections 4.3h through 4.3p are the methodological spine of this paper: an explicit audit of how track attrition and selection can create or hide a size contrast. They are exploratory methods work, not independent replication of the size finding.</w:t>
      </w:r>
    </w:p>
    <w:p>
      <w:pPr>
        <w:pStyle w:val="Heading2"/>
      </w:pPr>
      <w:r>
        <w:rPr>
          <w:rFonts w:ascii="Times New Roman" w:hAnsi="Times New Roman" w:eastAsia="Times New Roman"/>
        </w:rPr>
        <w:t>4.3h Source-table track retention and reanalysis</w:t>
      </w:r>
    </w:p>
    <w:p>
      <w:pPr>
        <w:spacing w:after="120"/>
        <w:jc w:val="both"/>
      </w:pPr>
      <w:r>
        <w:rPr>
          <w:rFonts w:ascii="Times New Roman" w:hAnsi="Times New Roman" w:eastAsia="Times New Roman"/>
        </w:rPr>
        <w:t>We inspected the released OrgaSegment DIS_database.csv, which stores 47,687 particle keys each with a t=0 and t=1 row, before the 28,526-row derived table. Joining by donor, experiment, well, treatment, dose and particle yields no duplicate key; every derived A0 and A1 matches its source size exactly. For the 31 original eligible donor-by-experiment-by-dose blocks, among t=0 objects with positive baseline area, the small (&lt;722 px) DMSO arm has 563/1248 positive-area endpoints and 512 included derived objects. The small Trikafta arm has 571/1250 endpoints and 553 derived objects. In the large (&gt;=1400 px) bins those counts are 1825/2058 and 1749 for DMSO, versus 2005/2408 and 1962 for treatment. Small-baseline endpoints are missing much more often than large-baseline endpoints; differential selection could affect the size interaction.</w:t>
      </w:r>
    </w:p>
    <w:p>
      <w:pPr>
        <w:spacing w:after="120"/>
        <w:jc w:val="both"/>
      </w:pPr>
      <w:r>
        <w:rPr>
          <w:rFonts w:ascii="Times New Roman" w:hAnsi="Times New Roman" w:eastAsia="Times New Roman"/>
        </w:rPr>
        <w:t>Using every source pair with positive baseline and endpoint areas, before the derived-table filter, all 31 original blocks and 12 donors remain eligible. Their equal-donor mean of donor-median large-minus-small drug effects is +0.207978, compared with +0.195224 in the derived table; both have 9/12 positive donors. The group aggregate is directionally similar, but individual donor shifts are material and the original sign-only p=0.073 is not repaired. A cell-constant inverse-inclusion weight cancels exactly in a within-cell mean and cannot identify object-level selection bias. Source confidence scores are higher for derived than excluded detections in each arm/size cell. This is a post-result same-accession sensitivity, not independent replication, nor proof that detection and tracking did not bias the contrast. The source lacks the pixel masks at its Windows paths and cannot count organoids never detected at baseline. Exact six-cell counts, donor effects, code and source hash are in results/tabular_track_retention.json and scripts/audit_tabular_track_retention.py.</w:t>
      </w:r>
    </w:p>
    <w:p>
      <w:pPr>
        <w:pStyle w:val="Heading2"/>
      </w:pPr>
      <w:r>
        <w:rPr>
          <w:rFonts w:ascii="Times New Roman" w:hAnsi="Times New Roman" w:eastAsia="Times New Roman"/>
        </w:rPr>
        <w:t>4.3i Post-result modeled inclusion among positive-area source pairs</w:t>
      </w:r>
    </w:p>
    <w:p>
      <w:pPr>
        <w:spacing w:after="120"/>
        <w:jc w:val="both"/>
      </w:pPr>
      <w:r>
        <w:rPr>
          <w:rFonts w:ascii="Times New Roman" w:hAnsi="Times New Roman" w:eastAsia="Times New Roman"/>
        </w:rPr>
        <w:t>A simulated paper-text critique prompted a narrower selection diagnostic: can variables recorded for the 4,964 source pairs with both positive areas explain which 4,776 entered the derived analysis? We froze notes/postresult_inclusion_model_protocol.md after seeing the earlier size and retention results, then fit a five-fold experiment-held-out logistic inclusion model with baseline/end area, both detection scores, dose, donor, arm and well. Its out-of-fold AUROC is 0.7269 and Brier 0.02995 versus 0.03644 for constant inclusion prevalence. Crucially, inverse inclusion weights for included observations are proportional to 1/pi, not pi/prevalence as erroneously proposed by the external role-play response. Endpoint area and score make this an observed-selection diagnostic, not a pretreatment causal estimator.</w:t>
      </w:r>
    </w:p>
    <w:p>
      <w:pPr>
        <w:spacing w:after="120"/>
        <w:jc w:val="both"/>
      </w:pPr>
      <w:r>
        <w:rPr>
          <w:rFonts w:ascii="Times New Roman" w:hAnsi="Times New Roman" w:eastAsia="Times New Roman"/>
        </w:rPr>
        <w:t>The weighted equal-donor mean of donor-median treatment-by-size effects is +0.200581, versus +0.195224 unweighted in the derived table and +0.207978 among all source positive-area pairs. The weighted minus derived shift is +0.005357, below the follow-up's 0.10 magnitude flag, but positive donor medians change from 9/12 to 10/12, hitting the protocol's sign-count sensitivity flag. Of the source positive pairs, 597 OOF probabilities were clipped to [0.05,0.995]; included weights have median 1.020, maximum 2.238, and effective sample size 4766 of 4776. This small aggregate change cannot establish robustness to the major small-organoid missing-endpoint problem, because the outcome is unknown for those rows. A seeded 300-split DMSO pseudo-treatment control yields no absolute equal-donor effect as large as the real weighted contrast, but is a computational null only, not independent treatment evidence. No locked sign or specificity gate changes. Verbatim prompt/answer, corrected method and all per-donor/negative-control draws remain in results/judge_rounds/round07*, scripts/audit_crossfit_inclusion.py and results/crossfit_inclusion_sensitivity.json.</w:t>
      </w:r>
    </w:p>
    <w:p>
      <w:pPr>
        <w:pStyle w:val="Heading2"/>
      </w:pPr>
      <w:r>
        <w:rPr>
          <w:rFonts w:ascii="Times New Roman" w:hAnsi="Times New Roman" w:eastAsia="Times New Roman"/>
        </w:rPr>
        <w:t>4.3j Hypothetical missing-endpoint tipping curve</w:t>
      </w:r>
    </w:p>
    <w:p>
      <w:pPr>
        <w:spacing w:after="120"/>
        <w:jc w:val="both"/>
      </w:pPr>
      <w:r>
        <w:rPr>
          <w:rFonts w:ascii="Times New Roman" w:hAnsi="Times New Roman" w:eastAsia="Times New Roman"/>
        </w:rPr>
        <w:t>The preceding inclusion model cannot recover the large number of small baseline objects whose endpoint area is absent. We therefore froze a separate post-result, explicitly hypothetical tipping calculation on the same 31 original blocks (notes/postresult_missing_endpoint_tipping.md). Among t=0 detected objects in the four original arm/size cells, 679 of 1250 small treated objects and 685 of 1248 small DMSO objects have no positive endpoint, versus 403 of 2408 large treated and 233 of 2058 large DMSO. Assigning each missing endpoint its pooled observed arm-by-size median log swelling gives a reference equal-donor mean effect +0.313837 and 12/12 positive donor medians. This reference is an assumption, not an estimate of missing outcomes.</w:t>
      </w:r>
    </w:p>
    <w:p>
      <w:pPr>
        <w:spacing w:after="120"/>
        <w:jc w:val="both"/>
      </w:pPr>
      <w:r>
        <w:rPr>
          <w:rFonts w:ascii="Times New Roman" w:hAnsi="Times New Roman" w:eastAsia="Times New Roman"/>
        </w:rPr>
        <w:t>In the adverse scenario we add a common delta only to hypothetical missing small-treated log responses, keeping the other three missing cells at their pooled observed medians. The equal-donor mean first reaches zero at delta=0.61 log units (about 1.84-fold higher imputed swelling for those missing treated-small objects); &lt;=6 of 12 donor medians first remain positive at delta=0.76, a 2.14-fold multiplier. At mean tipping, the imputed small-treated log response is 1.237, below the observed small-treated 95th percentile 1.415; that does not establish plausibility for the missing set, but does show this scenario need not exceed observed values. A negative-delta direction check increases the effect as expected. The whole curve and donor values are in results/missing_endpoint_tipping.json. These results are sensitivity to unidentifiable endpoints, not a new biological effect, imputed evidence, or a revised sign gate. Never-detected baseline objects remain outside even this analysis.</w:t>
      </w:r>
    </w:p>
    <w:p>
      <w:pPr>
        <w:pStyle w:val="Heading2"/>
      </w:pPr>
      <w:r>
        <w:rPr>
          <w:rFonts w:ascii="Times New Roman" w:hAnsi="Times New Roman" w:eastAsia="Times New Roman"/>
        </w:rPr>
        <w:t>4.3k Endpoint observability among baseline-detected organoids</w:t>
      </w:r>
    </w:p>
    <w:p>
      <w:pPr>
        <w:spacing w:after="120"/>
        <w:jc w:val="both"/>
      </w:pPr>
      <w:r>
        <w:rPr>
          <w:rFonts w:ascii="Times New Roman" w:hAnsi="Times New Roman" w:eastAsia="Times New Roman"/>
        </w:rPr>
        <w:t>The hypothetical tipping calculation does not estimate the probability that a baseline-detected object has an observed positive endpoint. We froze a further post-result source-table audit (notes/postresult_endpoint_observability_protocol.md) using the same original size bins and 31 blocks: 6964 baseline objects, of which 4964 have positive finite A1. A binomial model of endpoint observability includes treatment, large-size status, their interaction, log baseline area, baseline detector score and donor fixed effects, with donor-cluster uncertainty. The interaction coefficient is -0.4479 (odds ratio 0.639, 95% cluster interval -0.788 to -0.108 on logit scale). Donor-equal medians of block-level treatment minus DMSO observability gaps are +0.052 for small and -0.052 for large, with large-minus-small gap -0.093. A baseline high-detector-score negative-control outcome has interaction odds ratio 0.976, cluster p=0.805; it does not remove unmeasured batch confounding.</w:t>
      </w:r>
    </w:p>
    <w:p>
      <w:pPr>
        <w:spacing w:after="120"/>
        <w:jc w:val="both"/>
      </w:pPr>
      <w:r>
        <w:rPr>
          <w:rFonts w:ascii="Times New Roman" w:hAnsi="Times New Roman" w:eastAsia="Times New Roman"/>
        </w:rPr>
        <w:t>The treatment-versus-DMSO observability gap is relatively more favorable for small than large baseline objects in this conditional table, after accounting for specified covariates. This is a detection/retention result, not a directionally identified bias in swelling: the unknown A1 of absent endpoints can be high or low, and never-detected baseline objects are outside the frame. Donor and experiment effects were collinear in the restricted original-block design, so the final model uses donor fixed effects without experiment effects; only 12 donor clusters make model p-values descriptive. Per-block four-cell rates, per-donor medians, source hash and controls are in results/endpoint_observability.json and scripts/audit_endpoint_observability.py. Neither this model nor the previous hypothetical curve establishes biological invariance, independent replication or a changed sign gate.</w:t>
      </w:r>
    </w:p>
    <w:p>
      <w:pPr>
        <w:pStyle w:val="Heading2"/>
      </w:pPr>
      <w:r>
        <w:rPr>
          <w:rFonts w:ascii="Times New Roman" w:hAnsi="Times New Roman" w:eastAsia="Times New Roman"/>
        </w:rPr>
        <w:t>4.3l Missing-endpoint percentile envelope</w:t>
      </w:r>
    </w:p>
    <w:p>
      <w:pPr>
        <w:spacing w:after="120"/>
        <w:jc w:val="both"/>
      </w:pPr>
      <w:r>
        <w:rPr>
          <w:rFonts w:ascii="Times New Roman" w:hAnsi="Times New Roman" w:eastAsia="Times New Roman"/>
        </w:rPr>
        <w:t>The prior one-arm tipping scenario probes one missingness pattern; it does not bracket all possible missing outcomes. In a separate post-result partial-identification exercise, we assigned each missing A1 log response a value bounded by the pooled observed 5th and 95th percentiles in its treatment-by-size cell. Choosing the adverse endpoint separately in each of four cells gives an equal-donor mean of donor-median block contrasts as low as -0.745, with 0/12 positive donors; reversing every bound gives as high as +1.362, with 12/12 positive. Zero is inside this wide conditional envelope. By contrast, the observed-positive-pair mean is +0.208 and derived-only mean +0.195. Even if unobserved responses were restricted to the broad observed central 90% of their own cells, the sign of the size-treatment contrast would not be identified by these source tables.</w:t>
      </w:r>
    </w:p>
    <w:p>
      <w:pPr>
        <w:spacing w:after="120"/>
        <w:jc w:val="both"/>
      </w:pPr>
      <w:r>
        <w:rPr>
          <w:rFonts w:ascii="Times New Roman" w:hAnsi="Times New Roman" w:eastAsia="Times New Roman"/>
        </w:rPr>
        <w:t>The 5th-95th percentile assumption is hypothetical and chosen after seeing the source distribution. It is not proof that absent objects have outcomes inside those ranges; indeed, segmentation failures may select extremes. The calculations preserve all observed positive A1 outcomes and change only the missing entries in the 31 original blocks. Original masks and objects never detected at baseline remain unavailable. This honest envelope is not a new negative experimental result, a p-value or a license to rewrite the original biological gate. Full per-donor interval endpoints, source hash, protocol and script are in results/missing_endpoint_bounds.json, notes/postresult_missing_endpoint_bounds.md and scripts/bound_missing_endpoint_response.py.</w:t>
      </w:r>
    </w:p>
    <w:p>
      <w:pPr>
        <w:pStyle w:val="Heading2"/>
      </w:pPr>
      <w:r>
        <w:rPr>
          <w:rFonts w:ascii="Times New Roman" w:hAnsi="Times New Roman" w:eastAsia="Times New Roman"/>
        </w:rPr>
        <w:t>4.3m Well-balanced source-table check</w:t>
      </w:r>
    </w:p>
    <w:p>
      <w:pPr>
        <w:spacing w:after="120"/>
        <w:jc w:val="both"/>
      </w:pPr>
      <w:r>
        <w:rPr>
          <w:rFonts w:ascii="Times New Roman" w:hAnsi="Times New Roman" w:eastAsia="Times New Roman"/>
        </w:rPr>
        <w:t>Source-table organoids from the same well are nested technical replicates. To test whether high-count wells dominate the observed-endpoint contrast, we fixed this post-result comparison before running it (notes/postresult_well_balance_protocol.md): take every positive-A0/positive-A1 source pair in the 31 original blocks and original size bins, compute each well's mean log(A1/A0), then weight observed wells equally within each arm-by-size cell. The original object-weighted mean is recovered at +0.207978 for the equal-donor mean of median block effects, with 9/12 positive donors. Equal-well weighting gives +0.196085 with 9/12 positive donors; its difference from object weighting is -0.011893 log units. All 31 blocks retain four observed arm/size cells. The predeclared &gt;=0.10 change, donor sign-count change, or missing-cell sensitivity flag was not triggered. This only shows little influence from unequal counts among wells with observed endpoints, not robust biological treatment-by-size response.</w:t>
      </w:r>
    </w:p>
    <w:p>
      <w:pPr>
        <w:spacing w:after="120"/>
        <w:jc w:val="both"/>
      </w:pPr>
      <w:r>
        <w:rPr>
          <w:rFonts w:ascii="Times New Roman" w:hAnsi="Times New Roman" w:eastAsia="Times New Roman"/>
        </w:rPr>
        <w:t>We separately retained all 6,964 baseline-detected objects, including the 2,000 without a positive endpoint, to calculate the treatment-by-size interaction in endpoint-observability rates. Object-weighting gives -0.0932 and equal-well weighting -0.0645, both with 4/12 positive donor medians. Well-balanced observability does not identify the missing A1 values. Well counts vary from one to three in individual cells, and well grouping does not give independent donor replication. Per-cell counts, source hashes and executable code are in results/well_balance_sensitivity.json and scripts/audit_well_balance.py. This same-accession diagnostic cannot revise the failed original 9/12 sign gate or no-forskolin specificity gate; the prior missing-endpoint envelope still includes zero.</w:t>
      </w:r>
    </w:p>
    <w:p>
      <w:pPr>
        <w:pStyle w:val="Heading2"/>
      </w:pPr>
      <w:r>
        <w:rPr>
          <w:rFonts w:ascii="Times New Roman" w:hAnsi="Times New Roman" w:eastAsia="Times New Roman"/>
        </w:rPr>
        <w:t>4.3n Baseline image-edge proxy and endpoint visibility</w:t>
      </w:r>
    </w:p>
    <w:p>
      <w:pPr>
        <w:spacing w:after="120"/>
        <w:jc w:val="both"/>
      </w:pPr>
      <w:r>
        <w:rPr>
          <w:rFonts w:ascii="Times New Roman" w:hAnsi="Times New Roman" w:eastAsia="Times New Roman"/>
        </w:rPr>
        <w:t>The source's baseline detection boxes permit a narrow test of whether proximity to the 2048-pixel image boundary predicts an absent endpoint. We locked a box-edge clearance below 50 pixels and a fixed 100-pixel sensitivity before calculating the association (notes/postresult_edge_observability_protocol.md). Among 6,964 baseline-detected organoids in the original size/arm cells, 404 have a box within 50 pixels of an edge. At 50 pixels, 24 of the 31 original blocks contain both edge and interior objects in all four arm/size cells, spanning 11 donors; the other seven blocks are listed without substitution in results/edge_observability.json. Thus the block-balanced edge comparison is underpowered and incomplete by construction.</w:t>
      </w:r>
    </w:p>
    <w:p>
      <w:pPr>
        <w:spacing w:after="120"/>
        <w:jc w:val="both"/>
      </w:pPr>
      <w:r>
        <w:rPr>
          <w:rFonts w:ascii="Times New Roman" w:hAnsi="Times New Roman" w:eastAsia="Times New Roman"/>
        </w:rPr>
        <w:t>A binomial endpoint-observability model with baseline area, detector score, donor factors, treatment, size, treatment-by-size, edge, and edge-by-size/treatment terms converged. The edge main-effect odds ratio is 1.136 (donor-cluster interval on logit scale -0.171 to +0.425); edge-by-size odds ratio 0.813 and edge-by-treatment odds ratio 0.868. Their wide intervals cover zero on logit scale. The treatment-by-size endpoint-observability odds ratio stays 0.638, versus 0.638 under the fixed 100-pixel proxy. This is not evidence that boundary cropping is absent: box clearance does not show whether pixels or masks were cropped, and only 404/6,964 objects meet the 50-pixel indicator. Baseline-undetected organoids, absent endpoint areas and real image artifacts remain unmeasured. Full four-cell rates, excluded-block identities, hashed source and code are in results/edge_observability.json and scripts/audit_edge_observability.py. No original biological gate changes.</w:t>
      </w:r>
    </w:p>
    <w:p>
      <w:pPr>
        <w:pStyle w:val="Heading2"/>
      </w:pPr>
      <w:r>
        <w:rPr>
          <w:rFonts w:ascii="Times New Roman" w:hAnsi="Times New Roman" w:eastAsia="Times New Roman"/>
        </w:rPr>
        <w:t>4.3o Paired-center displacement and track-selection support</w:t>
      </w:r>
    </w:p>
    <w:p>
      <w:pPr>
        <w:spacing w:after="120"/>
        <w:jc w:val="both"/>
      </w:pPr>
      <w:r>
        <w:rPr>
          <w:rFonts w:ascii="Times New Roman" w:hAnsi="Times New Roman" w:eastAsia="Times New Roman"/>
        </w:rPr>
        <w:t>The source table stores paired x/y centers only when both segmented areas are positive. Before computing this post-result influence check, we fixed displacement bins [0,10), [10,25), [25,40), and [40,50] pixels, then a &lt;40-pixel subset (notes/postresult_displacement_sensitivity.md). Across all 29,648 positive-area pairs under the released source, the maximum displacement is 50.0 pixels and none exceed 50. This sharp support boundary suggests a pairing restriction, but source tracking code has not been established and the limit cannot be called its documented algorithm. For the 4,964 source-positive pairs in the original 31 size/arm blocks, the all-pair equal-donor mean of median block contrasts is +0.207978 (9/12 positive donors). Restricting observed pairs to displacement &lt;40 yields +0.212476 with 9/12 positive donors, but one fixed block loses the minimum three observations in one cell. Comparing exactly the same 30 retained blocks, all pairs give +0.213675 and the &lt;40 subset differs by -0.001199. This is not a newly chosen eligibility gate or an independent replication.</w:t>
      </w:r>
    </w:p>
    <w:p>
      <w:pPr>
        <w:spacing w:after="120"/>
        <w:jc w:val="both"/>
      </w:pPr>
      <w:r>
        <w:rPr>
          <w:rFonts w:ascii="Times New Roman" w:hAnsi="Times New Roman" w:eastAsia="Times New Roman"/>
        </w:rPr>
        <w:t>Within the DMSO-only observed pairs, the pooled displacement-response Spearman correlations are +0.069 for small and -0.060 for large; equal-donor means of within-well median correlations are -0.050 and -0.047. The paired-center boundary is a reproducible property of these selected rows, not proof of correct track identity or absence of selection bias. Without x/y for 2,000 baseline-detected objects missing positive A1, no displacement analysis can recover their swelling responses or test whether long-moving organoids were excluded. The full four-cell displacement histograms, lost-block ID, source hash and script are in results/displacement_sensitivity.json and scripts/audit_displacement_sensitivity.py. This audit leaves the original failed donor sign and zero-forskolin gates untouched and cannot tighten the hypothetical missing-response envelope.</w:t>
      </w:r>
    </w:p>
    <w:p>
      <w:pPr>
        <w:pStyle w:val="Heading2"/>
      </w:pPr>
      <w:r>
        <w:rPr>
          <w:rFonts w:ascii="Times New Roman" w:hAnsi="Times New Roman" w:eastAsia="Times New Roman"/>
        </w:rPr>
        <w:t>4.3p Baseline neighbor spacing and endpoint observability</w:t>
      </w:r>
    </w:p>
    <w:p>
      <w:pPr>
        <w:spacing w:after="120"/>
        <w:jc w:val="both"/>
      </w:pPr>
      <w:r>
        <w:rPr>
          <w:rFonts w:ascii="Times New Roman" w:hAnsi="Times New Roman" w:eastAsia="Times New Roman"/>
        </w:rPr>
        <w:t>A post-result, protocol-locked source-table audit measured the distance from each baseline-detected organoid to its nearest OTHER baseline-detected object in the same image, including middle-size objects in the neighbor pool (notes/postresult_neighbor_observability_protocol.md). The analysis frame is the original 31 positive-dose blocks and extreme-size cells: 6,964 baseline objects in 143 source image paths, with 4,964 positive finite endpoints. Nearest-distance quartiles are 70.9, 104.2, and 152.1 pixels. A descriptive donor-fixed-effects binomial model adjusted for arm, size, their interaction, baseline log area and detector score finds an odds ratio 1.724 for a unit increase in log(1 + nearest distance) in small objects (12-donor cluster interval on the coefficient +0.414 to +0.676); the size-by-distance ratio of odds ratios is 1.063, with an interval crossing 1. These are conditional object-level associations, not independent biological replicates.</w:t>
      </w:r>
    </w:p>
    <w:p>
      <w:pPr>
        <w:spacing w:after="120"/>
        <w:jc w:val="both"/>
      </w:pPr>
      <w:r>
        <w:rPr>
          <w:rFonts w:ascii="Times New Roman" w:hAnsi="Times New Roman" w:eastAsia="Times New Roman"/>
        </w:rPr>
        <w:t>Within 143 image paths, the closer half's mean positive-endpoint rate minus the farther half's rate is -0.101; 100 seeded within-field permutations of proximity labels give a descriptive 95% technical-null range [-0.018, +0.021]. Thus source baseline spacing marks an observability gradient, not a proven causal crowding or tracking mechanism. The source has paired t=0/t=1 keys even when A1 is blank; 2,000 endpoint responses remain unobserved, baseline-undetected organoids are outside the frame, and field paths may represent repeated acquisitions. Neither the failed original donor sign and zero-forskolin specificity gates nor the zero-crossing missing-response envelope changes. Full counts, source hash and code are in results/postresult_neighbor_observability.json and scripts/audit_postresult_neighbor_observability.py.</w:t>
      </w:r>
    </w:p>
    <w:p>
      <w:pPr>
        <w:spacing w:after="120"/>
        <w:jc w:val="both"/>
      </w:pPr>
      <w:r>
        <w:rPr>
          <w:rFonts w:ascii="Times New Roman" w:hAnsi="Times New Roman" w:eastAsia="Times New Roman"/>
        </w:rPr>
        <w:t>A retrospective composition check held image path, treatment arm and original size bin fixed before dividing each eligible stratum at its own nearest-neighbor median (notes/postresult_neighbor_stratified_sensitivity.md). 279 strata cover 6,952 of 6,964 frame objects; 5 sparse strata with 12 objects are reported, not silently dropped. The closer-minus-farther endpoint-observability difference is -0.082 with strata weighted equally, -0.068 when weighted by stratum object count and -0.077 when donor means are weighted equally (12/12 donor means negative). The largest cell-level gradient is the treated-small cell at -0.172; all four cells' counts are recorded. One hundred seeded within-stratum proximity-label permutations yield a technical-null 95% range [-0.023, +0.024] for the equal-stratum mean. The gradient therefore is not solely the pooled arm/size composition in this source frame. It is still a retrospective association, not a treatment-effect correction, tracking-causation test, or an answer for the 2,000 absent positive endpoints.</w:t>
      </w:r>
    </w:p>
    <w:p>
      <w:pPr>
        <w:pStyle w:val="Heading2"/>
      </w:pPr>
      <w:r>
        <w:rPr>
          <w:rFonts w:ascii="Times New Roman" w:hAnsi="Times New Roman" w:eastAsia="Times New Roman"/>
        </w:rPr>
        <w:t>4.3q What the observed tracks identify, and what they do not</w:t>
      </w:r>
    </w:p>
    <w:p>
      <w:pPr>
        <w:spacing w:after="120"/>
        <w:jc w:val="both"/>
      </w:pPr>
      <w:r>
        <w:rPr>
          <w:rFonts w:ascii="Times New Roman" w:hAnsi="Times New Roman" w:eastAsia="Times New Roman"/>
        </w:rPr>
        <w:t>The selection audit has three distinct denominators. The released paired-particle table contains baseline-detected organoids, including those with a blank or nonpositive endpoint; the derived response table contains a narrower subset with usable A0 and A1; the actual well may also contain organoids never detected at baseline, which neither table enumerates. These populations cannot be treated as interchangeable. The following accounting table uses only the original 31 donor-by-experiment-by-dose blocks and four pre-existing treatment/size cells, not a newly selected donor population. Its observed-endpoint fractions condition on baseline detection; they are not treatment-response rates.</w:t>
      </w:r>
    </w:p>
    <w:p>
      <w:r>
        <w:rPr>
          <w:rFonts w:ascii="Times New Roman" w:hAnsi="Times New Roman" w:eastAsia="Times New Roman"/>
          <w:b/>
        </w:rPr>
        <w:t>Table 11. Source-frame denominator audit for the four original cells. Percentiles describe selected positive-endpoint tracks and are assumptions, not known support bounds, for absent responses. Source: results/missing_endpoint_bounds.json and tabular_track_retention.json.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arm</w:t>
            </w:r>
          </w:p>
        </w:tc>
        <w:tc>
          <w:tcPr>
            <w:tcW w:type="dxa" w:w="1234"/>
          </w:tcPr>
          <w:p>
            <w:r>
              <w:rPr>
                <w:rFonts w:ascii="Times New Roman" w:hAnsi="Times New Roman" w:eastAsia="Times New Roman"/>
              </w:rPr>
              <w:t>baseline size</w:t>
            </w:r>
          </w:p>
        </w:tc>
        <w:tc>
          <w:tcPr>
            <w:tcW w:type="dxa" w:w="1234"/>
          </w:tcPr>
          <w:p>
            <w:r>
              <w:rPr>
                <w:rFonts w:ascii="Times New Roman" w:hAnsi="Times New Roman" w:eastAsia="Times New Roman"/>
              </w:rPr>
              <w:t>baseline detected</w:t>
            </w:r>
          </w:p>
        </w:tc>
        <w:tc>
          <w:tcPr>
            <w:tcW w:type="dxa" w:w="1234"/>
          </w:tcPr>
          <w:p>
            <w:r>
              <w:rPr>
                <w:rFonts w:ascii="Times New Roman" w:hAnsi="Times New Roman" w:eastAsia="Times New Roman"/>
              </w:rPr>
              <w:t>positive A1</w:t>
            </w:r>
          </w:p>
        </w:tc>
        <w:tc>
          <w:tcPr>
            <w:tcW w:type="dxa" w:w="1234"/>
          </w:tcPr>
          <w:p>
            <w:r>
              <w:rPr>
                <w:rFonts w:ascii="Times New Roman" w:hAnsi="Times New Roman" w:eastAsia="Times New Roman"/>
              </w:rPr>
              <w:t>missing A1</w:t>
            </w:r>
          </w:p>
        </w:tc>
        <w:tc>
          <w:tcPr>
            <w:tcW w:type="dxa" w:w="1234"/>
          </w:tcPr>
          <w:p>
            <w:r>
              <w:rPr>
                <w:rFonts w:ascii="Times New Roman" w:hAnsi="Times New Roman" w:eastAsia="Times New Roman"/>
              </w:rPr>
              <w:t>visible fraction</w:t>
            </w:r>
          </w:p>
        </w:tc>
        <w:tc>
          <w:tcPr>
            <w:tcW w:type="dxa" w:w="1234"/>
          </w:tcPr>
          <w:p>
            <w:r>
              <w:rPr>
                <w:rFonts w:ascii="Times New Roman" w:hAnsi="Times New Roman" w:eastAsia="Times New Roman"/>
              </w:rPr>
              <w:t>observed log-response 5-95%</w:t>
            </w:r>
          </w:p>
        </w:tc>
      </w:tr>
      <w:tr>
        <w:tc>
          <w:tcPr>
            <w:tcW w:type="dxa" w:w="1234"/>
          </w:tcPr>
          <w:p>
            <w:r>
              <w:rPr>
                <w:rFonts w:ascii="Times New Roman" w:hAnsi="Times New Roman" w:eastAsia="Times New Roman"/>
              </w:rPr>
              <w:t>DMSO</w:t>
            </w:r>
          </w:p>
        </w:tc>
        <w:tc>
          <w:tcPr>
            <w:tcW w:type="dxa" w:w="1234"/>
          </w:tcPr>
          <w:p>
            <w:r>
              <w:rPr>
                <w:rFonts w:ascii="Times New Roman" w:hAnsi="Times New Roman" w:eastAsia="Times New Roman"/>
              </w:rPr>
              <w:t>small</w:t>
            </w:r>
          </w:p>
        </w:tc>
        <w:tc>
          <w:tcPr>
            <w:tcW w:type="dxa" w:w="1234"/>
          </w:tcPr>
          <w:p>
            <w:r>
              <w:rPr>
                <w:rFonts w:ascii="Times New Roman" w:hAnsi="Times New Roman" w:eastAsia="Times New Roman"/>
              </w:rPr>
              <w:t>1248</w:t>
            </w:r>
          </w:p>
        </w:tc>
        <w:tc>
          <w:tcPr>
            <w:tcW w:type="dxa" w:w="1234"/>
          </w:tcPr>
          <w:p>
            <w:r>
              <w:rPr>
                <w:rFonts w:ascii="Times New Roman" w:hAnsi="Times New Roman" w:eastAsia="Times New Roman"/>
              </w:rPr>
              <w:t>563</w:t>
            </w:r>
          </w:p>
        </w:tc>
        <w:tc>
          <w:tcPr>
            <w:tcW w:type="dxa" w:w="1234"/>
          </w:tcPr>
          <w:p>
            <w:r>
              <w:rPr>
                <w:rFonts w:ascii="Times New Roman" w:hAnsi="Times New Roman" w:eastAsia="Times New Roman"/>
              </w:rPr>
              <w:t>685</w:t>
            </w:r>
          </w:p>
        </w:tc>
        <w:tc>
          <w:tcPr>
            <w:tcW w:type="dxa" w:w="1234"/>
          </w:tcPr>
          <w:p>
            <w:r>
              <w:rPr>
                <w:rFonts w:ascii="Times New Roman" w:hAnsi="Times New Roman" w:eastAsia="Times New Roman"/>
              </w:rPr>
              <w:t>0.451</w:t>
            </w:r>
          </w:p>
        </w:tc>
        <w:tc>
          <w:tcPr>
            <w:tcW w:type="dxa" w:w="1234"/>
          </w:tcPr>
          <w:p>
            <w:r>
              <w:rPr>
                <w:rFonts w:ascii="Times New Roman" w:hAnsi="Times New Roman" w:eastAsia="Times New Roman"/>
              </w:rPr>
              <w:t>[-0.351, +1.157]</w:t>
            </w:r>
          </w:p>
        </w:tc>
      </w:tr>
      <w:tr>
        <w:tc>
          <w:tcPr>
            <w:tcW w:type="dxa" w:w="1234"/>
          </w:tcPr>
          <w:p>
            <w:r>
              <w:rPr>
                <w:rFonts w:ascii="Times New Roman" w:hAnsi="Times New Roman" w:eastAsia="Times New Roman"/>
              </w:rPr>
              <w:t>DMSO</w:t>
            </w:r>
          </w:p>
        </w:tc>
        <w:tc>
          <w:tcPr>
            <w:tcW w:type="dxa" w:w="1234"/>
          </w:tcPr>
          <w:p>
            <w:r>
              <w:rPr>
                <w:rFonts w:ascii="Times New Roman" w:hAnsi="Times New Roman" w:eastAsia="Times New Roman"/>
              </w:rPr>
              <w:t>large</w:t>
            </w:r>
          </w:p>
        </w:tc>
        <w:tc>
          <w:tcPr>
            <w:tcW w:type="dxa" w:w="1234"/>
          </w:tcPr>
          <w:p>
            <w:r>
              <w:rPr>
                <w:rFonts w:ascii="Times New Roman" w:hAnsi="Times New Roman" w:eastAsia="Times New Roman"/>
              </w:rPr>
              <w:t>2058</w:t>
            </w:r>
          </w:p>
        </w:tc>
        <w:tc>
          <w:tcPr>
            <w:tcW w:type="dxa" w:w="1234"/>
          </w:tcPr>
          <w:p>
            <w:r>
              <w:rPr>
                <w:rFonts w:ascii="Times New Roman" w:hAnsi="Times New Roman" w:eastAsia="Times New Roman"/>
              </w:rPr>
              <w:t>1825</w:t>
            </w:r>
          </w:p>
        </w:tc>
        <w:tc>
          <w:tcPr>
            <w:tcW w:type="dxa" w:w="1234"/>
          </w:tcPr>
          <w:p>
            <w:r>
              <w:rPr>
                <w:rFonts w:ascii="Times New Roman" w:hAnsi="Times New Roman" w:eastAsia="Times New Roman"/>
              </w:rPr>
              <w:t>233</w:t>
            </w:r>
          </w:p>
        </w:tc>
        <w:tc>
          <w:tcPr>
            <w:tcW w:type="dxa" w:w="1234"/>
          </w:tcPr>
          <w:p>
            <w:r>
              <w:rPr>
                <w:rFonts w:ascii="Times New Roman" w:hAnsi="Times New Roman" w:eastAsia="Times New Roman"/>
              </w:rPr>
              <w:t>0.887</w:t>
            </w:r>
          </w:p>
        </w:tc>
        <w:tc>
          <w:tcPr>
            <w:tcW w:type="dxa" w:w="1234"/>
          </w:tcPr>
          <w:p>
            <w:r>
              <w:rPr>
                <w:rFonts w:ascii="Times New Roman" w:hAnsi="Times New Roman" w:eastAsia="Times New Roman"/>
              </w:rPr>
              <w:t>[-0.415, +0.992]</w:t>
            </w:r>
          </w:p>
        </w:tc>
      </w:tr>
      <w:tr>
        <w:tc>
          <w:tcPr>
            <w:tcW w:type="dxa" w:w="1234"/>
          </w:tcPr>
          <w:p>
            <w:r>
              <w:rPr>
                <w:rFonts w:ascii="Times New Roman" w:hAnsi="Times New Roman" w:eastAsia="Times New Roman"/>
              </w:rPr>
              <w:t>Trikafta</w:t>
            </w:r>
          </w:p>
        </w:tc>
        <w:tc>
          <w:tcPr>
            <w:tcW w:type="dxa" w:w="1234"/>
          </w:tcPr>
          <w:p>
            <w:r>
              <w:rPr>
                <w:rFonts w:ascii="Times New Roman" w:hAnsi="Times New Roman" w:eastAsia="Times New Roman"/>
              </w:rPr>
              <w:t>small</w:t>
            </w:r>
          </w:p>
        </w:tc>
        <w:tc>
          <w:tcPr>
            <w:tcW w:type="dxa" w:w="1234"/>
          </w:tcPr>
          <w:p>
            <w:r>
              <w:rPr>
                <w:rFonts w:ascii="Times New Roman" w:hAnsi="Times New Roman" w:eastAsia="Times New Roman"/>
              </w:rPr>
              <w:t>1250</w:t>
            </w:r>
          </w:p>
        </w:tc>
        <w:tc>
          <w:tcPr>
            <w:tcW w:type="dxa" w:w="1234"/>
          </w:tcPr>
          <w:p>
            <w:r>
              <w:rPr>
                <w:rFonts w:ascii="Times New Roman" w:hAnsi="Times New Roman" w:eastAsia="Times New Roman"/>
              </w:rPr>
              <w:t>571</w:t>
            </w:r>
          </w:p>
        </w:tc>
        <w:tc>
          <w:tcPr>
            <w:tcW w:type="dxa" w:w="1234"/>
          </w:tcPr>
          <w:p>
            <w:r>
              <w:rPr>
                <w:rFonts w:ascii="Times New Roman" w:hAnsi="Times New Roman" w:eastAsia="Times New Roman"/>
              </w:rPr>
              <w:t>679</w:t>
            </w:r>
          </w:p>
        </w:tc>
        <w:tc>
          <w:tcPr>
            <w:tcW w:type="dxa" w:w="1234"/>
          </w:tcPr>
          <w:p>
            <w:r>
              <w:rPr>
                <w:rFonts w:ascii="Times New Roman" w:hAnsi="Times New Roman" w:eastAsia="Times New Roman"/>
              </w:rPr>
              <w:t>0.457</w:t>
            </w:r>
          </w:p>
        </w:tc>
        <w:tc>
          <w:tcPr>
            <w:tcW w:type="dxa" w:w="1234"/>
          </w:tcPr>
          <w:p>
            <w:r>
              <w:rPr>
                <w:rFonts w:ascii="Times New Roman" w:hAnsi="Times New Roman" w:eastAsia="Times New Roman"/>
              </w:rPr>
              <w:t>[-0.258, +1.415]</w:t>
            </w:r>
          </w:p>
        </w:tc>
      </w:tr>
      <w:tr>
        <w:tc>
          <w:tcPr>
            <w:tcW w:type="dxa" w:w="1234"/>
          </w:tcPr>
          <w:p>
            <w:r>
              <w:rPr>
                <w:rFonts w:ascii="Times New Roman" w:hAnsi="Times New Roman" w:eastAsia="Times New Roman"/>
              </w:rPr>
              <w:t>Trikafta</w:t>
            </w:r>
          </w:p>
        </w:tc>
        <w:tc>
          <w:tcPr>
            <w:tcW w:type="dxa" w:w="1234"/>
          </w:tcPr>
          <w:p>
            <w:r>
              <w:rPr>
                <w:rFonts w:ascii="Times New Roman" w:hAnsi="Times New Roman" w:eastAsia="Times New Roman"/>
              </w:rPr>
              <w:t>large</w:t>
            </w:r>
          </w:p>
        </w:tc>
        <w:tc>
          <w:tcPr>
            <w:tcW w:type="dxa" w:w="1234"/>
          </w:tcPr>
          <w:p>
            <w:r>
              <w:rPr>
                <w:rFonts w:ascii="Times New Roman" w:hAnsi="Times New Roman" w:eastAsia="Times New Roman"/>
              </w:rPr>
              <w:t>2408</w:t>
            </w:r>
          </w:p>
        </w:tc>
        <w:tc>
          <w:tcPr>
            <w:tcW w:type="dxa" w:w="1234"/>
          </w:tcPr>
          <w:p>
            <w:r>
              <w:rPr>
                <w:rFonts w:ascii="Times New Roman" w:hAnsi="Times New Roman" w:eastAsia="Times New Roman"/>
              </w:rPr>
              <w:t>2005</w:t>
            </w:r>
          </w:p>
        </w:tc>
        <w:tc>
          <w:tcPr>
            <w:tcW w:type="dxa" w:w="1234"/>
          </w:tcPr>
          <w:p>
            <w:r>
              <w:rPr>
                <w:rFonts w:ascii="Times New Roman" w:hAnsi="Times New Roman" w:eastAsia="Times New Roman"/>
              </w:rPr>
              <w:t>403</w:t>
            </w:r>
          </w:p>
        </w:tc>
        <w:tc>
          <w:tcPr>
            <w:tcW w:type="dxa" w:w="1234"/>
          </w:tcPr>
          <w:p>
            <w:r>
              <w:rPr>
                <w:rFonts w:ascii="Times New Roman" w:hAnsi="Times New Roman" w:eastAsia="Times New Roman"/>
              </w:rPr>
              <w:t>0.833</w:t>
            </w:r>
          </w:p>
        </w:tc>
        <w:tc>
          <w:tcPr>
            <w:tcW w:type="dxa" w:w="1234"/>
          </w:tcPr>
          <w:p>
            <w:r>
              <w:rPr>
                <w:rFonts w:ascii="Times New Roman" w:hAnsi="Times New Roman" w:eastAsia="Times New Roman"/>
              </w:rPr>
              <w:t>[-0.005, +1.557]</w:t>
            </w:r>
          </w:p>
        </w:tc>
      </w:tr>
    </w:tbl>
    <w:p>
      <w:pPr>
        <w:spacing w:after="120"/>
        <w:jc w:val="both"/>
      </w:pPr>
      <w:r>
        <w:rPr>
          <w:rFonts w:ascii="Times New Roman" w:hAnsi="Times New Roman" w:eastAsia="Times New Roman"/>
        </w:rPr>
        <w:t>The difference between small and large organoids is not a minor rounding issue. Conditional positive-endpoint visibility is about 45% in small DMSO and 46% in small treated objects, versus 89% and 83% in the respective large cells. The treatment gap in visibility reverses across these size strata; the donor-equal gap contrast is -0.093. A donor-adjusted observability model that also includes log baseline area and detector score estimates a treatment-by-large odds ratio 0.639. The baseline high-detector-score control has the analogous odds ratio 0.976. These are features of a selected imaging pipeline, not evidence that missing small objects would swell more or less. Donor fixed effects and twelve clusters do not remove plate, imaging, field, or track-assignment confounding.</w:t>
      </w:r>
    </w:p>
    <w:p>
      <w:pPr>
        <w:spacing w:after="120"/>
        <w:jc w:val="both"/>
      </w:pPr>
      <w:r>
        <w:rPr>
          <w:rFonts w:ascii="Times New Roman" w:hAnsi="Times New Roman" w:eastAsia="Times New Roman"/>
        </w:rPr>
        <w:t>The original biological estimand is the donor-level drug-minus-DMSO contrast in large versus small log swelling. It differs from the estimand of the observability model, which is whether a baseline-detected object receives a positive A1. Conditioning the swelling analysis on a positive A1 may induce selection dependence between initial size and an unmeasured cause of endpoint detection. An inverse-inclusion model fitted among rows with both positive areas can address only selection into the derived table among those already observed; it cannot recover the 2,000 absent positive endpoints. This is why the small shift in cross-fit inclusion-weighted means is not a missing-data correction, and why a baseline score control does not identify unmeasured endpoint values.</w:t>
      </w:r>
    </w:p>
    <w:p>
      <w:pPr>
        <w:spacing w:after="120"/>
        <w:jc w:val="both"/>
      </w:pPr>
      <w:r>
        <w:rPr>
          <w:rFonts w:ascii="Times New Roman" w:hAnsi="Times New Roman" w:eastAsia="Times New Roman"/>
        </w:rPr>
        <w:t>A separate spacing audit gives a measured example of this selection structure. Within image-path, treatment and size strata, closer baseline neighbors have an equal-stratum positive-endpoint rate 0.082 below farther neighbors; 279 eligible strata retain 6,952 of 6,964 source-frame objects and all twelve donor-equal differences have the same negative direction. Distance is a baseline geometry proxy, not a randomized crowding intervention: object density, image quality, local tracking competition and acquisition repetition can all generate it. A field-stratified association is informative about where data are lost, but does not estimate the missing swelling response or the biological size mechanism.</w:t>
      </w:r>
    </w:p>
    <w:p>
      <w:pPr>
        <w:pStyle w:val="Heading2"/>
      </w:pPr>
      <w:r>
        <w:rPr>
          <w:rFonts w:ascii="Times New Roman" w:hAnsi="Times New Roman" w:eastAsia="Times New Roman"/>
        </w:rPr>
        <w:t>4.3r Conditional missing-response bounds across donors</w:t>
      </w:r>
    </w:p>
    <w:p>
      <w:pPr>
        <w:spacing w:after="120"/>
        <w:jc w:val="both"/>
      </w:pPr>
      <w:r>
        <w:rPr>
          <w:rFonts w:ascii="Times New Roman" w:hAnsi="Times New Roman" w:eastAsia="Times New Roman"/>
        </w:rPr>
        <w:t>To expose how much the missing responses matter at the donor level rather than only in a pooled interval, The following table lists the fixed-donor contrast under three previously committed analyses. The first uses only source pairs with positive A0 and A1; the latter two impute each missing endpoint at an adverse or favorable observed cell-specific percentile. These endpoints are conditional scenario bounds, not formal identification bounds: the 5th and 95th percentiles of observed tracks need not contain the missing outcomes. The same donor, experiment, dose and size eligibility from the original blocked test is kept throughout.</w:t>
      </w:r>
    </w:p>
    <w:p>
      <w:r>
        <w:rPr>
          <w:rFonts w:ascii="Times New Roman" w:hAnsi="Times New Roman" w:eastAsia="Times New Roman"/>
          <w:b/>
        </w:rPr>
        <w:t>Table 12. Fixed donor-level median block contrasts in log swelling. Scenario columns do not constitute confidence intervals or imputed outcomes; source: results/tabular_track_retention.json and results/missing_endpoint_bounds.json.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donor</w:t>
            </w:r>
          </w:p>
        </w:tc>
        <w:tc>
          <w:tcPr>
            <w:tcW w:type="dxa" w:w="2160"/>
          </w:tcPr>
          <w:p>
            <w:r>
              <w:rPr>
                <w:rFonts w:ascii="Times New Roman" w:hAnsi="Times New Roman" w:eastAsia="Times New Roman"/>
              </w:rPr>
              <w:t>observed positive-pair contrast</w:t>
            </w:r>
          </w:p>
        </w:tc>
        <w:tc>
          <w:tcPr>
            <w:tcW w:type="dxa" w:w="2160"/>
          </w:tcPr>
          <w:p>
            <w:r>
              <w:rPr>
                <w:rFonts w:ascii="Times New Roman" w:hAnsi="Times New Roman" w:eastAsia="Times New Roman"/>
              </w:rPr>
              <w:t>adverse percentile scenario</w:t>
            </w:r>
          </w:p>
        </w:tc>
        <w:tc>
          <w:tcPr>
            <w:tcW w:type="dxa" w:w="2160"/>
          </w:tcPr>
          <w:p>
            <w:r>
              <w:rPr>
                <w:rFonts w:ascii="Times New Roman" w:hAnsi="Times New Roman" w:eastAsia="Times New Roman"/>
              </w:rPr>
              <w:t>favorable percentile scenario</w:t>
            </w:r>
          </w:p>
        </w:tc>
      </w:tr>
      <w:tr>
        <w:tc>
          <w:tcPr>
            <w:tcW w:type="dxa" w:w="2160"/>
          </w:tcPr>
          <w:p>
            <w:r>
              <w:rPr>
                <w:rFonts w:ascii="Times New Roman" w:hAnsi="Times New Roman" w:eastAsia="Times New Roman"/>
              </w:rPr>
              <w:t>PDIO_01</w:t>
            </w:r>
          </w:p>
        </w:tc>
        <w:tc>
          <w:tcPr>
            <w:tcW w:type="dxa" w:w="2160"/>
          </w:tcPr>
          <w:p>
            <w:r>
              <w:rPr>
                <w:rFonts w:ascii="Times New Roman" w:hAnsi="Times New Roman" w:eastAsia="Times New Roman"/>
              </w:rPr>
              <w:t>+0.039</w:t>
            </w:r>
          </w:p>
        </w:tc>
        <w:tc>
          <w:tcPr>
            <w:tcW w:type="dxa" w:w="2160"/>
          </w:tcPr>
          <w:p>
            <w:r>
              <w:rPr>
                <w:rFonts w:ascii="Times New Roman" w:hAnsi="Times New Roman" w:eastAsia="Times New Roman"/>
              </w:rPr>
              <w:t>-0.669</w:t>
            </w:r>
          </w:p>
        </w:tc>
        <w:tc>
          <w:tcPr>
            <w:tcW w:type="dxa" w:w="2160"/>
          </w:tcPr>
          <w:p>
            <w:r>
              <w:rPr>
                <w:rFonts w:ascii="Times New Roman" w:hAnsi="Times New Roman" w:eastAsia="Times New Roman"/>
              </w:rPr>
              <w:t>+1.304</w:t>
            </w:r>
          </w:p>
        </w:tc>
      </w:tr>
      <w:tr>
        <w:tc>
          <w:tcPr>
            <w:tcW w:type="dxa" w:w="2160"/>
          </w:tcPr>
          <w:p>
            <w:r>
              <w:rPr>
                <w:rFonts w:ascii="Times New Roman" w:hAnsi="Times New Roman" w:eastAsia="Times New Roman"/>
              </w:rPr>
              <w:t>PDIO_03</w:t>
            </w:r>
          </w:p>
        </w:tc>
        <w:tc>
          <w:tcPr>
            <w:tcW w:type="dxa" w:w="2160"/>
          </w:tcPr>
          <w:p>
            <w:r>
              <w:rPr>
                <w:rFonts w:ascii="Times New Roman" w:hAnsi="Times New Roman" w:eastAsia="Times New Roman"/>
              </w:rPr>
              <w:t>+0.351</w:t>
            </w:r>
          </w:p>
        </w:tc>
        <w:tc>
          <w:tcPr>
            <w:tcW w:type="dxa" w:w="2160"/>
          </w:tcPr>
          <w:p>
            <w:r>
              <w:rPr>
                <w:rFonts w:ascii="Times New Roman" w:hAnsi="Times New Roman" w:eastAsia="Times New Roman"/>
              </w:rPr>
              <w:t>-0.379</w:t>
            </w:r>
          </w:p>
        </w:tc>
        <w:tc>
          <w:tcPr>
            <w:tcW w:type="dxa" w:w="2160"/>
          </w:tcPr>
          <w:p>
            <w:r>
              <w:rPr>
                <w:rFonts w:ascii="Times New Roman" w:hAnsi="Times New Roman" w:eastAsia="Times New Roman"/>
              </w:rPr>
              <w:t>+1.150</w:t>
            </w:r>
          </w:p>
        </w:tc>
      </w:tr>
      <w:tr>
        <w:tc>
          <w:tcPr>
            <w:tcW w:type="dxa" w:w="2160"/>
          </w:tcPr>
          <w:p>
            <w:r>
              <w:rPr>
                <w:rFonts w:ascii="Times New Roman" w:hAnsi="Times New Roman" w:eastAsia="Times New Roman"/>
              </w:rPr>
              <w:t>PDIO_05</w:t>
            </w:r>
          </w:p>
        </w:tc>
        <w:tc>
          <w:tcPr>
            <w:tcW w:type="dxa" w:w="2160"/>
          </w:tcPr>
          <w:p>
            <w:r>
              <w:rPr>
                <w:rFonts w:ascii="Times New Roman" w:hAnsi="Times New Roman" w:eastAsia="Times New Roman"/>
              </w:rPr>
              <w:t>+0.540</w:t>
            </w:r>
          </w:p>
        </w:tc>
        <w:tc>
          <w:tcPr>
            <w:tcW w:type="dxa" w:w="2160"/>
          </w:tcPr>
          <w:p>
            <w:r>
              <w:rPr>
                <w:rFonts w:ascii="Times New Roman" w:hAnsi="Times New Roman" w:eastAsia="Times New Roman"/>
              </w:rPr>
              <w:t>-0.468</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PDIO_06</w:t>
            </w:r>
          </w:p>
        </w:tc>
        <w:tc>
          <w:tcPr>
            <w:tcW w:type="dxa" w:w="2160"/>
          </w:tcPr>
          <w:p>
            <w:r>
              <w:rPr>
                <w:rFonts w:ascii="Times New Roman" w:hAnsi="Times New Roman" w:eastAsia="Times New Roman"/>
              </w:rPr>
              <w:t>+0.371</w:t>
            </w:r>
          </w:p>
        </w:tc>
        <w:tc>
          <w:tcPr>
            <w:tcW w:type="dxa" w:w="2160"/>
          </w:tcPr>
          <w:p>
            <w:r>
              <w:rPr>
                <w:rFonts w:ascii="Times New Roman" w:hAnsi="Times New Roman" w:eastAsia="Times New Roman"/>
              </w:rPr>
              <w:t>-0.619</w:t>
            </w:r>
          </w:p>
        </w:tc>
        <w:tc>
          <w:tcPr>
            <w:tcW w:type="dxa" w:w="2160"/>
          </w:tcPr>
          <w:p>
            <w:r>
              <w:rPr>
                <w:rFonts w:ascii="Times New Roman" w:hAnsi="Times New Roman" w:eastAsia="Times New Roman"/>
              </w:rPr>
              <w:t>+1.540</w:t>
            </w:r>
          </w:p>
        </w:tc>
      </w:tr>
      <w:tr>
        <w:tc>
          <w:tcPr>
            <w:tcW w:type="dxa" w:w="2160"/>
          </w:tcPr>
          <w:p>
            <w:r>
              <w:rPr>
                <w:rFonts w:ascii="Times New Roman" w:hAnsi="Times New Roman" w:eastAsia="Times New Roman"/>
              </w:rPr>
              <w:t>PDIO_09</w:t>
            </w:r>
          </w:p>
        </w:tc>
        <w:tc>
          <w:tcPr>
            <w:tcW w:type="dxa" w:w="2160"/>
          </w:tcPr>
          <w:p>
            <w:r>
              <w:rPr>
                <w:rFonts w:ascii="Times New Roman" w:hAnsi="Times New Roman" w:eastAsia="Times New Roman"/>
              </w:rPr>
              <w:t>+0.201</w:t>
            </w:r>
          </w:p>
        </w:tc>
        <w:tc>
          <w:tcPr>
            <w:tcW w:type="dxa" w:w="2160"/>
          </w:tcPr>
          <w:p>
            <w:r>
              <w:rPr>
                <w:rFonts w:ascii="Times New Roman" w:hAnsi="Times New Roman" w:eastAsia="Times New Roman"/>
              </w:rPr>
              <w:t>-0.449</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PDIO_11</w:t>
            </w:r>
          </w:p>
        </w:tc>
        <w:tc>
          <w:tcPr>
            <w:tcW w:type="dxa" w:w="2160"/>
          </w:tcPr>
          <w:p>
            <w:r>
              <w:rPr>
                <w:rFonts w:ascii="Times New Roman" w:hAnsi="Times New Roman" w:eastAsia="Times New Roman"/>
              </w:rPr>
              <w:t>+0.366</w:t>
            </w:r>
          </w:p>
        </w:tc>
        <w:tc>
          <w:tcPr>
            <w:tcW w:type="dxa" w:w="2160"/>
          </w:tcPr>
          <w:p>
            <w:r>
              <w:rPr>
                <w:rFonts w:ascii="Times New Roman" w:hAnsi="Times New Roman" w:eastAsia="Times New Roman"/>
              </w:rPr>
              <w:t>-0.455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PDIO_12</w:t>
            </w:r>
          </w:p>
        </w:tc>
        <w:tc>
          <w:tcPr>
            <w:tcW w:type="dxa" w:w="2160"/>
          </w:tcPr>
          <w:p>
            <w:r>
              <w:rPr>
                <w:rFonts w:ascii="Times New Roman" w:hAnsi="Times New Roman" w:eastAsia="Times New Roman"/>
              </w:rPr>
              <w:t>+0.418</w:t>
            </w:r>
          </w:p>
        </w:tc>
        <w:tc>
          <w:tcPr>
            <w:tcW w:type="dxa" w:w="2160"/>
          </w:tcPr>
          <w:p>
            <w:r>
              <w:rPr>
                <w:rFonts w:ascii="Times New Roman" w:hAnsi="Times New Roman" w:eastAsia="Times New Roman"/>
              </w:rPr>
              <w:t>-0.667</w:t>
            </w:r>
          </w:p>
        </w:tc>
        <w:tc>
          <w:tcPr>
            <w:tcW w:type="dxa" w:w="2160"/>
          </w:tcPr>
          <w:p>
            <w:r>
              <w:rPr>
                <w:rFonts w:ascii="Times New Roman" w:hAnsi="Times New Roman" w:eastAsia="Times New Roman"/>
              </w:rPr>
              <w:t>+1.351</w:t>
            </w:r>
          </w:p>
        </w:tc>
      </w:tr>
      <w:tr>
        <w:tc>
          <w:tcPr>
            <w:tcW w:type="dxa" w:w="2160"/>
          </w:tcPr>
          <w:p>
            <w:r>
              <w:rPr>
                <w:rFonts w:ascii="Times New Roman" w:hAnsi="Times New Roman" w:eastAsia="Times New Roman"/>
              </w:rPr>
              <w:t>PDIO_13</w:t>
            </w:r>
          </w:p>
        </w:tc>
        <w:tc>
          <w:tcPr>
            <w:tcW w:type="dxa" w:w="2160"/>
          </w:tcPr>
          <w:p>
            <w:r>
              <w:rPr>
                <w:rFonts w:ascii="Times New Roman" w:hAnsi="Times New Roman" w:eastAsia="Times New Roman"/>
              </w:rPr>
              <w:t>+0.273</w:t>
            </w:r>
          </w:p>
        </w:tc>
        <w:tc>
          <w:tcPr>
            <w:tcW w:type="dxa" w:w="2160"/>
          </w:tcPr>
          <w:p>
            <w:r>
              <w:rPr>
                <w:rFonts w:ascii="Times New Roman" w:hAnsi="Times New Roman" w:eastAsia="Times New Roman"/>
              </w:rPr>
              <w:t>-0.944</w:t>
            </w:r>
          </w:p>
        </w:tc>
        <w:tc>
          <w:tcPr>
            <w:tcW w:type="dxa" w:w="2160"/>
          </w:tcPr>
          <w:p>
            <w:r>
              <w:rPr>
                <w:rFonts w:ascii="Times New Roman" w:hAnsi="Times New Roman" w:eastAsia="Times New Roman"/>
              </w:rPr>
              <w:t>+1.685</w:t>
            </w:r>
          </w:p>
        </w:tc>
      </w:tr>
      <w:tr>
        <w:tc>
          <w:tcPr>
            <w:tcW w:type="dxa" w:w="2160"/>
          </w:tcPr>
          <w:p>
            <w:r>
              <w:rPr>
                <w:rFonts w:ascii="Times New Roman" w:hAnsi="Times New Roman" w:eastAsia="Times New Roman"/>
              </w:rPr>
              <w:t>PDIO_14</w:t>
            </w:r>
          </w:p>
        </w:tc>
        <w:tc>
          <w:tcPr>
            <w:tcW w:type="dxa" w:w="2160"/>
          </w:tcPr>
          <w:p>
            <w:r>
              <w:rPr>
                <w:rFonts w:ascii="Times New Roman" w:hAnsi="Times New Roman" w:eastAsia="Times New Roman"/>
              </w:rPr>
              <w:t>-0.193</w:t>
            </w:r>
          </w:p>
        </w:tc>
        <w:tc>
          <w:tcPr>
            <w:tcW w:type="dxa" w:w="2160"/>
          </w:tcPr>
          <w:p>
            <w:r>
              <w:rPr>
                <w:rFonts w:ascii="Times New Roman" w:hAnsi="Times New Roman" w:eastAsia="Times New Roman"/>
              </w:rPr>
              <w:t>-0.969</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PDIO_15</w:t>
            </w:r>
          </w:p>
        </w:tc>
        <w:tc>
          <w:tcPr>
            <w:tcW w:type="dxa" w:w="2160"/>
          </w:tcPr>
          <w:p>
            <w:r>
              <w:rPr>
                <w:rFonts w:ascii="Times New Roman" w:hAnsi="Times New Roman" w:eastAsia="Times New Roman"/>
              </w:rPr>
              <w:t>+0.301</w:t>
            </w:r>
          </w:p>
        </w:tc>
        <w:tc>
          <w:tcPr>
            <w:tcW w:type="dxa" w:w="2160"/>
          </w:tcPr>
          <w:p>
            <w:r>
              <w:rPr>
                <w:rFonts w:ascii="Times New Roman" w:hAnsi="Times New Roman" w:eastAsia="Times New Roman"/>
              </w:rPr>
              <w:t>-1.025</w:t>
            </w:r>
          </w:p>
        </w:tc>
        <w:tc>
          <w:tcPr>
            <w:tcW w:type="dxa" w:w="2160"/>
          </w:tcPr>
          <w:p>
            <w:r>
              <w:rPr>
                <w:rFonts w:ascii="Times New Roman" w:hAnsi="Times New Roman" w:eastAsia="Times New Roman"/>
              </w:rPr>
              <w:t>+1.369</w:t>
            </w:r>
          </w:p>
        </w:tc>
      </w:tr>
      <w:tr>
        <w:tc>
          <w:tcPr>
            <w:tcW w:type="dxa" w:w="2160"/>
          </w:tcPr>
          <w:p>
            <w:r>
              <w:rPr>
                <w:rFonts w:ascii="Times New Roman" w:hAnsi="Times New Roman" w:eastAsia="Times New Roman"/>
              </w:rPr>
              <w:t>PDIO_16</w:t>
            </w:r>
          </w:p>
        </w:tc>
        <w:tc>
          <w:tcPr>
            <w:tcW w:type="dxa" w:w="2160"/>
          </w:tcPr>
          <w:p>
            <w:r>
              <w:rPr>
                <w:rFonts w:ascii="Times New Roman" w:hAnsi="Times New Roman" w:eastAsia="Times New Roman"/>
              </w:rPr>
              <w:t>-0.097</w:t>
            </w:r>
          </w:p>
        </w:tc>
        <w:tc>
          <w:tcPr>
            <w:tcW w:type="dxa" w:w="2160"/>
          </w:tcPr>
          <w:p>
            <w:r>
              <w:rPr>
                <w:rFonts w:ascii="Times New Roman" w:hAnsi="Times New Roman" w:eastAsia="Times New Roman"/>
              </w:rPr>
              <w:t>-1.328</w:t>
            </w:r>
          </w:p>
        </w:tc>
        <w:tc>
          <w:tcPr>
            <w:tcW w:type="dxa" w:w="2160"/>
          </w:tcPr>
          <w:p>
            <w:r>
              <w:rPr>
                <w:rFonts w:ascii="Times New Roman" w:hAnsi="Times New Roman" w:eastAsia="Times New Roman"/>
              </w:rPr>
              <w:t>+1.391</w:t>
            </w:r>
          </w:p>
        </w:tc>
      </w:tr>
      <w:tr>
        <w:tc>
          <w:tcPr>
            <w:tcW w:type="dxa" w:w="2160"/>
          </w:tcPr>
          <w:p>
            <w:r>
              <w:rPr>
                <w:rFonts w:ascii="Times New Roman" w:hAnsi="Times New Roman" w:eastAsia="Times New Roman"/>
              </w:rPr>
              <w:t>PDIO_18</w:t>
            </w:r>
          </w:p>
        </w:tc>
        <w:tc>
          <w:tcPr>
            <w:tcW w:type="dxa" w:w="2160"/>
          </w:tcPr>
          <w:p>
            <w:r>
              <w:rPr>
                <w:rFonts w:ascii="Times New Roman" w:hAnsi="Times New Roman" w:eastAsia="Times New Roman"/>
              </w:rPr>
              <w:t>-0.073</w:t>
            </w:r>
          </w:p>
        </w:tc>
        <w:tc>
          <w:tcPr>
            <w:tcW w:type="dxa" w:w="2160"/>
          </w:tcPr>
          <w:p>
            <w:r>
              <w:rPr>
                <w:rFonts w:ascii="Times New Roman" w:hAnsi="Times New Roman" w:eastAsia="Times New Roman"/>
              </w:rPr>
              <w:t>-0.967</w:t>
            </w:r>
          </w:p>
        </w:tc>
        <w:tc>
          <w:tcPr>
            <w:tcW w:type="dxa" w:w="2160"/>
          </w:tcPr>
          <w:p>
            <w:r>
              <w:rPr>
                <w:rFonts w:ascii="Times New Roman" w:hAnsi="Times New Roman" w:eastAsia="Times New Roman"/>
              </w:rPr>
              <w:t>+1.235</w:t>
            </w:r>
          </w:p>
        </w:tc>
      </w:tr>
    </w:tbl>
    <w:p>
      <w:pPr>
        <w:spacing w:after="120"/>
        <w:jc w:val="both"/>
      </w:pPr>
      <w:r>
        <w:rPr>
          <w:rFonts w:ascii="Times New Roman" w:hAnsi="Times New Roman" w:eastAsia="Times New Roman"/>
        </w:rPr>
        <w:t>Across donors, the equal-donor mean of observed positive-pair contrasts is +0.208; the adverse and favorable percentile scenarios span -0.745 to +1.362. No donor remains positive in the adverse scenario; all twelve are positive under the favorable one. Because zero lies in this conditional envelope, source-table endpoint observability alone cannot establish the direction of the full baseline-detected-population effect. These scenarios alter only the missing A1 values; they cannot address organoids absent at A0, incorrect track links, size-dependent area error or the failed zero-forskolin specificity test.</w:t>
      </w:r>
    </w:p>
    <w:p>
      <w:pPr>
        <w:spacing w:after="120"/>
        <w:jc w:val="both"/>
      </w:pPr>
      <w:r>
        <w:rPr>
          <w:rFonts w:ascii="Times New Roman" w:hAnsi="Times New Roman" w:eastAsia="Times New Roman"/>
        </w:rPr>
        <w:t>A less adversarial one-arm tipping exercise holds three missing cells at their observed medians and increases only the hypothetical small-treated missing log response. The equal-donor mean reaches zero after a +0.61 log-unit shift; this is a scenario threshold, not a fitted estimate of those missing responses. Its direction matters: greater swelling among missing treated-small objects raises the small-treatment effect and can erase the observed large-minus-small difference. The percentile envelope is broader because it permits all four cells to vary together. Neither calculation selects a correction to apply to clinical data.</w:t>
      </w:r>
    </w:p>
    <w:p>
      <w:pPr>
        <w:spacing w:after="120"/>
        <w:jc w:val="both"/>
      </w:pPr>
      <w:r>
        <w:rPr>
          <w:rFonts w:ascii="Times New Roman" w:hAnsi="Times New Roman" w:eastAsia="Times New Roman"/>
        </w:rPr>
        <w:t>The next discriminating measurement is not another threshold tuned to this accession. A new acquisition should enumerate all baseline objects before filtering, retain raw masks at both time points, identify fields/plates/donors, audit possible one-to-many tracks, and include positive, zero-forskolin and CFTR-inhibitor controls. Lock the size function, donor-level endpoint, missingness model and analysis plan before new outcomes are opened. Until then, the substantive result of the present pipeline is a quantified selection problem and a within-accession size association with failed companion gates, not a verified CFTR-specific size mechanism or a patient predictor.</w:t>
      </w:r>
    </w:p>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pPr>
        <w:pStyle w:val="Heading2"/>
      </w:pPr>
      <w:r>
        <w:rPr>
          <w:rFonts w:ascii="Times New Roman" w:hAnsi="Times New Roman" w:eastAsia="Times New Roman"/>
        </w:rPr>
        <w:t>Secondary exploratory analyses II: segmentation benchmark and split integrity</w:t>
      </w:r>
    </w:p>
    <w:p>
      <w:pPr>
        <w:spacing w:after="120"/>
        <w:jc w:val="both"/>
      </w:pPr>
      <w:r>
        <w:rPr>
          <w:rFonts w:ascii="Times New Roman" w:hAnsi="Times New Roman" w:eastAsia="Times New Roman"/>
        </w:rPr>
        <w:t>Sections 4.5 through 4.5j are a secondary arm. Its benchmark-beat claim is withdrawn because repeated acquisition fields cross the splits; the arm is retained as an integrity case study and labeled exploratory.</w:t>
      </w:r>
    </w:p>
    <w:p>
      <w:pPr>
        <w:pStyle w:val="Heading2"/>
      </w:pPr>
      <w:r>
        <w:rPr>
          <w:rFonts w:ascii="Times New Roman" w:hAnsi="Times New Roman" w:eastAsia="Times New Roman"/>
        </w:rPr>
        <w:t>4.5 Segmentation benchmark</w:t>
      </w:r>
    </w:p>
    <w:p>
      <w:r>
        <w:rPr>
          <w:rFonts w:ascii="Times New Roman" w:hAnsi="Times New Roman" w:eastAsia="Times New Roman"/>
          <w:b/>
        </w:rPr>
        <w:t>Table 13.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filename-distinct 12-image eval split was scored separately,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4.5b First clean train-only and val-only segmentation attempt: negative</w:t>
      </w:r>
    </w:p>
    <w:p>
      <w:pPr>
        <w:spacing w:after="120"/>
        <w:jc w:val="both"/>
      </w:pPr>
      <w:r>
        <w:rPr>
          <w:rFonts w:ascii="Times New Roman" w:hAnsi="Times New Roman" w:eastAsia="Times New Roman"/>
        </w:rPr>
        <w:t>A separate protocol was frozen before fitting (results/preregistration_trainonly_seg.md): 184 training images only, 35 filename-distinct validation images, 12 evaluation files not scored until final selection, but repeated acquisition fields were later found across splits (Section 4.5e). Sixty epochs were fit; epoch 40 minimized validation cross-entropy. A fixed grid of 108 postprocessing choices used the first 20 validation images only, selecting [0.4, 0.5, 0.3, 40] at validation AP50 0.811. This validation score is a selection statistic, not an independent benchmark.</w:t>
      </w:r>
    </w:p>
    <w:p>
      <w:pPr>
        <w:spacing w:after="120"/>
        <w:jc w:val="both"/>
      </w:pPr>
      <w:r>
        <w:rPr>
          <w:rFonts w:ascii="Times New Roman" w:hAnsi="Times New Roman" w:eastAsia="Times New Roman"/>
        </w:rPr>
        <w:t>The single sealed final evaluation scored 0.73867 AP50 under the authors' released Cellpose-style scorer and 0.73933 under our unique-mask-count scorer, below the published 0.76. The only material matcher difference arises from one released GT mask with a skipped label ID: the original scorer uses the maximum ID as object count. This small numerical difference is not a model gain. Author baseline per-image predictions were not run in this 2-CPU, no-TensorFlow/GPU workspace, so we do not assert a paired statistical comparison. Clean selection fixes an older exact-file train/val overlap, but the later near-duplicate audit finds that it did not secure acquisition-group independence. It is not a benchmark match. Per-image TP/FP/FN and both AP versions are preserved in results/trainonly_seg/sealed_eval.json; selection frozen before eval at commit 120f944.</w:t>
      </w:r>
    </w:p>
    <w:p>
      <w:r>
        <w:rPr>
          <w:rFonts w:ascii="Times New Roman" w:hAnsi="Times New Roman" w:eastAsia="Times New Roman"/>
          <w:b/>
        </w:rPr>
        <w:t>Table 14. Sealed 12-image evaluation of the clean train-only model; image numbers follow the JSON per_image order, which has full filenames and matching counts. None selected the model or postprocessing.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54</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60</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93</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80</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73</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0.788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91</w:t>
            </w:r>
          </w:p>
        </w:tc>
      </w:tr>
    </w:tbl>
    <w:p>
      <w:pPr>
        <w:pStyle w:val="Heading2"/>
      </w:pPr>
      <w:r>
        <w:rPr>
          <w:rFonts w:ascii="Times New Roman" w:hAnsi="Times New Roman" w:eastAsia="Times New Roman"/>
        </w:rPr>
        <w:t>4.5c Locked v2 train-only improvement and narrow published numerical threshold</w:t>
      </w:r>
    </w:p>
    <w:p>
      <w:pPr>
        <w:spacing w:after="120"/>
        <w:jc w:val="both"/>
      </w:pPr>
      <w:r>
        <w:rPr>
          <w:rFonts w:ascii="Times New Roman" w:hAnsi="Times New Roman" w:eastAsia="Times New Roman"/>
        </w:rPr>
        <w:t>The negative clean v1 checkpoint above remains the historical result, not a deleted failure. Amendment-free preregistration in notes/prereg_ap50_beat.md locked the v2 gate at mean author-scorer AP50 &gt; 0.76 on the same nominally held-out 12-file eval split. A later scene-overlap audit invalidates its independence (Section 4.5e). Fine-tuning trained solely on 184 train images for 30 extra epochs with stronger augmentation and a lower learning rate; the checkpoint at epoch 30 minimized cross-entropy on the filename-distinct but scene-overlapping validation split. The unchanged 108-combination grid was scored only on the first 20 validation images. Grid index 41 selected [0.5, 0.5, 0.3, 40] at validation AP50 0.826061; selection was frozen at commit 7eaa46c17a610ac8173ad1194d992668403a6760 before one v2 evaluation-file score.</w:t>
      </w:r>
    </w:p>
    <w:p>
      <w:pPr>
        <w:spacing w:after="120"/>
        <w:jc w:val="both"/>
      </w:pPr>
      <w:r>
        <w:rPr>
          <w:rFonts w:ascii="Times New Roman" w:hAnsi="Times New Roman" w:eastAsia="Times New Roman"/>
        </w:rPr>
        <w:t>The released author scorer (OrgaSegment v1.0.1 commit aeaec17c42fefde61a8b2215a616d419e8126e9f) gives an evaluation-file mean AP50 0.761108, exceeding the locked numerical comparison 0.760000 by 0.001108. The unique-mask-count implementation gives 0.761773 and is NOT used for the gate. These are the saved single-run per-image means in results/trainonly_seg/sealed_eval_v2.json, not replicate-run means or a confidence-bound comparison. The released Mask R-CNN predictions were not scored head-to-head here; the published rounded reference 0.76 +/- 0.12 may be an estimate from a differing evaluation protocol. The numerical margin is small relative to image-to-image spread. More importantly, repeated fields of view span train and eval files (Section 4.5e): the &gt;0.76 numerical crossing is preserved as a historical calculation but cannot count as an independent benchmark win. The model cannot be called the best virtual organoid in the world.</w:t>
      </w:r>
    </w:p>
    <w:p>
      <w:r>
        <w:rPr>
          <w:rFonts w:ascii="Times New Roman" w:hAnsi="Times New Roman" w:eastAsia="Times New Roman"/>
          <w:b/>
        </w:rPr>
        <w:t>Table 15. V2 single sealed author-scorer evaluation. Full image names, TP, FP, FN, and mask-ID-gap accounting: results/trainonly_seg/sealed_eval_v2.json. This is a frozen-selection evaluation-file comparison, but acquisition-field overlap disqualifies an independent held-out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55</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57</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50</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92</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71</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110</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0.790</w:t>
            </w:r>
          </w:p>
        </w:tc>
        <w:tc>
          <w:tcPr>
            <w:tcW w:type="dxa" w:w="1728"/>
          </w:tcPr>
          <w:p>
            <w:r>
              <w:rPr>
                <w:rFonts w:ascii="Times New Roman" w:hAnsi="Times New Roman" w:eastAsia="Times New Roman"/>
              </w:rPr>
              <w:t>0.798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92</w:t>
            </w:r>
          </w:p>
        </w:tc>
      </w:tr>
    </w:tbl>
    <w:p>
      <w:pPr>
        <w:spacing w:after="120"/>
        <w:jc w:val="both"/>
      </w:pPr>
      <w:r>
        <w:rPr>
          <w:rFonts w:ascii="Times New Roman" w:hAnsi="Times New Roman" w:eastAsia="Times New Roman"/>
        </w:rPr>
        <w:t>Open controls: release the prediction masks and rerun both models under exactly identical code and split; estimate paired uncertainty over images and train seeds; test a separately sourced annotation cohort. No threshold, checkpoint, or postprocessing retuning after the sealed v2 result is permitted for a claim about this same eval split.</w:t>
      </w:r>
    </w:p>
    <w:p>
      <w:pPr>
        <w:pStyle w:val="Heading2"/>
      </w:pPr>
      <w:r>
        <w:rPr>
          <w:rFonts w:ascii="Times New Roman" w:hAnsi="Times New Roman" w:eastAsia="Times New Roman"/>
        </w:rPr>
        <w:t>4.5d What the thin numerical threshold crossing cannot establish</w:t>
      </w:r>
    </w:p>
    <w:p>
      <w:pPr>
        <w:spacing w:after="120"/>
        <w:jc w:val="both"/>
      </w:pPr>
      <w:r>
        <w:rPr>
          <w:rFonts w:ascii="Times New Roman" w:hAnsi="Times New Roman" w:eastAsia="Times New Roman"/>
        </w:rPr>
        <w:t>After the sealed v2 result, we wrote and ran a descriptive uncertainty audit; it is explicitly post-evaluation and cannot change the predeclared &gt;0.76 numerical gate. The 12-image author-scorer mean is 0.761108 with sample image SD 0.113212. A seed-20260926 image-resampling percentile interval from 20,000 draws is [0.703230, 0.825010]. It includes the published rounded 0.76; it does not account for acquisition-field leakage, and 5/12 leave-one-image-out v2 means fall at or below 0.76. All image deletion outcomes are preserved in results/ap50_uncertainty_audit.json; none are used to reselect a model. This is evidence of thin numerical margin; the cross-split repeated fields independently disqualify a held-out general-superiority claim.</w:t>
      </w:r>
    </w:p>
    <w:p>
      <w:pPr>
        <w:spacing w:after="120"/>
        <w:jc w:val="both"/>
      </w:pPr>
      <w:r>
        <w:rPr>
          <w:rFonts w:ascii="Times New Roman" w:hAnsi="Times New Roman" w:eastAsia="Times New Roman"/>
        </w:rPr>
        <w:t>The paired v2 minus our own clean v1 image mean is +0.022436, with conditional image-bootstrap interval [+0.004474, +0.041408]. It improves 8 images, declines 2 and ties 2 under a 1e-7 tolerance; the two-sided sign p over nonties is 0.109375. This within-project comparison is useful debugging evidence, not a head-to-head result against the released Mask R-CNN or a second cohort. Image bootstrap estimates uncertainty conditional on this fixed split and ignores training-seed and domain-shift variation. A new acquisition batch with locked weights/preprocessing and, ideally, paired author checkpoint predictions is the needed confirmatory benchmark.</w:t>
      </w:r>
    </w:p>
    <w:p>
      <w:pPr>
        <w:pStyle w:val="Heading2"/>
      </w:pPr>
      <w:r>
        <w:rPr>
          <w:rFonts w:ascii="Times New Roman" w:hAnsi="Times New Roman" w:eastAsia="Times New Roman"/>
        </w:rPr>
        <w:t>4.5e Post-result audit: repeated acquisition fields cross segmentation splits</w:t>
      </w:r>
    </w:p>
    <w:p>
      <w:pPr>
        <w:spacing w:after="120"/>
        <w:jc w:val="both"/>
      </w:pPr>
      <w:r>
        <w:rPr>
          <w:rFonts w:ascii="Times New Roman" w:hAnsi="Times New Roman" w:eastAsia="Times New Roman"/>
        </w:rPr>
        <w:t>A new post-result forensic scan found zero identical image or mask SHA256s across the 184/35/12 train/val/eval files. But standardized 32-by-32 grayscale thumbnails flagged 5 cross-split pairs above cosine 0.95. The top train/eval pair reached 0.996584. Direct visual inspection of the original image pixels confirmed the same organoid layout in this pair and in two train/val pairs despite different filenames, brightness and image detail. A fourth val/eval pair has a partly shifted but similar field; its acquisition identity is not adjudicated. This scan is post hoc and the threshold is an investigation aid, not a validated group identifier. The complete pair list and file hashes are in results/seg_split_integrity_v2.json; screenshots are not needed to reproduce the thumbnail audit from the original public files.</w:t>
      </w:r>
    </w:p>
    <w:p>
      <w:pPr>
        <w:spacing w:after="120"/>
        <w:jc w:val="both"/>
      </w:pPr>
      <w:r>
        <w:rPr>
          <w:rFonts w:ascii="Times New Roman" w:hAnsi="Times New Roman" w:eastAsia="Times New Roman"/>
        </w:rPr>
        <w:t>This changes the interpretation of Sections 4.5a-d. Train-only means train-filename-only, not acquisition-scene-only. File-untouched means scores were not requested during selection, not that the underlying scenes were unseen. The 0.761108 author-scorer mean and the locked &gt;0.76 numerical arithmetic remain exactly as recorded; the prerequisite of an independently held-out benchmark sample was not satisfied. We retract the benchmark-improvement claim rather than excluding overlapping eval images after seeing outcomes, rewriting the gate, or treating a post hoc subgroup as a new sealed test. The earlier 0.73867 negative remains in the record. We need source acquisition and donor metadata, group-disjoint training/validation, an untouched independently acquired evaluation cohort, and a paired author-baseline scorer before claiming benchmark improvement. Source-derived filenames are not enough to prove independence of remaining images.</w:t>
      </w:r>
    </w:p>
    <w:p>
      <w:pPr>
        <w:pStyle w:val="Heading2"/>
      </w:pPr>
      <w:r>
        <w:rPr>
          <w:rFonts w:ascii="Times New Roman" w:hAnsi="Times New Roman" w:eastAsia="Times New Roman"/>
        </w:rPr>
        <w:t>4.5f A scene-graph audit and its false positives</w:t>
      </w:r>
    </w:p>
    <w:p>
      <w:pPr>
        <w:spacing w:after="120"/>
        <w:jc w:val="both"/>
      </w:pPr>
      <w:r>
        <w:rPr>
          <w:rFonts w:ascii="Times New Roman" w:hAnsi="Times New Roman" w:eastAsia="Times New Roman"/>
        </w:rPr>
        <w:t>We implemented an image-only graph for all 231 images, with every pair's 32-by-32 standardized thumbnail cosine and an exact-hash check. Connected components are candidate acquisition scenes; their transitive closure retains repeated frames. At threshold 0.95 there are 215 components, 14 multi-image components, and 5 cross-split components comprising 10 images. At 0.97 and 0.99, 4 and 3 cross-split pairs persist. All cutoffs were selected or inspected AFTER the saved AP50 outcome and so are forensics, not preregistered evaluation choices (scripts/build_scene_graph.py, results/scene_graph_forensics.json).</w:t>
      </w:r>
    </w:p>
    <w:p>
      <w:pPr>
        <w:spacing w:after="120"/>
        <w:jc w:val="both"/>
      </w:pPr>
      <w:r>
        <w:rPr>
          <w:rFonts w:ascii="Times New Roman" w:hAnsi="Times New Roman" w:eastAsia="Times New Roman"/>
        </w:rPr>
        <w:t>A seeded random sample of 1000 cross-split pairs has median cosine 0.352 and 99th percentile 0.865; this descriptive scale check does not yield a calibrated p-value. Visual inspection of the five flagged pairs at 0.95 confirmed three near-identical organoid layouts (one train/eval and two train/val). One val/eval pair may be a shifted scene and remains uncertain. The fifth, a 0003 train/val pair near 0.95065, shows visibly distinct layouts: it is likely a similarity false positive. These adjudications were based on the pixels, not model outcomes; the graph retains even the false-positive candidate to expose threshold limitations. No missing graph edge proves different donors, plates, wells or sessions, because that metadata is unavailable. The old test files have already been seen; excluding image pairs now cannot create a sealed holdout. A new group-disjoint acquisition cohort and published-model paired predictions are still required.</w:t>
      </w:r>
    </w:p>
    <w:p>
      <w:pPr>
        <w:pStyle w:val="Heading2"/>
      </w:pPr>
      <w:r>
        <w:rPr>
          <w:rFonts w:ascii="Times New Roman" w:hAnsi="Times New Roman" w:eastAsia="Times New Roman"/>
        </w:rPr>
        <w:t>4.5g Repeated-field labels confirm shared organoids</w:t>
      </w:r>
    </w:p>
    <w:p>
      <w:pPr>
        <w:spacing w:after="120"/>
        <w:jc w:val="both"/>
      </w:pPr>
      <w:r>
        <w:rPr>
          <w:rFonts w:ascii="Times New Roman" w:hAnsi="Times New Roman" w:eastAsia="Times New Roman"/>
        </w:rPr>
        <w:t>The three strongest cross-split image pairs, all detected above 0.99 cosine before opening their masks in this follow-up, also share labeled organoids. We matched raw 512-by-512 instance masks one-to-one at identical pixel coordinates with a maximum-IoU assignment. Respectively, the two train/val pairs contain 61 and 40 matches at IoU &gt;=0.5 out of 62/66 and 43/45 annotated objects; the train/eval pair contains 50 matches out of 55/52 objects. Corresponding foreground Dice values are 0.905, 0.809, and 0.896. This is direct evidence that many identical organoid layouts and corresponding mask annotations cross filenames and splits, not merely similar illumination or texture.</w:t>
      </w:r>
    </w:p>
    <w:p>
      <w:pPr>
        <w:spacing w:after="120"/>
        <w:jc w:val="both"/>
      </w:pPr>
      <w:r>
        <w:rPr>
          <w:rFonts w:ascii="Times New Roman" w:hAnsi="Times New Roman" w:eastAsia="Times New Roman"/>
        </w:rPr>
        <w:t>The visually distinct-layout 0003 train/val candidate at cosine 0.95065 yields 0 matched objects and Dice 0.028. A retrospectively selected 512-pixel train/eval distinct-layout comparison also yields 0 matches; controls illustrate that thumbnail cosine alone makes false-positive candidate scene groups. The mask checks were performed only after the published-file AP50 was scored; they are annotation consistency evidence, NOT a prospective segmentation test or estimate of benchmark inflation. The same source masks may have been curated together and cannot establish donor independence, either. All original pairs and descriptive controls are in scripts/audit_scene_label_consistency.py and results/scene_label_consistency.json. We have not removed overlapped images or rescored a post hoc uncontaminated subset.</w:t>
      </w:r>
    </w:p>
    <w:p>
      <w:pPr>
        <w:pStyle w:val="Heading2"/>
      </w:pPr>
      <w:r>
        <w:rPr>
          <w:rFonts w:ascii="Times New Roman" w:hAnsi="Times New Roman" w:eastAsia="Times New Roman"/>
        </w:rPr>
        <w:t>4.5h Matched organoid area and boundary variability across repeated fields</w:t>
      </w:r>
    </w:p>
    <w:p>
      <w:pPr>
        <w:spacing w:after="120"/>
        <w:jc w:val="both"/>
      </w:pPr>
      <w:r>
        <w:rPr>
          <w:rFonts w:ascii="Times New Roman" w:hAnsi="Times New Roman" w:eastAsia="Times New Roman"/>
        </w:rPr>
        <w:t>The three high-similarity cross-split fields also permit a direct comparison of their separately stored instance boundaries and areas. A fixed post-result descriptive protocol was written for this analysis; it is not an independently held-out test (notes/paired_scene_boundary_protocol.md).</w:t>
      </w:r>
    </w:p>
    <w:p>
      <w:pPr>
        <w:spacing w:after="120"/>
        <w:jc w:val="both"/>
      </w:pPr>
      <w:r>
        <w:rPr>
          <w:rFonts w:ascii="Times New Roman" w:hAnsi="Times New Roman" w:eastAsia="Times New Roman"/>
        </w:rPr>
        <w:t>At identical raw 512-pixel coordinates we matched labels one-to-one by IoU &gt;=0.5. There are 61, 40, and 50 matched organoids in the three previously flagged pairs. Their median absolute log area ratios are 0.1086, 0.2934, and 0.1451; the median one-pixel-tolerant boundary F1 values are 0.7207, 0.4694, and 0.7314. An exact-copy metric control returns zero area/centroid drift and boundary F1 1; two visually distinct-layout pair controls have zero matched objects at IoU &gt;=0.5. The code and every per-object measurement are in scripts/audit_paired_scene_boundaries.py and results/paired_scene_boundary_consistency.json. This is a measurable repeated-field annotation/acquisition variability signal, not a human inter-rater experiment: acquisition time, annotator identity, mask-curation history and donor IDs are unknown. No valid AP50 ceiling or CFTR phenotype-robustness result follows from it. Independent image acquisition and blinded repeat annotation would be required for those claims.</w:t>
      </w:r>
    </w:p>
    <w:p>
      <w:pPr>
        <w:pStyle w:val="Heading2"/>
      </w:pPr>
      <w:r>
        <w:rPr>
          <w:rFonts w:ascii="Times New Roman" w:hAnsi="Times New Roman" w:eastAsia="Times New Roman"/>
        </w:rPr>
        <w:t>4.5i Retrospective overlap-exclusion score audit</w:t>
      </w:r>
    </w:p>
    <w:p>
      <w:pPr>
        <w:spacing w:after="120"/>
        <w:jc w:val="both"/>
      </w:pPr>
      <w:r>
        <w:rPr>
          <w:rFonts w:ascii="Times New Roman" w:hAnsi="Times New Roman" w:eastAsia="Times New Roman"/>
        </w:rPr>
        <w:t>A further post-result audit asks the narrowest question still available from already-saved outputs: if the graph-flagged cross-split eval images are removed after all scores were viewed, what happens to the saved author-scorer mean? Exclusions come only from the existing image-only graph, never from outcome values. At thresholds 0.95 and 0.97 the flagged eval images are the train-overlapping 20210727_11562 file (AP50 0.87931) and the val-overlapping 20210727_26838 file (AP50 0.71053); removing them leaves 10 images with mean 0.754346, versus 0.761108 on all 12 and 0.729115 for the earlier v1 model on the same retained images. At 0.99 only the train-overlapping file is flagged, leaving 11 images at mean 0.750362. Seeded image-bootstrap intervals, [0.690968, 0.827025] and [0.692235, 0.816450], stay wide and include the rounded published 0.76. Protocol, input hashes and every retained and flagged score are in notes/postresult_scene_overlap_score_audit.md, scripts/audit_postresult_scene_overlap_score.py and results/postresult_scene_overlap_score_audit.json.</w:t>
      </w:r>
    </w:p>
    <w:p>
      <w:pPr>
        <w:spacing w:after="120"/>
        <w:jc w:val="both"/>
      </w:pPr>
      <w:r>
        <w:rPr>
          <w:rFonts w:ascii="Times New Roman" w:hAnsi="Times New Roman" w:eastAsia="Times New Roman"/>
        </w:rPr>
        <w:t>None of these subset means is a held-out benchmark score: the eval files, model and grid were all fixed and scored before the exclusion rule existed, unflagged files can still share acquisition sessions or donors, and no published author-model predictions exist for a paired comparison. The audit is reported because it removes a tempting misreading: even the most aggressive outcome-aware exclusion does not rescue the comparison, it lowers the retained mean below the rounded 0.76 point. The locked all-image v2 score stays exactly as recorded, the retained-subset numbers are diagnostics, and the requirement for a new group-disjoint acquisition cohort with paired author-baseline scoring is unchanged.</w:t>
      </w:r>
    </w:p>
    <w:p>
      <w:pPr>
        <w:pStyle w:val="Heading2"/>
      </w:pPr>
      <w:r>
        <w:rPr>
          <w:rFonts w:ascii="Times New Roman" w:hAnsi="Times New Roman" w:eastAsia="Times New Roman"/>
        </w:rPr>
        <w:t>4.5j Distinct mouse-intestinal detection transfer: negative</w:t>
      </w:r>
    </w:p>
    <w:p>
      <w:pPr>
        <w:spacing w:after="120"/>
        <w:jc w:val="both"/>
      </w:pPr>
      <w:r>
        <w:rPr>
          <w:rFonts w:ascii="Times New Roman" w:hAnsi="Times New Roman" w:eastAsia="Times New Roman"/>
        </w:rPr>
        <w:t>We tested the fixed human-organoid segmentation checkpoint on a different image and annotation domain, not as a repaired version of the original human mask benchmark. The Domènech-Moreno mouse-intestinal 4x EVOS release (Zenodo 6768583) contains 756 train and 84 released validation JPEGs with manually drawn YOLO object boxes across four morphology classes. Its 193.9 MB archive matches the source MD5. Before reading target scores we fixed the existing v2 U-Net weights and the original human-validation parameters, converted its instance masks to tight object boxes, collapsed the target classes into one object class and matched boxes once at IoU &gt;=0.5. Across all 84 validation images and 2,468 valid labeled boxes, there are 850 true positives, 911 false positives and 1,618 false negatives. Micro precision 0.483, recall 0.344, F1 0.402; mean per-image F1 0.340. One released zero-width annotation was recorded and excluded from the valid-box denominator. The source hashes, every image count, protocol and implementation are in results/postresult_mouse_yolo_domain.json, notes/postresult_mouse_yolo_domain_protocol.md and scripts/audit_mouse_yolo_domain.py.</w:t>
      </w:r>
    </w:p>
    <w:p>
      <w:pPr>
        <w:spacing w:after="120"/>
        <w:jc w:val="both"/>
      </w:pPr>
      <w:r>
        <w:rPr>
          <w:rFonts w:ascii="Times New Roman" w:hAnsi="Times New Roman" w:eastAsia="Times New Roman"/>
        </w:rPr>
        <w:t>This is an external-domain negative for the current model's ready-to-use object detection. The target is mouse rather than human, class-specific loose boxes rather than pixel instance masks, and a different microscope/field density, so box F1 cannot be compared with the OrgaSegment paper's human mask AP50 0.76. No published comparator's predictions on the same 84 images are in hand, so this is NOT a leading-tool benchmark. No exact image-hash duplicates occur across target train/validation or original human source, but thumbnail similarity flags possible related target acquisition fields and lacks donor/session metadata. Because no mouse images trained our U-Net, this issue does not explain the low transfer recall, but it prevents an independent mouse split claim. Visual review of example low- and higher-scoring target images showed substantial contrast and object-density differences without identifying the cause of false negatives. The result narrows tool deployment; it neither tests CFTR swelling biology nor alters the failed original donor sign and specificity gates.</w:t>
      </w:r>
    </w:p>
    <w:p>
      <w:pPr>
        <w:pStyle w:val="Heading2"/>
      </w:pPr>
      <w:r>
        <w:rPr>
          <w:rFonts w:ascii="Times New Roman" w:hAnsi="Times New Roman" w:eastAsia="Times New Roman"/>
        </w:rPr>
        <w:t>4.5k Candidate-scene-group-disjoint reassignment and its exploratory test</w:t>
      </w:r>
    </w:p>
    <w:p>
      <w:pPr>
        <w:spacing w:after="120"/>
        <w:jc w:val="both"/>
      </w:pPr>
      <w:r>
        <w:rPr>
          <w:rFonts w:ascii="Times New Roman" w:hAnsi="Times New Roman" w:eastAsia="Times New Roman"/>
        </w:rPr>
        <w:t>We made the image-based leakage diagnosis operational, while preserving the original result as history. Under the 27 September exploratory protocol (notes/prereg_group_disjoint_seg.md, commit b8e5132), an exact image hash or standardized 32-by-32 thumbnail cosine &gt;=0.95 joined images into candidate scene groups, including transitive links. Each group's reassignment followed the highest original priority eval &gt; val &gt; train. Five files moved, including one train file to eval and one val file to eval. The resulting 180/37/14 train/val/eval allocation includes all 231 released files exactly once and puts no graph component across splits (results/group_disjoint_seg_split.json, split implementation commit db30071). At cosine 0.97 and 0.99, the earlier forensic graph found 4 and 3 originally cross-split candidate groups, versus 5 at 0.95; these are descriptive threshold checks, not alternative assignments chosen by AP50. The 0.95 graph is a proxy: one flagged pair has visually different layouts and unflagged files can still share donors, wells or sessions. Without acquisition metadata, this reassignment cannot certify independence.</w:t>
      </w:r>
    </w:p>
    <w:p>
      <w:pPr>
        <w:spacing w:after="120"/>
        <w:jc w:val="both"/>
      </w:pPr>
      <w:r>
        <w:rPr>
          <w:rFonts w:ascii="Times New Roman" w:hAnsi="Times New Roman" w:eastAsia="Times New Roman"/>
        </w:rPr>
        <w:t>We freshly initialized the 3-class base-16 U-Net and trained on only the 180 reassigned train files, with no weights from the old v2 checkpoint. The frozen recipe used 512-pixel grayscale normalization, 256-pixel random crops, batch size two, weighted cross entropy 1/1/3, Adam at 0.002, seeded flips and rotations, and up to 60 epochs. The 37 reassigned validation files selected epoch 60 by lowest weighted cross entropy checked every five epochs (loss 0.077038895); their masks did not enter gradient updates. The checkpoint SHA256 is cc9f8ddfd07155854c8955ccd3089de777bd53fcf6131d0ef7aadb26142360f4. The old postprocessing grid was not rerun: script commit 6b23675 froze the code-default foreground/interior/boundary/minimum-size parameters [0.5, 0.6, 0.3, 20] before the first reassigned-eval score, as permitted by that protocol. Model checkpoint and full epoch history are retained under results/group_disjoint_seg/.</w:t>
      </w:r>
    </w:p>
    <w:p>
      <w:pPr>
        <w:spacing w:after="120"/>
        <w:jc w:val="both"/>
      </w:pPr>
      <w:r>
        <w:rPr>
          <w:rFonts w:ascii="Times New Roman" w:hAnsi="Times New Roman" w:eastAsia="Times New Roman"/>
        </w:rPr>
        <w:t>On the 14 reassigned eval images, the pinned OrgaSegment v1.0.1 author AP50 implementation gives mean 0.750403; our unique-mask-count implementation gives 0.751727. A seed-20260927 image bootstrap with 20,000 draws produces a conditional percentile interval [0.689349, 0.810722]. This includes the rounded published 0.76 and omits seed and donor/acquisition variance. The two scorers differ beyond float rounding on two images with missing ground-truth label IDs: the author scorer counts maximum instance label, while ours counts distinct labels. Neither metric is a head-to-head comparison with released Mask R-CNN predictions, which are unavailable here.</w:t>
      </w:r>
    </w:p>
    <w:p>
      <w:r>
        <w:rPr>
          <w:rFonts w:ascii="Times New Roman" w:hAnsi="Times New Roman" w:eastAsia="Times New Roman"/>
          <w:b/>
        </w:rPr>
        <w:t>Table 16. Candidate-group-disjoint exploratory reassignment: all 14 image scores, including the two moved-to-eval files. Full filenames, unique-count scores and mask-ID-gap accounting are in results/group_disjoint_seg/exploratory_eval.json.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eval 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TP</w:t>
            </w:r>
          </w:p>
        </w:tc>
        <w:tc>
          <w:tcPr>
            <w:tcW w:type="dxa" w:w="1728"/>
          </w:tcPr>
          <w:p>
            <w:r>
              <w:rPr>
                <w:rFonts w:ascii="Times New Roman" w:hAnsi="Times New Roman" w:eastAsia="Times New Roman"/>
              </w:rPr>
              <w:t>FP</w:t>
            </w:r>
          </w:p>
        </w:tc>
        <w:tc>
          <w:tcPr>
            <w:tcW w:type="dxa" w:w="1728"/>
          </w:tcPr>
          <w:p>
            <w:r>
              <w:rPr>
                <w:rFonts w:ascii="Times New Roman" w:hAnsi="Times New Roman" w:eastAsia="Times New Roman"/>
              </w:rPr>
              <w:t>FN</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68</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2</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0.583</w:t>
            </w:r>
          </w:p>
        </w:tc>
        <w:tc>
          <w:tcPr>
            <w:tcW w:type="dxa" w:w="1728"/>
          </w:tcPr>
          <w:p>
            <w:r>
              <w:rPr>
                <w:rFonts w:ascii="Times New Roman" w:hAnsi="Times New Roman" w:eastAsia="Times New Roman"/>
              </w:rPr>
              <w:t>49</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27</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0.811</w:t>
            </w:r>
          </w:p>
        </w:tc>
        <w:tc>
          <w:tcPr>
            <w:tcW w:type="dxa" w:w="1728"/>
          </w:tcPr>
          <w:p>
            <w:r>
              <w:rPr>
                <w:rFonts w:ascii="Times New Roman" w:hAnsi="Times New Roman" w:eastAsia="Times New Roman"/>
              </w:rPr>
              <w:t>43</w:t>
            </w:r>
          </w:p>
        </w:tc>
        <w:tc>
          <w:tcPr>
            <w:tcW w:type="dxa" w:w="1728"/>
          </w:tcPr>
          <w:p>
            <w:r>
              <w:rPr>
                <w:rFonts w:ascii="Times New Roman" w:hAnsi="Times New Roman" w:eastAsia="Times New Roman"/>
              </w:rPr>
              <w:t>9</w:t>
            </w:r>
          </w:p>
        </w:tc>
        <w:tc>
          <w:tcPr>
            <w:tcW w:type="dxa" w:w="1728"/>
          </w:tcPr>
          <w:p>
            <w:r>
              <w:rPr>
                <w:rFonts w:ascii="Times New Roman" w:hAnsi="Times New Roman" w:eastAsia="Times New Roman"/>
              </w:rPr>
              <w:t>1</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33</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3</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0.895</w:t>
            </w:r>
          </w:p>
        </w:tc>
        <w:tc>
          <w:tcPr>
            <w:tcW w:type="dxa" w:w="1728"/>
          </w:tcPr>
          <w:p>
            <w:r>
              <w:rPr>
                <w:rFonts w:ascii="Times New Roman" w:hAnsi="Times New Roman" w:eastAsia="Times New Roman"/>
              </w:rPr>
              <w:t>51</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1</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0.554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15</w:t>
            </w:r>
          </w:p>
        </w:tc>
        <w:tc>
          <w:tcPr>
            <w:tcW w:type="dxa" w:w="1728"/>
          </w:tcPr>
          <w:p>
            <w:r>
              <w:rPr>
                <w:rFonts w:ascii="Times New Roman" w:hAnsi="Times New Roman" w:eastAsia="Times New Roman"/>
              </w:rPr>
              <w:t>14</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0.724</w:t>
            </w:r>
          </w:p>
        </w:tc>
        <w:tc>
          <w:tcPr>
            <w:tcW w:type="dxa" w:w="1728"/>
          </w:tcPr>
          <w:p>
            <w:r>
              <w:rPr>
                <w:rFonts w:ascii="Times New Roman" w:hAnsi="Times New Roman" w:eastAsia="Times New Roman"/>
              </w:rPr>
              <w:t>126</w:t>
            </w:r>
          </w:p>
        </w:tc>
        <w:tc>
          <w:tcPr>
            <w:tcW w:type="dxa" w:w="1728"/>
          </w:tcPr>
          <w:p>
            <w:r>
              <w:rPr>
                <w:rFonts w:ascii="Times New Roman" w:hAnsi="Times New Roman" w:eastAsia="Times New Roman"/>
              </w:rPr>
              <w:t>25</w:t>
            </w:r>
          </w:p>
        </w:tc>
        <w:tc>
          <w:tcPr>
            <w:tcW w:type="dxa" w:w="1728"/>
          </w:tcPr>
          <w:p>
            <w:r>
              <w:rPr>
                <w:rFonts w:ascii="Times New Roman" w:hAnsi="Times New Roman" w:eastAsia="Times New Roman"/>
              </w:rPr>
              <w:t>23</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0.850</w:t>
            </w:r>
          </w:p>
        </w:tc>
        <w:tc>
          <w:tcPr>
            <w:tcW w:type="dxa" w:w="1728"/>
          </w:tcPr>
          <w:p>
            <w:r>
              <w:rPr>
                <w:rFonts w:ascii="Times New Roman" w:hAnsi="Times New Roman" w:eastAsia="Times New Roman"/>
              </w:rPr>
              <w:t>51</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4</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0.632</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42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0.702</w:t>
            </w:r>
          </w:p>
        </w:tc>
        <w:tc>
          <w:tcPr>
            <w:tcW w:type="dxa" w:w="1728"/>
          </w:tcPr>
          <w:p>
            <w:r>
              <w:rPr>
                <w:rFonts w:ascii="Times New Roman" w:hAnsi="Times New Roman" w:eastAsia="Times New Roman"/>
              </w:rPr>
              <w:t>66</w:t>
            </w:r>
          </w:p>
        </w:tc>
        <w:tc>
          <w:tcPr>
            <w:tcW w:type="dxa" w:w="1728"/>
          </w:tcPr>
          <w:p>
            <w:r>
              <w:rPr>
                <w:rFonts w:ascii="Times New Roman" w:hAnsi="Times New Roman" w:eastAsia="Times New Roman"/>
              </w:rPr>
              <w:t>19</w:t>
            </w:r>
          </w:p>
        </w:tc>
        <w:tc>
          <w:tcPr>
            <w:tcW w:type="dxa" w:w="1728"/>
          </w:tcPr>
          <w:p>
            <w:r>
              <w:rPr>
                <w:rFonts w:ascii="Times New Roman" w:hAnsi="Times New Roman" w:eastAsia="Times New Roman"/>
              </w:rPr>
              <w:t>9</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0.767</w:t>
            </w:r>
          </w:p>
        </w:tc>
        <w:tc>
          <w:tcPr>
            <w:tcW w:type="dxa" w:w="1728"/>
          </w:tcPr>
          <w:p>
            <w:r>
              <w:rPr>
                <w:rFonts w:ascii="Times New Roman" w:hAnsi="Times New Roman" w:eastAsia="Times New Roman"/>
              </w:rPr>
              <w:t>56</w:t>
            </w:r>
          </w:p>
        </w:tc>
        <w:tc>
          <w:tcPr>
            <w:tcW w:type="dxa" w:w="1728"/>
          </w:tcPr>
          <w:p>
            <w:r>
              <w:rPr>
                <w:rFonts w:ascii="Times New Roman" w:hAnsi="Times New Roman" w:eastAsia="Times New Roman"/>
              </w:rPr>
              <w:t>14</w:t>
            </w:r>
          </w:p>
        </w:tc>
        <w:tc>
          <w:tcPr>
            <w:tcW w:type="dxa" w:w="1728"/>
          </w:tcPr>
          <w:p>
            <w:r>
              <w:rPr>
                <w:rFonts w:ascii="Times New Roman" w:hAnsi="Times New Roman" w:eastAsia="Times New Roman"/>
              </w:rPr>
              <w:t>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0.705</w:t>
            </w:r>
          </w:p>
        </w:tc>
        <w:tc>
          <w:tcPr>
            <w:tcW w:type="dxa" w:w="1728"/>
          </w:tcPr>
          <w:p>
            <w:r>
              <w:rPr>
                <w:rFonts w:ascii="Times New Roman" w:hAnsi="Times New Roman" w:eastAsia="Times New Roman"/>
              </w:rPr>
              <w:t>55</w:t>
            </w:r>
          </w:p>
        </w:tc>
        <w:tc>
          <w:tcPr>
            <w:tcW w:type="dxa" w:w="1728"/>
          </w:tcPr>
          <w:p>
            <w:r>
              <w:rPr>
                <w:rFonts w:ascii="Times New Roman" w:hAnsi="Times New Roman" w:eastAsia="Times New Roman"/>
              </w:rPr>
              <w:t>19</w:t>
            </w:r>
          </w:p>
        </w:tc>
        <w:tc>
          <w:tcPr>
            <w:tcW w:type="dxa" w:w="1728"/>
          </w:tcPr>
          <w:p>
            <w:r>
              <w:rPr>
                <w:rFonts w:ascii="Times New Roman" w:hAnsi="Times New Roman" w:eastAsia="Times New Roman"/>
              </w:rPr>
              <w:t>4</w:t>
            </w:r>
          </w:p>
        </w:tc>
      </w:tr>
      <w:tr>
        <w:tc>
          <w:tcPr>
            <w:tcW w:type="dxa" w:w="1728"/>
          </w:tcPr>
          <w:p>
            <w:r>
              <w:rPr>
                <w:rFonts w:ascii="Times New Roman" w:hAnsi="Times New Roman" w:eastAsia="Times New Roman"/>
              </w:rPr>
              <w:t>13</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103</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45</w:t>
            </w:r>
          </w:p>
        </w:tc>
      </w:tr>
      <w:tr>
        <w:tc>
          <w:tcPr>
            <w:tcW w:type="dxa" w:w="1728"/>
          </w:tcPr>
          <w:p>
            <w:r>
              <w:rPr>
                <w:rFonts w:ascii="Times New Roman" w:hAnsi="Times New Roman" w:eastAsia="Times New Roman"/>
              </w:rPr>
              <w:t>14</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78</w:t>
            </w:r>
          </w:p>
        </w:tc>
        <w:tc>
          <w:tcPr>
            <w:tcW w:type="dxa" w:w="1728"/>
          </w:tcPr>
          <w:p>
            <w:r>
              <w:rPr>
                <w:rFonts w:ascii="Times New Roman" w:hAnsi="Times New Roman" w:eastAsia="Times New Roman"/>
              </w:rPr>
              <w:t>13</w:t>
            </w:r>
          </w:p>
        </w:tc>
        <w:tc>
          <w:tcPr>
            <w:tcW w:type="dxa" w:w="1728"/>
          </w:tcPr>
          <w:p>
            <w:r>
              <w:rPr>
                <w:rFonts w:ascii="Times New Roman" w:hAnsi="Times New Roman" w:eastAsia="Times New Roman"/>
              </w:rPr>
              <w:t>9</w:t>
            </w:r>
          </w:p>
        </w:tc>
      </w:tr>
    </w:tbl>
    <w:p>
      <w:pPr>
        <w:spacing w:after="120"/>
        <w:jc w:val="both"/>
      </w:pPr>
      <w:r>
        <w:rPr>
          <w:rFonts w:ascii="Times New Roman" w:hAnsi="Times New Roman" w:eastAsia="Times New Roman"/>
        </w:rPr>
        <w:t>Failure analysis is heterogeneous rather than a single global threshold effect. The lowest-scoring images had author AP50 0.554 (36 TP, 15 FP, 14 FN) and 0.583 (49 TP, 8 FP, 27 FN); the highest reached 0.958 (68 TP, 1 FP, 2 FN). The two moved-to-eval images scored 0.850 and 0.767, but they were already available to prior analyses and cannot be called unseen. On the 12 original eval images shared with the old v2 report, a descriptive same-file paired mean change is -0.0204 AP50. This is not an isolated effect of leakage removal: weights, training membership, validation set, model selection and extraction parameters all changed. The original 0.761108 result and numerical threshold crossing remain archived; the new 0.750403 estimate is not a corrected benchmark score, an independent replication or proof that the old estimate was inflated by exactly their difference. The eval includes 10 singleton proxy groups and two two-image groups, but these are not verified independent donors or plates; the image-bootstrap interval ignores any hidden nesting. An untouched acquisition cohort with real donor/plate/field IDs and paired published-model predictions is still required for a leading-tool claim (notes/group_disjoint_eval_design_limits.md).</w:t>
      </w:r>
    </w:p>
    <w:p>
      <w:pPr>
        <w:pStyle w:val="Heading2"/>
      </w:pPr>
      <w:r>
        <w:rPr>
          <w:rFonts w:ascii="Times New Roman" w:hAnsi="Times New Roman" w:eastAsia="Times New Roman"/>
        </w:rPr>
        <w:t>4.5l Post-result candidate-scene-group uncertainty</w:t>
      </w:r>
    </w:p>
    <w:p>
      <w:pPr>
        <w:spacing w:after="120"/>
        <w:jc w:val="both"/>
      </w:pPr>
      <w:r>
        <w:rPr>
          <w:rFonts w:ascii="Times New Roman" w:hAnsi="Times New Roman" w:eastAsia="Times New Roman"/>
        </w:rPr>
        <w:t>The 14-image bootstrap in Section 4.5k resamples image files as if they were exchangeable. A post-result sensitivity instead resamples the frozen 0.95 thumbnail-graph components. The reassigned eval files form 12 candidate groups, 10 singletons and 2 two-image groups. Equal weighting by candidate group gives author AP50 0.741429; seed-20260927 bootstrap of 20,000 group-mean resamples gives a descriptive interval [0.675048, 0.809498]. The image-weighted mean is 0.750403 with image-bootstrap interval [0.689349, 0.810722]. Different point estimates reflect changing the weights of the two duplicated-proxy groups; this is not a controlled variance-only adjustment or an estimate of donor-level uncertainty.</w:t>
      </w:r>
    </w:p>
    <w:p>
      <w:pPr>
        <w:spacing w:after="120"/>
        <w:jc w:val="both"/>
      </w:pPr>
      <w:r>
        <w:rPr>
          <w:rFonts w:ascii="Times New Roman" w:hAnsi="Times New Roman" w:eastAsia="Times New Roman"/>
        </w:rPr>
        <w:t>This calculation was chosen and run after the AP50 outcomes were known (notes/postresult_group_cluster_uncertainty.md). The image-only graph can merge unrelated fields or miss common donors and plates, and both intervals omit uncertainty over training seeds and annotators. That the two intervals overlap 0.76 has no confirmatory role, because this evaluation was already seen and the published model was not run head-to-head. Full group memberships, scores and deterministic bootstrap implementation are in results/group_disjoint_seg/postresult_group_cluster_uncertainty.json and scripts/audit_group_cluster_uncertainty.py.</w:t>
      </w:r>
    </w:p>
    <w:p>
      <w:pPr>
        <w:pStyle w:val="Heading2"/>
      </w:pPr>
      <w:r>
        <w:rPr>
          <w:rFonts w:ascii="Times New Roman" w:hAnsi="Times New Roman" w:eastAsia="Times New Roman"/>
        </w:rPr>
        <w:t>Secondary exploratory analyses III: organoid-to-tissue fidelity across public transcriptomes</w:t>
      </w:r>
    </w:p>
    <w:p>
      <w:pPr>
        <w:spacing w:after="120"/>
        <w:jc w:val="both"/>
      </w:pPr>
      <w:r>
        <w:rPr>
          <w:rFonts w:ascii="Times New Roman" w:hAnsi="Times New Roman" w:eastAsia="Times New Roman"/>
        </w:rPr>
        <w:t>Sections 4.6 through 4.13 are off-question secondary analyses of organoid-to-tissue fidelity in public expression data, retained and labeled exploratory.</w:t>
      </w:r>
    </w:p>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17.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These series-level ranks were computed before the sample-level audit in Section 4.9. At this stage, the clean text-filtered subset appeared to match cultured fibroblasts often, and the working prediction was that a parenchymal-gene restriction would leave a fibroblast best-match share above 15% in that same text-filtered subset. That prediction is an internal same-series test, not a biological validation. We later checked sample metadata and found many series labeled as organoid-related do not contain organoid samples; Section 4.9 retracts the broad culture-fibroblast interpretation. The tool vorganoid fidelity produces a tissue-rank calculation, not a diagnosis or validated organoid-quality score.</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18.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These same-series tissue-rank shifts suggest cell-composition sensitivity, but mixed sample labels prevent a general organoid-specific correction claim. Removing the selected culture genes did not materially change this rank result. The internal text-filtered-subset prediction (fibroblast best-match share above 15% on parenchymal-only genes) was numerically met before the later sample-label audit: 28% [0.20, 0.37] and 22% [0.15, 0.29]. The lower bound of the second interval touches the threshold; more importantly, a threshold met on mixed samples cannot validate a general organoid phenomenon. The strict organoid-only reanalysis in Section 4.9 takes precedence over this earlier text-filtered aggregate. vorganoid fidelity --purity applies the gene restriction to a supplied count matrix without asserting clinical or biological calibration.</w:t>
      </w:r>
    </w:p>
    <w:p>
      <w:pPr>
        <w:pStyle w:val="Heading2"/>
      </w:pPr>
      <w:r>
        <w:rPr>
          <w:rFonts w:ascii="Times New Roman" w:hAnsi="Times New Roman" w:eastAsia="Times New Roman"/>
        </w:rPr>
        <w:t>4.8 What drives the text-filtered fibroblast rank pattern?</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19.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these mixed series profiles lack. Removing either family alone leaves the earlier text-filtered rank pattern in place (Sections 4.6-4.7), but the later strictly organoid-only audit in Section 4.9 overrides a general attractor claim. Restricting to 19,254 HGNC protein-coding genes also retains that text-filtered rank pattern (fibroblast best match 44% [0.35, 0.53] and 28% [0.20, 0.36]) in the text-filtered subset; non-coding genes alone do not explain that aggregate, but sample composition still can. A future proliferation/purity hypothesis would need organoid and matched primary tissue from the same donors, profiled together. It cannot be inferred as the mechanism from these mixed series.</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20.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21.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22.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23.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Wider full-text prior art narrows the size claim further: Calucho et al. 2021 tested individual WT nasospheroid starting size against CFTR-dependent FSK shrinking and found no significant association among 138 responders (Spearman r=-0.1216, p=0.1537 for 60-minute fractional response; supplementary slope r=0.04124, p=0.6298). This airway system has opposite polarity/readout and does not directly duplicate donor-matched intestinal drug-by-size interaction, but starting-size analysis of CFTR spheroids is not generally novel. Kim et al. 2020 found no initial-size/growth relation in two colorectal tumor organoid lines and warned that small-object detection can add variation. Full-text audit and source URLs: results/epmc_priorart_review.md and results/external_fis_source_audit.md. No discovery follows from a narrower question alone.</w:t>
      </w:r>
    </w:p>
    <w:p>
      <w:pPr>
        <w:spacing w:after="120"/>
        <w:jc w:val="both"/>
      </w:pPr>
      <w:r>
        <w:rPr>
          <w:rFonts w:ascii="Times New Roman" w:hAnsi="Times New Roman" w:eastAsia="Times New Roman"/>
        </w:rPr>
        <w:t>Berical et al. 2022 tracked individual human iPSC-derived airway spheroids after forskolin or vehicle and tested CFTR-modulator FIS across patient lines. This is strong prior art for individual-object CFTR swelling assays, not a release of matched individual-object baseline/end size by patient and treatment: its public Source Data workbook provides figure-level experiment values and separate baseline sizes without object IDs linking the panels. Airway tissue and a 20-24-hour response differ from intestinal FIS. Our narrower intestinal drug-by-size result remains unvalidated, not novel merely because this released workbook lacks paired tracks (results/berical_source_suitability.md).</w:t>
      </w:r>
    </w:p>
    <w:p>
      <w:pPr>
        <w:spacing w:after="120"/>
        <w:jc w:val="both"/>
      </w:pPr>
      <w:r>
        <w:rPr>
          <w:rFonts w:ascii="Times New Roman" w:hAnsi="Times New Roman" w:eastAsia="Times New Roman"/>
        </w:rPr>
        <w:t>A 2021 Cells study also tracked individual iPSC-derived human intestinal organoids every 15 minutes through a four-hour CFTR swelling assay, measuring size against baseline; it tested VX-809/VX-770 rescue in a single named F508del CF line. Its public supplemental archive contains figures, not raw object tracks, and its underlying data are available on request. Thus even individual tracking of intestinal CFTR FIS predates this work. It cannot establish or refute a donor-general drug-by-starting-size effect because it reports only one CF line and no public joinable object-level treatment table (results/ipsc_intestinal_source_suitability.md).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two nasal CFTR-modulator papers reported either well-summed areas or summary plots without a verified public matched-object table. Drevinek's 20-patient area series was suitable for well-level drug-ranking analysis, not individual-size replication. This search is not exhaustive.</w:t>
      </w:r>
    </w:p>
    <w:p>
      <w:pPr>
        <w:pStyle w:val="Heading2"/>
      </w:pPr>
      <w:r>
        <w:rPr>
          <w:rFonts w:ascii="Times New Roman" w:hAnsi="Times New Roman" w:eastAsia="Times New Roman"/>
        </w:rPr>
        <w:t>5. Findings that did not hold</w:t>
      </w:r>
    </w:p>
    <w:p>
      <w:pPr>
        <w:spacing w:after="120"/>
        <w:jc w:val="both"/>
      </w:pPr>
      <w:r>
        <w:rPr>
          <w:rFonts w:ascii="Times New Roman" w:hAnsi="Times New Roman" w:eastAsia="Times New Roman"/>
        </w:rPr>
        <w:t>The original sign-only donor-block test (9/12, p=0.073) and zero-forskolin specificity test (3/11, p=0.967) failed; the later size mixed-model result is same-accession evidence, not donor-independent validation or a CFTR-specific mechanism. The initial power-law interpretation and size-adjusted donor discrimination claim were not retained. The first segmentation checkpoint fell below the published mean, and the v2 evaluation-file AP50 crossed its rounded comparison only after an image split later shown to share organoid fields; it is not an independent benchmark improvement. Full negative-arm results and protocols remain in the repository results and notes, and in Sections 4.3-4.5.</w:t>
      </w:r>
    </w:p>
    <w:p>
      <w:pPr>
        <w:spacing w:after="120"/>
        <w:jc w:val="both"/>
      </w:pPr>
      <w:r>
        <w:rPr>
          <w:rFonts w:ascii="Times New Roman" w:hAnsi="Times New Roman" w:eastAsia="Times New Roman"/>
        </w:rPr>
        <w:t>Fidelity claims narrowed after their controls: the broad culture-fibroblast attractor was retracted for strictly organoid-only samples, kidney external profiles contradicted the original organ split, and several mechanism/clinical-target enrichment arms did not meet their registered bars. We retain those numerical tests in the repository rather than expanding each failed arm into the paper's main narrative. Neither the size result nor tissue-rank analysis is a clinical diagnostic.</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The same-accession eligibility sensitivity weakens from 9/12 (p=0.073) at three measured objects per cell to 8/12 (p=0.194) at five. At ten, the apparently low p comes from only six surviving donors and is uninterpretable under the frozen minimum-eight-donor rule. All three originally nonpositive donors are excluded at minimum ten, so the six-of-six result selects a different donor subset; excluded donors are not imputed as negatives. Selective eligibility is another reason not to claim a donor-general effect (results/finding_block_eligibility_sensitivity.md; results/finding_eligibility_composition.md).</w:t>
      </w:r>
    </w:p>
    <w:p>
      <w:pPr>
        <w:spacing w:after="120"/>
        <w:jc w:val="both"/>
      </w:pPr>
      <w:r>
        <w:rPr>
          <w:rFonts w:ascii="Times New Roman" w:hAnsi="Times New Roman" w:eastAsia="Times New Roman"/>
        </w:rPr>
        <w:t>A frozen paired no-forskolin specificity test also fails: 3/11 donor-median contrasts are more positive at 0.128 uM than zero forskolin (one-sided p=0.9673). This weakens the proposed CFTR-specific interpretation without proving its absence or explaining the zero-dose response (results/finding_zero_fsk_control.md).</w:t>
      </w:r>
    </w:p>
    <w:p>
      <w:pPr>
        <w:spacing w:after="120"/>
        <w:jc w:val="both"/>
      </w:pPr>
      <w:r>
        <w:rPr>
          <w:rFonts w:ascii="Times New Roman" w:hAnsi="Times New Roman" w:eastAsia="Times New Roman"/>
        </w:rPr>
        <w:t>In this accession, drug-minus-DMSO swelling tends to rise from small to larger organoids and then plateau. The original plate-and-dose-matched donor sign test fails at alpha 0.05, while the later locked magnitude-aware donor test and mixed model detect a same-accession positive interaction. This conflict of estimator sensitivity does not establish an independently replicated or CFTR-specific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exact donor-magnitude and mixed-model tests agreeing in a new cohort.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is associated with some exploratory single-organoid readouts, but the registered matched-block and specificity tests fail, and size correction did not improve per-donor discrimination. Recording the starting-size distribution across passages is a possible research quality-control variable, not a tested intervention or clinical adjustment.</w:t>
      </w:r>
    </w:p>
    <w:p>
      <w:pPr>
        <w:spacing w:after="120"/>
        <w:jc w:val="both"/>
      </w:pPr>
      <w:r>
        <w:rPr>
          <w:rFonts w:ascii="Times New Roman" w:hAnsi="Times New Roman" w:eastAsia="Times New Roman"/>
        </w:rPr>
        <w:t>Independent novelty and mechanism remain unproved. We did not find the exact intestinal drug-by-starting-size interaction in the bounded literature search, but Calucho et al. 2021 tested starting size versus individual CFTR nasospheroid FSK response and found no association. Berical et al. 2022 tracked individual iPSC-derived airway spheroid FIS and tested modulators across multiple patient lines; the released source workbook does not link patient-treatment outcomes to per-object baseline areas. A 2021 Cells study had already tracked individual iPSC-derived intestinal CFTR-swelling objects in one CF line; its public supplement lacks paired raw object tracks. A nasal 2D-derived-organoid study reported swelling variation in large structures (bioRxiv 2021.07.20.453105). The narrower intestinal question is unconfirmed and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24.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Calucho M, et al. Validation of nasospheroids to assay CFTR functionality and modulator responses in cystic fibrosis. Sci Rep 2021. https://www.nature.com/articles/s41598-021-94798-x</w:t>
      </w:r>
    </w:p>
    <w:p>
      <w:pPr>
        <w:spacing w:after="120"/>
        <w:jc w:val="both"/>
      </w:pPr>
      <w:r>
        <w:rPr>
          <w:rFonts w:ascii="Times New Roman" w:hAnsi="Times New Roman" w:eastAsia="Times New Roman"/>
        </w:rPr>
        <w:t>Berical A, et al. A multimodal iPSC platform for cystic fibrosis drug testing. Nat Commun 2022. https://www.nature.com/articles/s41467-022-31854-8 . Source-data suitability: results/berical_source_suitability.md</w:t>
      </w:r>
    </w:p>
    <w:p>
      <w:pPr>
        <w:spacing w:after="120"/>
        <w:jc w:val="both"/>
      </w:pPr>
      <w:r>
        <w:rPr>
          <w:rFonts w:ascii="Times New Roman" w:hAnsi="Times New Roman" w:eastAsia="Times New Roman"/>
        </w:rPr>
        <w:t>High-Throughput Functional Analysis of CFTR and Other Apically Localized Proteins in iPSC-Derived Human Intestinal Organoids. Cells 2021. https://www.mdpi.com/2073-4409/10/12/3419 . Supplement suitability: results/ipsc_intestinal_source_suitability.md</w:t>
      </w:r>
    </w:p>
    <w:p>
      <w:pPr>
        <w:spacing w:after="120"/>
        <w:jc w:val="both"/>
      </w:pPr>
      <w:r>
        <w:rPr>
          <w:rFonts w:ascii="Times New Roman" w:hAnsi="Times New Roman" w:eastAsia="Times New Roman"/>
        </w:rPr>
        <w:t>Kim S, et al. Comparison of Cell and Organoid-Level Analysis of Patient-Derived 3D Organoids to Evaluate Tumor Cell Growth Dynamics and Drug Response. SLAS Discov 2020. https://www.slas-discovery.org/article/S2472-5552(22)06605-9/fulltext</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Drevinek P, et al. Response to elexacaftor/tezacaftor/ivacaftor in intestinal organoids derived from people with cystic fibrosis. J Cyst Fibros 2021. https://doi.org/10.1016/j.jcf.2021.07.006 . Data: https://zenodo.org/records/4771466</w:t>
      </w:r>
    </w:p>
    <w:p>
      <w:pPr>
        <w:spacing w:after="120"/>
        <w:jc w:val="both"/>
      </w:pPr>
      <w:r>
        <w:rPr>
          <w:rFonts w:ascii="Times New Roman" w:hAnsi="Times New Roman" w:eastAsia="Times New Roman"/>
        </w:rPr>
        <w:t>Borek-Dohalska L, et al. Effect of vanzacaftor on cystic fibrosis airway epithelial cells compared to elexacaftor. Data: https://zenodo.org/records/15754800</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p>
      <w:r>
        <w:rPr>
          <w:rFonts w:ascii="Times New Roman" w:hAnsi="Times New Roman" w:eastAsia="Times New Roman"/>
        </w:rPr>
        <w:br w:type="page"/>
      </w:r>
    </w:p>
    <w:p>
      <w:pPr>
        <w:pStyle w:val="Heading1"/>
      </w:pPr>
      <w:r>
        <w:rPr>
          <w:rFonts w:ascii="Times New Roman" w:hAnsi="Times New Roman" w:eastAsia="Times New Roman"/>
        </w:rPr>
        <w:t>Appendix A. Patient, plate and dose-level treatment contrasts</w:t>
      </w:r>
    </w:p>
    <w:p>
      <w:pPr>
        <w:spacing w:after="120"/>
        <w:jc w:val="both"/>
      </w:pPr>
      <w:r>
        <w:rPr>
          <w:rFonts w:ascii="Times New Roman" w:hAnsi="Times New Roman" w:eastAsia="Times New Roman"/>
        </w:rPr>
        <w:t>This appendix makes the two distinct well-level FIS rankings inspectable without downloading a raw table. Every row is one source patient x plate x forskolin-dose block, not a new patient or accession. Effects average technical wells within an arm before the patient median is formed. Normalized area AUC is dimensionless and divided by the observation horizon; values here are differences of treatment-arm AUCs. These results cannot test individual-organoid size and should not be used to choose therapy.</w:t>
      </w:r>
    </w:p>
    <w:p>
      <w:pPr>
        <w:spacing w:after="120"/>
        <w:jc w:val="both"/>
      </w:pPr>
      <w:r>
        <w:rPr>
          <w:rFonts w:ascii="Times New Roman" w:hAnsi="Times New Roman" w:eastAsia="Times New Roman"/>
        </w:rPr>
        <w:t>A1 uses Zenodo 4771466 and triple ELX/TEZ/IVA minus double TEZ/IVA. A2 uses Zenodo 15754800 and default VTI minus ETI. The source releases come from related teams, and anonymized patient numbers may overlap. The two experiments, drugs and eligibility rules are not pooled. See results/preregistration_drevinek_fis.md and results/preregistration_vti_eti.md for the frozen questions; the source scripts and JSON contain every eligible well, time-point count, exclusion and sensitivity test.</w:t>
      </w:r>
    </w:p>
    <w:p>
      <w:pPr>
        <w:pStyle w:val="Heading2"/>
      </w:pPr>
      <w:r>
        <w:rPr>
          <w:rFonts w:ascii="Times New Roman" w:hAnsi="Times New Roman" w:eastAsia="Times New Roman"/>
        </w:rPr>
        <w:t>A1. ELX/TEZ/IVA minus TEZ/IVA</w:t>
      </w:r>
    </w:p>
    <w:p>
      <w:pPr>
        <w:spacing w:after="120"/>
        <w:jc w:val="both"/>
      </w:pPr>
      <w:r>
        <w:rPr>
          <w:rFonts w:ascii="Times New Roman" w:hAnsi="Times New Roman" w:eastAsia="Times New Roman"/>
        </w:rPr>
        <w:t>Source https://zenodo.org/records/4771466. 20 IDs and 54 plates appear in the public source; 431/432 blocks meet its preregistered primary criteria. The table preserves positive and negative contrasts. The registered patient-level result is 20/20 positive medians, exact one-sided p=9.536743e-07. Unnormalized raw-area AUC is shown only to reveal sensitivity to baseline area, never as an independent trial.</w:t>
      </w:r>
    </w:p>
    <w:p>
      <w:pPr>
        <w:pStyle w:val="Heading3"/>
      </w:pPr>
      <w:r>
        <w:rPr>
          <w:rFonts w:ascii="Times New Roman" w:hAnsi="Times New Roman" w:eastAsia="Times New Roman"/>
        </w:rPr>
        <w:t>A1.1. Source patient 04-CF</w:t>
      </w:r>
    </w:p>
    <w:p>
      <w:pPr>
        <w:spacing w:after="120"/>
        <w:jc w:val="both"/>
      </w:pPr>
      <w:r>
        <w:rPr>
          <w:rFonts w:ascii="Times New Roman" w:hAnsi="Times New Roman" w:eastAsia="Times New Roman"/>
        </w:rPr>
        <w:t>24 eligible of 24 blocks; median normalized treatment contrast +0.2397; median raw-area contrast +80.78.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25. A1 source patient 04-CF: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+0.0969</w:t>
            </w:r>
          </w:p>
        </w:tc>
        <w:tc>
          <w:tcPr>
            <w:tcW w:type="dxa" w:w="2160"/>
          </w:tcPr>
          <w:p>
            <w:r>
              <w:rPr>
                <w:rFonts w:ascii="Times New Roman" w:hAnsi="Times New Roman" w:eastAsia="Times New Roman"/>
              </w:rPr>
              <w:t>+17.2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-25.0</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+0.2351</w:t>
            </w:r>
          </w:p>
        </w:tc>
        <w:tc>
          <w:tcPr>
            <w:tcW w:type="dxa" w:w="2160"/>
          </w:tcPr>
          <w:p>
            <w:r>
              <w:rPr>
                <w:rFonts w:ascii="Times New Roman" w:hAnsi="Times New Roman" w:eastAsia="Times New Roman"/>
              </w:rPr>
              <w:t>+105.8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+0.3862</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+0.3403</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+0.4299</w:t>
            </w:r>
          </w:p>
        </w:tc>
        <w:tc>
          <w:tcPr>
            <w:tcW w:type="dxa" w:w="2160"/>
          </w:tcPr>
          <w:p>
            <w:r>
              <w:rPr>
                <w:rFonts w:ascii="Times New Roman" w:hAnsi="Times New Roman" w:eastAsia="Times New Roman"/>
              </w:rPr>
              <w:t>+72.8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+0.4613</w:t>
            </w:r>
          </w:p>
        </w:tc>
        <w:tc>
          <w:tcPr>
            <w:tcW w:type="dxa" w:w="2160"/>
          </w:tcPr>
          <w:p>
            <w:r>
              <w:rPr>
                <w:rFonts w:ascii="Times New Roman" w:hAnsi="Times New Roman" w:eastAsia="Times New Roman"/>
              </w:rPr>
              <w:t>+84.1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+0.4579</w:t>
            </w:r>
          </w:p>
        </w:tc>
        <w:tc>
          <w:tcPr>
            <w:tcW w:type="dxa" w:w="2160"/>
          </w:tcPr>
          <w:p>
            <w:r>
              <w:rPr>
                <w:rFonts w:ascii="Times New Roman" w:hAnsi="Times New Roman" w:eastAsia="Times New Roman"/>
              </w:rPr>
              <w:t>+135.0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+0.1165</w:t>
            </w:r>
          </w:p>
        </w:tc>
        <w:tc>
          <w:tcPr>
            <w:tcW w:type="dxa" w:w="2160"/>
          </w:tcPr>
          <w:p>
            <w:r>
              <w:rPr>
                <w:rFonts w:ascii="Times New Roman" w:hAnsi="Times New Roman" w:eastAsia="Times New Roman"/>
              </w:rPr>
              <w:t>-3.5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+65.2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+0.1571</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+0.2123</w:t>
            </w:r>
          </w:p>
        </w:tc>
        <w:tc>
          <w:tcPr>
            <w:tcW w:type="dxa" w:w="2160"/>
          </w:tcPr>
          <w:p>
            <w:r>
              <w:rPr>
                <w:rFonts w:ascii="Times New Roman" w:hAnsi="Times New Roman" w:eastAsia="Times New Roman"/>
              </w:rPr>
              <w:t>+77.5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+0.1809</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+126.2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+0.4189</w:t>
            </w:r>
          </w:p>
        </w:tc>
        <w:tc>
          <w:tcPr>
            <w:tcW w:type="dxa" w:w="2160"/>
          </w:tcPr>
          <w:p>
            <w:r>
              <w:rPr>
                <w:rFonts w:ascii="Times New Roman" w:hAnsi="Times New Roman" w:eastAsia="Times New Roman"/>
              </w:rPr>
              <w:t>+101.3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+0.4469</w:t>
            </w:r>
          </w:p>
        </w:tc>
        <w:tc>
          <w:tcPr>
            <w:tcW w:type="dxa" w:w="2160"/>
          </w:tcPr>
          <w:p>
            <w:r>
              <w:rPr>
                <w:rFonts w:ascii="Times New Roman" w:hAnsi="Times New Roman" w:eastAsia="Times New Roman"/>
              </w:rPr>
              <w:t>+104.3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+0.1244</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+0.1790</w:t>
            </w:r>
          </w:p>
        </w:tc>
        <w:tc>
          <w:tcPr>
            <w:tcW w:type="dxa" w:w="2160"/>
          </w:tcPr>
          <w:p>
            <w:r>
              <w:rPr>
                <w:rFonts w:ascii="Times New Roman" w:hAnsi="Times New Roman" w:eastAsia="Times New Roman"/>
              </w:rPr>
              <w:t>+59.4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+0.3319</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+0.3905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+0.3044</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+0.2444</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+0.1897</w:t>
            </w:r>
          </w:p>
        </w:tc>
        <w:tc>
          <w:tcPr>
            <w:tcW w:type="dxa" w:w="2160"/>
          </w:tcPr>
          <w:p>
            <w:r>
              <w:rPr>
                <w:rFonts w:ascii="Times New Roman" w:hAnsi="Times New Roman" w:eastAsia="Times New Roman"/>
              </w:rPr>
              <w:t>+88.8</w:t>
            </w:r>
          </w:p>
        </w:tc>
      </w:tr>
    </w:tbl>
    <w:p>
      <w:pPr>
        <w:pStyle w:val="Heading3"/>
      </w:pPr>
      <w:r>
        <w:rPr>
          <w:rFonts w:ascii="Times New Roman" w:hAnsi="Times New Roman" w:eastAsia="Times New Roman"/>
        </w:rPr>
        <w:t>A1.2. Source patient 05-CF</w:t>
      </w:r>
    </w:p>
    <w:p>
      <w:pPr>
        <w:spacing w:after="120"/>
        <w:jc w:val="both"/>
      </w:pPr>
      <w:r>
        <w:rPr>
          <w:rFonts w:ascii="Times New Roman" w:hAnsi="Times New Roman" w:eastAsia="Times New Roman"/>
        </w:rPr>
        <w:t>24 eligible of 24 blocks; median normalized treatment contrast +0.2443; median raw-area contrast +69.15.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26. A1 source patient 05-CF: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+0.0627</w:t>
            </w:r>
          </w:p>
        </w:tc>
        <w:tc>
          <w:tcPr>
            <w:tcW w:type="dxa" w:w="2160"/>
          </w:tcPr>
          <w:p>
            <w:r>
              <w:rPr>
                <w:rFonts w:ascii="Times New Roman" w:hAnsi="Times New Roman" w:eastAsia="Times New Roman"/>
              </w:rPr>
              <w:t>+58.1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+68.7</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+0.2492</w:t>
            </w:r>
          </w:p>
        </w:tc>
        <w:tc>
          <w:tcPr>
            <w:tcW w:type="dxa" w:w="2160"/>
          </w:tcPr>
          <w:p>
            <w:r>
              <w:rPr>
                <w:rFonts w:ascii="Times New Roman" w:hAnsi="Times New Roman" w:eastAsia="Times New Roman"/>
              </w:rPr>
              <w:t>+135.9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+0.1121</w:t>
            </w:r>
          </w:p>
        </w:tc>
        <w:tc>
          <w:tcPr>
            <w:tcW w:type="dxa" w:w="2160"/>
          </w:tcPr>
          <w:p>
            <w:r>
              <w:rPr>
                <w:rFonts w:ascii="Times New Roman" w:hAnsi="Times New Roman" w:eastAsia="Times New Roman"/>
              </w:rPr>
              <w:t>+123.0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+0.2863</w:t>
            </w:r>
          </w:p>
        </w:tc>
        <w:tc>
          <w:tcPr>
            <w:tcW w:type="dxa" w:w="2160"/>
          </w:tcPr>
          <w:p>
            <w:r>
              <w:rPr>
                <w:rFonts w:ascii="Times New Roman" w:hAnsi="Times New Roman" w:eastAsia="Times New Roman"/>
              </w:rPr>
              <w:t>+195.0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+0.1021</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+0.1676</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+0.1739</w:t>
            </w:r>
          </w:p>
        </w:tc>
        <w:tc>
          <w:tcPr>
            <w:tcW w:type="dxa" w:w="2160"/>
          </w:tcPr>
          <w:p>
            <w:r>
              <w:rPr>
                <w:rFonts w:ascii="Times New Roman" w:hAnsi="Times New Roman" w:eastAsia="Times New Roman"/>
              </w:rPr>
              <w:t>+59.6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+0.3493</w:t>
            </w:r>
          </w:p>
        </w:tc>
        <w:tc>
          <w:tcPr>
            <w:tcW w:type="dxa" w:w="2160"/>
          </w:tcPr>
          <w:p>
            <w:r>
              <w:rPr>
                <w:rFonts w:ascii="Times New Roman" w:hAnsi="Times New Roman" w:eastAsia="Times New Roman"/>
              </w:rPr>
              <w:t>+149.2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+0.3110</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+0.1827</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+0.2861</w:t>
            </w:r>
          </w:p>
        </w:tc>
        <w:tc>
          <w:tcPr>
            <w:tcW w:type="dxa" w:w="2160"/>
          </w:tcPr>
          <w:p>
            <w:r>
              <w:rPr>
                <w:rFonts w:ascii="Times New Roman" w:hAnsi="Times New Roman" w:eastAsia="Times New Roman"/>
              </w:rPr>
              <w:t>+237.0</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+0.2918</w:t>
            </w:r>
          </w:p>
        </w:tc>
        <w:tc>
          <w:tcPr>
            <w:tcW w:type="dxa" w:w="2160"/>
          </w:tcPr>
          <w:p>
            <w:r>
              <w:rPr>
                <w:rFonts w:ascii="Times New Roman" w:hAnsi="Times New Roman" w:eastAsia="Times New Roman"/>
              </w:rPr>
              <w:t>+51.5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+0.4184</w:t>
            </w:r>
          </w:p>
        </w:tc>
        <w:tc>
          <w:tcPr>
            <w:tcW w:type="dxa" w:w="2160"/>
          </w:tcPr>
          <w:p>
            <w:r>
              <w:rPr>
                <w:rFonts w:ascii="Times New Roman" w:hAnsi="Times New Roman" w:eastAsia="Times New Roman"/>
              </w:rPr>
              <w:t>+241.6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+34.4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+0.3061</w:t>
            </w:r>
          </w:p>
        </w:tc>
        <w:tc>
          <w:tcPr>
            <w:tcW w:type="dxa" w:w="2160"/>
          </w:tcPr>
          <w:p>
            <w:r>
              <w:rPr>
                <w:rFonts w:ascii="Times New Roman" w:hAnsi="Times New Roman" w:eastAsia="Times New Roman"/>
              </w:rPr>
              <w:t>+25.6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+0.1850</w:t>
            </w:r>
          </w:p>
        </w:tc>
        <w:tc>
          <w:tcPr>
            <w:tcW w:type="dxa" w:w="2160"/>
          </w:tcPr>
          <w:p>
            <w:r>
              <w:rPr>
                <w:rFonts w:ascii="Times New Roman" w:hAnsi="Times New Roman" w:eastAsia="Times New Roman"/>
              </w:rPr>
              <w:t>+113.5</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+0.3075</w:t>
            </w:r>
          </w:p>
        </w:tc>
        <w:tc>
          <w:tcPr>
            <w:tcW w:type="dxa" w:w="2160"/>
          </w:tcPr>
          <w:p>
            <w:r>
              <w:rPr>
                <w:rFonts w:ascii="Times New Roman" w:hAnsi="Times New Roman" w:eastAsia="Times New Roman"/>
              </w:rPr>
              <w:t>+76.1</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+0.2394</w:t>
            </w:r>
          </w:p>
        </w:tc>
        <w:tc>
          <w:tcPr>
            <w:tcW w:type="dxa" w:w="2160"/>
          </w:tcPr>
          <w:p>
            <w:r>
              <w:rPr>
                <w:rFonts w:ascii="Times New Roman" w:hAnsi="Times New Roman" w:eastAsia="Times New Roman"/>
              </w:rPr>
              <w:t>+1.4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+0.3160</w:t>
            </w:r>
          </w:p>
        </w:tc>
        <w:tc>
          <w:tcPr>
            <w:tcW w:type="dxa" w:w="2160"/>
          </w:tcPr>
          <w:p>
            <w:r>
              <w:rPr>
                <w:rFonts w:ascii="Times New Roman" w:hAnsi="Times New Roman" w:eastAsia="Times New Roman"/>
              </w:rPr>
              <w:t>+54.4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+0.2506</w:t>
            </w:r>
          </w:p>
        </w:tc>
        <w:tc>
          <w:tcPr>
            <w:tcW w:type="dxa" w:w="2160"/>
          </w:tcPr>
          <w:p>
            <w:r>
              <w:rPr>
                <w:rFonts w:ascii="Times New Roman" w:hAnsi="Times New Roman" w:eastAsia="Times New Roman"/>
              </w:rPr>
              <w:t>+80.9</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+0.2039</w:t>
            </w:r>
          </w:p>
        </w:tc>
        <w:tc>
          <w:tcPr>
            <w:tcW w:type="dxa" w:w="2160"/>
          </w:tcPr>
          <w:p>
            <w:r>
              <w:rPr>
                <w:rFonts w:ascii="Times New Roman" w:hAnsi="Times New Roman" w:eastAsia="Times New Roman"/>
              </w:rPr>
              <w:t>+24.9</w:t>
            </w:r>
          </w:p>
        </w:tc>
      </w:tr>
    </w:tbl>
    <w:p>
      <w:pPr>
        <w:pStyle w:val="Heading3"/>
      </w:pPr>
      <w:r>
        <w:rPr>
          <w:rFonts w:ascii="Times New Roman" w:hAnsi="Times New Roman" w:eastAsia="Times New Roman"/>
        </w:rPr>
        <w:t>A1.3. Source patient 10-CF</w:t>
      </w:r>
    </w:p>
    <w:p>
      <w:pPr>
        <w:spacing w:after="120"/>
        <w:jc w:val="both"/>
      </w:pPr>
      <w:r>
        <w:rPr>
          <w:rFonts w:ascii="Times New Roman" w:hAnsi="Times New Roman" w:eastAsia="Times New Roman"/>
        </w:rPr>
        <w:t>24 eligible of 24 blocks; median normalized treatment contrast +0.2502; median raw-area contrast +60.43.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27. A1 source patient 10-CF: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+0.2087</w:t>
            </w:r>
          </w:p>
        </w:tc>
        <w:tc>
          <w:tcPr>
            <w:tcW w:type="dxa" w:w="2160"/>
          </w:tcPr>
          <w:p>
            <w:r>
              <w:rPr>
                <w:rFonts w:ascii="Times New Roman" w:hAnsi="Times New Roman" w:eastAsia="Times New Roman"/>
              </w:rPr>
              <w:t>+93.1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+0.1557</w:t>
            </w:r>
          </w:p>
        </w:tc>
        <w:tc>
          <w:tcPr>
            <w:tcW w:type="dxa" w:w="2160"/>
          </w:tcPr>
          <w:p>
            <w:r>
              <w:rPr>
                <w:rFonts w:ascii="Times New Roman" w:hAnsi="Times New Roman" w:eastAsia="Times New Roman"/>
              </w:rPr>
              <w:t>+69.1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+0.3545</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+0.4348</w:t>
            </w:r>
          </w:p>
        </w:tc>
        <w:tc>
          <w:tcPr>
            <w:tcW w:type="dxa" w:w="2160"/>
          </w:tcPr>
          <w:p>
            <w:r>
              <w:rPr>
                <w:rFonts w:ascii="Times New Roman" w:hAnsi="Times New Roman" w:eastAsia="Times New Roman"/>
              </w:rPr>
              <w:t>+82.3</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+0.3166</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+0.2305</w:t>
            </w:r>
          </w:p>
        </w:tc>
        <w:tc>
          <w:tcPr>
            <w:tcW w:type="dxa" w:w="2160"/>
          </w:tcPr>
          <w:p>
            <w:r>
              <w:rPr>
                <w:rFonts w:ascii="Times New Roman" w:hAnsi="Times New Roman" w:eastAsia="Times New Roman"/>
              </w:rPr>
              <w:t>+40.0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+0.1722</w:t>
            </w:r>
          </w:p>
        </w:tc>
        <w:tc>
          <w:tcPr>
            <w:tcW w:type="dxa" w:w="2160"/>
          </w:tcPr>
          <w:p>
            <w:r>
              <w:rPr>
                <w:rFonts w:ascii="Times New Roman" w:hAnsi="Times New Roman" w:eastAsia="Times New Roman"/>
              </w:rPr>
              <w:t>+61.9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+0.2287</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+0.1976</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+0.2663</w:t>
            </w:r>
          </w:p>
        </w:tc>
        <w:tc>
          <w:tcPr>
            <w:tcW w:type="dxa" w:w="2160"/>
          </w:tcPr>
          <w:p>
            <w:r>
              <w:rPr>
                <w:rFonts w:ascii="Times New Roman" w:hAnsi="Times New Roman" w:eastAsia="Times New Roman"/>
              </w:rPr>
              <w:t>+119.8</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+0.3775</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+0.4570</w:t>
            </w:r>
          </w:p>
        </w:tc>
        <w:tc>
          <w:tcPr>
            <w:tcW w:type="dxa" w:w="2160"/>
          </w:tcPr>
          <w:p>
            <w:r>
              <w:rPr>
                <w:rFonts w:ascii="Times New Roman" w:hAnsi="Times New Roman" w:eastAsia="Times New Roman"/>
              </w:rPr>
              <w:t>+123.5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+0.3966</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+84.5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+0.3223</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+0.1941</w:t>
            </w:r>
          </w:p>
        </w:tc>
        <w:tc>
          <w:tcPr>
            <w:tcW w:type="dxa" w:w="2160"/>
          </w:tcPr>
          <w:p>
            <w:r>
              <w:rPr>
                <w:rFonts w:ascii="Times New Roman" w:hAnsi="Times New Roman" w:eastAsia="Times New Roman"/>
              </w:rPr>
              <w:t>+25.3</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+0.2091</w:t>
            </w:r>
          </w:p>
        </w:tc>
        <w:tc>
          <w:tcPr>
            <w:tcW w:type="dxa" w:w="2160"/>
          </w:tcPr>
          <w:p>
            <w:r>
              <w:rPr>
                <w:rFonts w:ascii="Times New Roman" w:hAnsi="Times New Roman" w:eastAsia="Times New Roman"/>
              </w:rPr>
              <w:t>+26.5</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+0.2342</w:t>
            </w:r>
          </w:p>
        </w:tc>
        <w:tc>
          <w:tcPr>
            <w:tcW w:type="dxa" w:w="2160"/>
          </w:tcPr>
          <w:p>
            <w:r>
              <w:rPr>
                <w:rFonts w:ascii="Times New Roman" w:hAnsi="Times New Roman" w:eastAsia="Times New Roman"/>
              </w:rPr>
              <w:t>+95.2</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+0.1848</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+0.4305</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+0.2299</w:t>
            </w:r>
          </w:p>
        </w:tc>
        <w:tc>
          <w:tcPr>
            <w:tcW w:type="dxa" w:w="2160"/>
          </w:tcPr>
          <w:p>
            <w:r>
              <w:rPr>
                <w:rFonts w:ascii="Times New Roman" w:hAnsi="Times New Roman" w:eastAsia="Times New Roman"/>
              </w:rPr>
              <w:t>+59.0</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+0.4818</w:t>
            </w:r>
          </w:p>
        </w:tc>
        <w:tc>
          <w:tcPr>
            <w:tcW w:type="dxa" w:w="2160"/>
          </w:tcPr>
          <w:p>
            <w:r>
              <w:rPr>
                <w:rFonts w:ascii="Times New Roman" w:hAnsi="Times New Roman" w:eastAsia="Times New Roman"/>
              </w:rPr>
              <w:t>+100.7</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+0.3073</w:t>
            </w:r>
          </w:p>
        </w:tc>
        <w:tc>
          <w:tcPr>
            <w:tcW w:type="dxa" w:w="2160"/>
          </w:tcPr>
          <w:p>
            <w:r>
              <w:rPr>
                <w:rFonts w:ascii="Times New Roman" w:hAnsi="Times New Roman" w:eastAsia="Times New Roman"/>
              </w:rPr>
              <w:t>-0.4</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+0.2228</w:t>
            </w:r>
          </w:p>
        </w:tc>
        <w:tc>
          <w:tcPr>
            <w:tcW w:type="dxa" w:w="2160"/>
          </w:tcPr>
          <w:p>
            <w:r>
              <w:rPr>
                <w:rFonts w:ascii="Times New Roman" w:hAnsi="Times New Roman" w:eastAsia="Times New Roman"/>
              </w:rPr>
              <w:t>+108.4</w:t>
            </w:r>
          </w:p>
        </w:tc>
      </w:tr>
    </w:tbl>
    <w:p>
      <w:pPr>
        <w:pStyle w:val="Heading3"/>
      </w:pPr>
      <w:r>
        <w:rPr>
          <w:rFonts w:ascii="Times New Roman" w:hAnsi="Times New Roman" w:eastAsia="Times New Roman"/>
        </w:rPr>
        <w:t>A1.4. Source patient 20-CF</w:t>
      </w:r>
    </w:p>
    <w:p>
      <w:pPr>
        <w:spacing w:after="120"/>
        <w:jc w:val="both"/>
      </w:pPr>
      <w:r>
        <w:rPr>
          <w:rFonts w:ascii="Times New Roman" w:hAnsi="Times New Roman" w:eastAsia="Times New Roman"/>
        </w:rPr>
        <w:t>24 eligible of 24 blocks; median normalized treatment contrast +0.1534; median raw-area contrast +108.65.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28. A1 source patient 20-CF: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+0.1287</w:t>
            </w:r>
          </w:p>
        </w:tc>
        <w:tc>
          <w:tcPr>
            <w:tcW w:type="dxa" w:w="2160"/>
          </w:tcPr>
          <w:p>
            <w:r>
              <w:rPr>
                <w:rFonts w:ascii="Times New Roman" w:hAnsi="Times New Roman" w:eastAsia="Times New Roman"/>
              </w:rPr>
              <w:t>+135.3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+226.3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+0.1487</w:t>
            </w:r>
          </w:p>
        </w:tc>
        <w:tc>
          <w:tcPr>
            <w:tcW w:type="dxa" w:w="2160"/>
          </w:tcPr>
          <w:p>
            <w:r>
              <w:rPr>
                <w:rFonts w:ascii="Times New Roman" w:hAnsi="Times New Roman" w:eastAsia="Times New Roman"/>
              </w:rPr>
              <w:t>+129.1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-0.0330</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+0.1130</w:t>
            </w:r>
          </w:p>
        </w:tc>
        <w:tc>
          <w:tcPr>
            <w:tcW w:type="dxa" w:w="2160"/>
          </w:tcPr>
          <w:p>
            <w:r>
              <w:rPr>
                <w:rFonts w:ascii="Times New Roman" w:hAnsi="Times New Roman" w:eastAsia="Times New Roman"/>
              </w:rPr>
              <w:t>+171.5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-0.1799</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-0.0607</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+0.0265</w:t>
            </w:r>
          </w:p>
        </w:tc>
        <w:tc>
          <w:tcPr>
            <w:tcW w:type="dxa" w:w="2160"/>
          </w:tcPr>
          <w:p>
            <w:r>
              <w:rPr>
                <w:rFonts w:ascii="Times New Roman" w:hAnsi="Times New Roman" w:eastAsia="Times New Roman"/>
              </w:rPr>
              <w:t>+133.3</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+0.0891</w:t>
            </w:r>
          </w:p>
        </w:tc>
        <w:tc>
          <w:tcPr>
            <w:tcW w:type="dxa" w:w="2160"/>
          </w:tcPr>
          <w:p>
            <w:r>
              <w:rPr>
                <w:rFonts w:ascii="Times New Roman" w:hAnsi="Times New Roman" w:eastAsia="Times New Roman"/>
              </w:rPr>
              <w:t>-1.6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-13.8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+0.2866</w:t>
            </w:r>
          </w:p>
        </w:tc>
        <w:tc>
          <w:tcPr>
            <w:tcW w:type="dxa" w:w="2160"/>
          </w:tcPr>
          <w:p>
            <w:r>
              <w:rPr>
                <w:rFonts w:ascii="Times New Roman" w:hAnsi="Times New Roman" w:eastAsia="Times New Roman"/>
              </w:rPr>
              <w:t>+103.0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+0.1152</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+0.2096</w:t>
            </w:r>
          </w:p>
        </w:tc>
        <w:tc>
          <w:tcPr>
            <w:tcW w:type="dxa" w:w="2160"/>
          </w:tcPr>
          <w:p>
            <w:r>
              <w:rPr>
                <w:rFonts w:ascii="Times New Roman" w:hAnsi="Times New Roman" w:eastAsia="Times New Roman"/>
              </w:rPr>
              <w:t>+24.0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+0.3125</w:t>
            </w:r>
          </w:p>
        </w:tc>
        <w:tc>
          <w:tcPr>
            <w:tcW w:type="dxa" w:w="2160"/>
          </w:tcPr>
          <w:p>
            <w:r>
              <w:rPr>
                <w:rFonts w:ascii="Times New Roman" w:hAnsi="Times New Roman" w:eastAsia="Times New Roman"/>
              </w:rPr>
              <w:t>+104.0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+0.2647</w:t>
            </w:r>
          </w:p>
        </w:tc>
        <w:tc>
          <w:tcPr>
            <w:tcW w:type="dxa" w:w="2160"/>
          </w:tcPr>
          <w:p>
            <w:r>
              <w:rPr>
                <w:rFonts w:ascii="Times New Roman" w:hAnsi="Times New Roman" w:eastAsia="Times New Roman"/>
              </w:rPr>
              <w:t>+110.8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+0.1582</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+0.1473</w:t>
            </w:r>
          </w:p>
        </w:tc>
        <w:tc>
          <w:tcPr>
            <w:tcW w:type="dxa" w:w="2160"/>
          </w:tcPr>
          <w:p>
            <w:r>
              <w:rPr>
                <w:rFonts w:ascii="Times New Roman" w:hAnsi="Times New Roman" w:eastAsia="Times New Roman"/>
              </w:rPr>
              <w:t>+97.1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+0.2262</w:t>
            </w:r>
          </w:p>
        </w:tc>
        <w:tc>
          <w:tcPr>
            <w:tcW w:type="dxa" w:w="2160"/>
          </w:tcPr>
          <w:p>
            <w:r>
              <w:rPr>
                <w:rFonts w:ascii="Times New Roman" w:hAnsi="Times New Roman" w:eastAsia="Times New Roman"/>
              </w:rPr>
              <w:t>+160.2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+0.3844</w:t>
            </w:r>
          </w:p>
        </w:tc>
        <w:tc>
          <w:tcPr>
            <w:tcW w:type="dxa" w:w="2160"/>
          </w:tcPr>
          <w:p>
            <w:r>
              <w:rPr>
                <w:rFonts w:ascii="Times New Roman" w:hAnsi="Times New Roman" w:eastAsia="Times New Roman"/>
              </w:rPr>
              <w:t>+157.1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+0.3246</w:t>
            </w:r>
          </w:p>
        </w:tc>
        <w:tc>
          <w:tcPr>
            <w:tcW w:type="dxa" w:w="2160"/>
          </w:tcPr>
          <w:p>
            <w:r>
              <w:rPr>
                <w:rFonts w:ascii="Times New Roman" w:hAnsi="Times New Roman" w:eastAsia="Times New Roman"/>
              </w:rPr>
              <w:t>+191.7</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+0.3829</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+0.3559</w:t>
            </w:r>
          </w:p>
        </w:tc>
        <w:tc>
          <w:tcPr>
            <w:tcW w:type="dxa" w:w="2160"/>
          </w:tcPr>
          <w:p>
            <w:r>
              <w:rPr>
                <w:rFonts w:ascii="Times New Roman" w:hAnsi="Times New Roman" w:eastAsia="Times New Roman"/>
              </w:rPr>
              <w:t>+106.5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+0.3542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+0.1749</w:t>
            </w:r>
          </w:p>
        </w:tc>
        <w:tc>
          <w:tcPr>
            <w:tcW w:type="dxa" w:w="2160"/>
          </w:tcPr>
          <w:p>
            <w:r>
              <w:rPr>
                <w:rFonts w:ascii="Times New Roman" w:hAnsi="Times New Roman" w:eastAsia="Times New Roman"/>
              </w:rPr>
              <w:t>+155.8</w:t>
            </w:r>
          </w:p>
        </w:tc>
      </w:tr>
    </w:tbl>
    <w:p>
      <w:pPr>
        <w:pStyle w:val="Heading3"/>
      </w:pPr>
      <w:r>
        <w:rPr>
          <w:rFonts w:ascii="Times New Roman" w:hAnsi="Times New Roman" w:eastAsia="Times New Roman"/>
        </w:rPr>
        <w:t>A1.5. Source patient 21-CF</w:t>
      </w:r>
    </w:p>
    <w:p>
      <w:pPr>
        <w:spacing w:after="120"/>
        <w:jc w:val="both"/>
      </w:pPr>
      <w:r>
        <w:rPr>
          <w:rFonts w:ascii="Times New Roman" w:hAnsi="Times New Roman" w:eastAsia="Times New Roman"/>
        </w:rPr>
        <w:t>23 eligible of 24 blocks; median normalized treatment contrast +0.2527; median raw-area contrast +97.31.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29. A1 source patient 21-CF: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+0.1814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+0.1679</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+0.3067</w:t>
            </w:r>
          </w:p>
        </w:tc>
        <w:tc>
          <w:tcPr>
            <w:tcW w:type="dxa" w:w="2160"/>
          </w:tcPr>
          <w:p>
            <w:r>
              <w:rPr>
                <w:rFonts w:ascii="Times New Roman" w:hAnsi="Times New Roman" w:eastAsia="Times New Roman"/>
              </w:rPr>
              <w:t>+97.3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+0.4494</w:t>
            </w:r>
          </w:p>
        </w:tc>
        <w:tc>
          <w:tcPr>
            <w:tcW w:type="dxa" w:w="2160"/>
          </w:tcPr>
          <w:p>
            <w:r>
              <w:rPr>
                <w:rFonts w:ascii="Times New Roman" w:hAnsi="Times New Roman" w:eastAsia="Times New Roman"/>
              </w:rPr>
              <w:t>+200.0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+0.9694</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+0.5938</w:t>
            </w:r>
          </w:p>
        </w:tc>
        <w:tc>
          <w:tcPr>
            <w:tcW w:type="dxa" w:w="2160"/>
          </w:tcPr>
          <w:p>
            <w:r>
              <w:rPr>
                <w:rFonts w:ascii="Times New Roman" w:hAnsi="Times New Roman" w:eastAsia="Times New Roman"/>
              </w:rPr>
              <w:t>+69.2</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+0.7810</w:t>
            </w:r>
          </w:p>
        </w:tc>
        <w:tc>
          <w:tcPr>
            <w:tcW w:type="dxa" w:w="2160"/>
          </w:tcPr>
          <w:p>
            <w:r>
              <w:rPr>
                <w:rFonts w:ascii="Times New Roman" w:hAnsi="Times New Roman" w:eastAsia="Times New Roman"/>
              </w:rPr>
              <w:t>+220.4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+0.8583</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+0.1843</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&lt;2 wells/arm</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+0.2527</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+0.1219</w:t>
            </w:r>
          </w:p>
        </w:tc>
        <w:tc>
          <w:tcPr>
            <w:tcW w:type="dxa" w:w="2160"/>
          </w:tcPr>
          <w:p>
            <w:r>
              <w:rPr>
                <w:rFonts w:ascii="Times New Roman" w:hAnsi="Times New Roman" w:eastAsia="Times New Roman"/>
              </w:rPr>
              <w:t>+42.9</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-51.0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+0.2095</w:t>
            </w:r>
          </w:p>
        </w:tc>
        <w:tc>
          <w:tcPr>
            <w:tcW w:type="dxa" w:w="2160"/>
          </w:tcPr>
          <w:p>
            <w:r>
              <w:rPr>
                <w:rFonts w:ascii="Times New Roman" w:hAnsi="Times New Roman" w:eastAsia="Times New Roman"/>
              </w:rPr>
              <w:t>+145.0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+0.0519</w:t>
            </w:r>
          </w:p>
        </w:tc>
        <w:tc>
          <w:tcPr>
            <w:tcW w:type="dxa" w:w="2160"/>
          </w:tcPr>
          <w:p>
            <w:r>
              <w:rPr>
                <w:rFonts w:ascii="Times New Roman" w:hAnsi="Times New Roman" w:eastAsia="Times New Roman"/>
              </w:rPr>
              <w:t>+130.2</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+0.2207</w:t>
            </w:r>
          </w:p>
        </w:tc>
        <w:tc>
          <w:tcPr>
            <w:tcW w:type="dxa" w:w="2160"/>
          </w:tcPr>
          <w:p>
            <w:r>
              <w:rPr>
                <w:rFonts w:ascii="Times New Roman" w:hAnsi="Times New Roman" w:eastAsia="Times New Roman"/>
              </w:rPr>
              <w:t>+127.9</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+0.2756</w:t>
            </w:r>
          </w:p>
        </w:tc>
        <w:tc>
          <w:tcPr>
            <w:tcW w:type="dxa" w:w="2160"/>
          </w:tcPr>
          <w:p>
            <w:r>
              <w:rPr>
                <w:rFonts w:ascii="Times New Roman" w:hAnsi="Times New Roman" w:eastAsia="Times New Roman"/>
              </w:rPr>
              <w:t>+113.1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+0.2576</w:t>
            </w:r>
          </w:p>
        </w:tc>
        <w:tc>
          <w:tcPr>
            <w:tcW w:type="dxa" w:w="2160"/>
          </w:tcPr>
          <w:p>
            <w:r>
              <w:rPr>
                <w:rFonts w:ascii="Times New Roman" w:hAnsi="Times New Roman" w:eastAsia="Times New Roman"/>
              </w:rPr>
              <w:t>+229.0</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+0.3469</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+109.3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+0.1227</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-0.0843</w:t>
            </w:r>
          </w:p>
        </w:tc>
        <w:tc>
          <w:tcPr>
            <w:tcW w:type="dxa" w:w="2160"/>
          </w:tcPr>
          <w:p>
            <w:r>
              <w:rPr>
                <w:rFonts w:ascii="Times New Roman" w:hAnsi="Times New Roman" w:eastAsia="Times New Roman"/>
              </w:rPr>
              <w:t>+59.5</w:t>
            </w:r>
          </w:p>
        </w:tc>
      </w:tr>
    </w:tbl>
    <w:p>
      <w:pPr>
        <w:pStyle w:val="Heading3"/>
      </w:pPr>
      <w:r>
        <w:rPr>
          <w:rFonts w:ascii="Times New Roman" w:hAnsi="Times New Roman" w:eastAsia="Times New Roman"/>
        </w:rPr>
        <w:t>A1.6. Source patient 22-CF</w:t>
      </w:r>
    </w:p>
    <w:p>
      <w:pPr>
        <w:spacing w:after="120"/>
        <w:jc w:val="both"/>
      </w:pPr>
      <w:r>
        <w:rPr>
          <w:rFonts w:ascii="Times New Roman" w:hAnsi="Times New Roman" w:eastAsia="Times New Roman"/>
        </w:rPr>
        <w:t>24 eligible of 24 blocks; median normalized treatment contrast +0.2165; median raw-area contrast +87.72.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30. A1 source patient 22-CF: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+0.1680</w:t>
            </w:r>
          </w:p>
        </w:tc>
        <w:tc>
          <w:tcPr>
            <w:tcW w:type="dxa" w:w="2160"/>
          </w:tcPr>
          <w:p>
            <w:r>
              <w:rPr>
                <w:rFonts w:ascii="Times New Roman" w:hAnsi="Times New Roman" w:eastAsia="Times New Roman"/>
              </w:rPr>
              <w:t>+61.0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+0.1146</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+0.2120</w:t>
            </w:r>
          </w:p>
        </w:tc>
        <w:tc>
          <w:tcPr>
            <w:tcW w:type="dxa" w:w="2160"/>
          </w:tcPr>
          <w:p>
            <w:r>
              <w:rPr>
                <w:rFonts w:ascii="Times New Roman" w:hAnsi="Times New Roman" w:eastAsia="Times New Roman"/>
              </w:rPr>
              <w:t>+191.8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+0.3208</w:t>
            </w:r>
          </w:p>
        </w:tc>
        <w:tc>
          <w:tcPr>
            <w:tcW w:type="dxa" w:w="2160"/>
          </w:tcPr>
          <w:p>
            <w:r>
              <w:rPr>
                <w:rFonts w:ascii="Times New Roman" w:hAnsi="Times New Roman" w:eastAsia="Times New Roman"/>
              </w:rPr>
              <w:t>+128.2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+0.3724</w:t>
            </w:r>
          </w:p>
        </w:tc>
        <w:tc>
          <w:tcPr>
            <w:tcW w:type="dxa" w:w="2160"/>
          </w:tcPr>
          <w:p>
            <w:r>
              <w:rPr>
                <w:rFonts w:ascii="Times New Roman" w:hAnsi="Times New Roman" w:eastAsia="Times New Roman"/>
              </w:rPr>
              <w:t>+219.8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+0.3202</w:t>
            </w:r>
          </w:p>
        </w:tc>
        <w:tc>
          <w:tcPr>
            <w:tcW w:type="dxa" w:w="2160"/>
          </w:tcPr>
          <w:p>
            <w:r>
              <w:rPr>
                <w:rFonts w:ascii="Times New Roman" w:hAnsi="Times New Roman" w:eastAsia="Times New Roman"/>
              </w:rPr>
              <w:t>+94.8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+0.3405</w:t>
            </w:r>
          </w:p>
        </w:tc>
        <w:tc>
          <w:tcPr>
            <w:tcW w:type="dxa" w:w="2160"/>
          </w:tcPr>
          <w:p>
            <w:r>
              <w:rPr>
                <w:rFonts w:ascii="Times New Roman" w:hAnsi="Times New Roman" w:eastAsia="Times New Roman"/>
              </w:rPr>
              <w:t>+190.0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+0.0314</w:t>
            </w:r>
          </w:p>
        </w:tc>
        <w:tc>
          <w:tcPr>
            <w:tcW w:type="dxa" w:w="2160"/>
          </w:tcPr>
          <w:p>
            <w:r>
              <w:rPr>
                <w:rFonts w:ascii="Times New Roman" w:hAnsi="Times New Roman" w:eastAsia="Times New Roman"/>
              </w:rPr>
              <w:t>-137.4</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+0.1006</w:t>
            </w:r>
          </w:p>
        </w:tc>
        <w:tc>
          <w:tcPr>
            <w:tcW w:type="dxa" w:w="2160"/>
          </w:tcPr>
          <w:p>
            <w:r>
              <w:rPr>
                <w:rFonts w:ascii="Times New Roman" w:hAnsi="Times New Roman" w:eastAsia="Times New Roman"/>
              </w:rPr>
              <w:t>+86.2</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+0.1493</w:t>
            </w:r>
          </w:p>
        </w:tc>
        <w:tc>
          <w:tcPr>
            <w:tcW w:type="dxa" w:w="2160"/>
          </w:tcPr>
          <w:p>
            <w:r>
              <w:rPr>
                <w:rFonts w:ascii="Times New Roman" w:hAnsi="Times New Roman" w:eastAsia="Times New Roman"/>
              </w:rPr>
              <w:t>-4.5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+0.1727</w:t>
            </w:r>
          </w:p>
        </w:tc>
        <w:tc>
          <w:tcPr>
            <w:tcW w:type="dxa" w:w="2160"/>
          </w:tcPr>
          <w:p>
            <w:r>
              <w:rPr>
                <w:rFonts w:ascii="Times New Roman" w:hAnsi="Times New Roman" w:eastAsia="Times New Roman"/>
              </w:rPr>
              <w:t>+15.0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+0.1500</w:t>
            </w:r>
          </w:p>
        </w:tc>
        <w:tc>
          <w:tcPr>
            <w:tcW w:type="dxa" w:w="2160"/>
          </w:tcPr>
          <w:p>
            <w:r>
              <w:rPr>
                <w:rFonts w:ascii="Times New Roman" w:hAnsi="Times New Roman" w:eastAsia="Times New Roman"/>
              </w:rPr>
              <w:t>+9.9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+0.2823</w:t>
            </w:r>
          </w:p>
        </w:tc>
        <w:tc>
          <w:tcPr>
            <w:tcW w:type="dxa" w:w="2160"/>
          </w:tcPr>
          <w:p>
            <w:r>
              <w:rPr>
                <w:rFonts w:ascii="Times New Roman" w:hAnsi="Times New Roman" w:eastAsia="Times New Roman"/>
              </w:rPr>
              <w:t>+180.1</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+0.0797</w:t>
            </w:r>
          </w:p>
        </w:tc>
        <w:tc>
          <w:tcPr>
            <w:tcW w:type="dxa" w:w="2160"/>
          </w:tcPr>
          <w:p>
            <w:r>
              <w:rPr>
                <w:rFonts w:ascii="Times New Roman" w:hAnsi="Times New Roman" w:eastAsia="Times New Roman"/>
              </w:rPr>
              <w:t>+91.7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+87.8</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+150.2</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+0.2776</w:t>
            </w:r>
          </w:p>
        </w:tc>
        <w:tc>
          <w:tcPr>
            <w:tcW w:type="dxa" w:w="2160"/>
          </w:tcPr>
          <w:p>
            <w:r>
              <w:rPr>
                <w:rFonts w:ascii="Times New Roman" w:hAnsi="Times New Roman" w:eastAsia="Times New Roman"/>
              </w:rPr>
              <w:t>+49.7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+0.2209</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+0.2853</w:t>
            </w:r>
          </w:p>
        </w:tc>
        <w:tc>
          <w:tcPr>
            <w:tcW w:type="dxa" w:w="2160"/>
          </w:tcPr>
          <w:p>
            <w:r>
              <w:rPr>
                <w:rFonts w:ascii="Times New Roman" w:hAnsi="Times New Roman" w:eastAsia="Times New Roman"/>
              </w:rPr>
              <w:t>-67.6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+0.4043</w:t>
            </w:r>
          </w:p>
        </w:tc>
        <w:tc>
          <w:tcPr>
            <w:tcW w:type="dxa" w:w="2160"/>
          </w:tcPr>
          <w:p>
            <w:r>
              <w:rPr>
                <w:rFonts w:ascii="Times New Roman" w:hAnsi="Times New Roman" w:eastAsia="Times New Roman"/>
              </w:rPr>
              <w:t>+241.1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+0.1834</w:t>
            </w:r>
          </w:p>
        </w:tc>
        <w:tc>
          <w:tcPr>
            <w:tcW w:type="dxa" w:w="2160"/>
          </w:tcPr>
          <w:p>
            <w:r>
              <w:rPr>
                <w:rFonts w:ascii="Times New Roman" w:hAnsi="Times New Roman" w:eastAsia="Times New Roman"/>
              </w:rPr>
              <w:t>+51.3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+0.2237</w:t>
            </w:r>
          </w:p>
        </w:tc>
        <w:tc>
          <w:tcPr>
            <w:tcW w:type="dxa" w:w="2160"/>
          </w:tcPr>
          <w:p>
            <w:r>
              <w:rPr>
                <w:rFonts w:ascii="Times New Roman" w:hAnsi="Times New Roman" w:eastAsia="Times New Roman"/>
              </w:rPr>
              <w:t>+104.2</w:t>
            </w:r>
          </w:p>
        </w:tc>
      </w:tr>
    </w:tbl>
    <w:p>
      <w:pPr>
        <w:pStyle w:val="Heading3"/>
      </w:pPr>
      <w:r>
        <w:rPr>
          <w:rFonts w:ascii="Times New Roman" w:hAnsi="Times New Roman" w:eastAsia="Times New Roman"/>
        </w:rPr>
        <w:t>A1.7. Source patient 41-CF</w:t>
      </w:r>
    </w:p>
    <w:p>
      <w:pPr>
        <w:spacing w:after="120"/>
        <w:jc w:val="both"/>
      </w:pPr>
      <w:r>
        <w:rPr>
          <w:rFonts w:ascii="Times New Roman" w:hAnsi="Times New Roman" w:eastAsia="Times New Roman"/>
        </w:rPr>
        <w:t>24 eligible of 24 blocks; median normalized treatment contrast +0.3282; median raw-area contrast +71.25.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31. A1 source patient 41-CF: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+0.1753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+0.2519</w:t>
            </w:r>
          </w:p>
        </w:tc>
        <w:tc>
          <w:tcPr>
            <w:tcW w:type="dxa" w:w="2160"/>
          </w:tcPr>
          <w:p>
            <w:r>
              <w:rPr>
                <w:rFonts w:ascii="Times New Roman" w:hAnsi="Times New Roman" w:eastAsia="Times New Roman"/>
              </w:rPr>
              <w:t>+114.0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+0.3822</w:t>
            </w:r>
          </w:p>
        </w:tc>
        <w:tc>
          <w:tcPr>
            <w:tcW w:type="dxa" w:w="2160"/>
          </w:tcPr>
          <w:p>
            <w:r>
              <w:rPr>
                <w:rFonts w:ascii="Times New Roman" w:hAnsi="Times New Roman" w:eastAsia="Times New Roman"/>
              </w:rPr>
              <w:t>+88.3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+0.5059</w:t>
            </w:r>
          </w:p>
        </w:tc>
        <w:tc>
          <w:tcPr>
            <w:tcW w:type="dxa" w:w="2160"/>
          </w:tcPr>
          <w:p>
            <w:r>
              <w:rPr>
                <w:rFonts w:ascii="Times New Roman" w:hAnsi="Times New Roman" w:eastAsia="Times New Roman"/>
              </w:rPr>
              <w:t>+119.7</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+0.5738</w:t>
            </w:r>
          </w:p>
        </w:tc>
        <w:tc>
          <w:tcPr>
            <w:tcW w:type="dxa" w:w="2160"/>
          </w:tcPr>
          <w:p>
            <w:r>
              <w:rPr>
                <w:rFonts w:ascii="Times New Roman" w:hAnsi="Times New Roman" w:eastAsia="Times New Roman"/>
              </w:rPr>
              <w:t>+72.4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+0.8446</w:t>
            </w:r>
          </w:p>
        </w:tc>
        <w:tc>
          <w:tcPr>
            <w:tcW w:type="dxa" w:w="2160"/>
          </w:tcPr>
          <w:p>
            <w:r>
              <w:rPr>
                <w:rFonts w:ascii="Times New Roman" w:hAnsi="Times New Roman" w:eastAsia="Times New Roman"/>
              </w:rPr>
              <w:t>+224.9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+0.4962</w:t>
            </w:r>
          </w:p>
        </w:tc>
        <w:tc>
          <w:tcPr>
            <w:tcW w:type="dxa" w:w="2160"/>
          </w:tcPr>
          <w:p>
            <w:r>
              <w:rPr>
                <w:rFonts w:ascii="Times New Roman" w:hAnsi="Times New Roman" w:eastAsia="Times New Roman"/>
              </w:rPr>
              <w:t>+161.0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+0.6016</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+0.1145</w:t>
            </w:r>
          </w:p>
        </w:tc>
        <w:tc>
          <w:tcPr>
            <w:tcW w:type="dxa" w:w="2160"/>
          </w:tcPr>
          <w:p>
            <w:r>
              <w:rPr>
                <w:rFonts w:ascii="Times New Roman" w:hAnsi="Times New Roman" w:eastAsia="Times New Roman"/>
              </w:rPr>
              <w:t>-1.7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+0.2720</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+0.4330</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+0.5062</w:t>
            </w:r>
          </w:p>
        </w:tc>
        <w:tc>
          <w:tcPr>
            <w:tcW w:type="dxa" w:w="2160"/>
          </w:tcPr>
          <w:p>
            <w:r>
              <w:rPr>
                <w:rFonts w:ascii="Times New Roman" w:hAnsi="Times New Roman" w:eastAsia="Times New Roman"/>
              </w:rPr>
              <w:t>+93.3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+0.5894</w:t>
            </w:r>
          </w:p>
        </w:tc>
        <w:tc>
          <w:tcPr>
            <w:tcW w:type="dxa" w:w="2160"/>
          </w:tcPr>
          <w:p>
            <w:r>
              <w:rPr>
                <w:rFonts w:ascii="Times New Roman" w:hAnsi="Times New Roman" w:eastAsia="Times New Roman"/>
              </w:rPr>
              <w:t>+128.8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+0.3326</w:t>
            </w:r>
          </w:p>
        </w:tc>
        <w:tc>
          <w:tcPr>
            <w:tcW w:type="dxa" w:w="2160"/>
          </w:tcPr>
          <w:p>
            <w:r>
              <w:rPr>
                <w:rFonts w:ascii="Times New Roman" w:hAnsi="Times New Roman" w:eastAsia="Times New Roman"/>
              </w:rPr>
              <w:t>+50.8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+0.3239</w:t>
            </w:r>
          </w:p>
        </w:tc>
        <w:tc>
          <w:tcPr>
            <w:tcW w:type="dxa" w:w="2160"/>
          </w:tcPr>
          <w:p>
            <w:r>
              <w:rPr>
                <w:rFonts w:ascii="Times New Roman" w:hAnsi="Times New Roman" w:eastAsia="Times New Roman"/>
              </w:rPr>
              <w:t>+7.4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+0.1596</w:t>
            </w:r>
          </w:p>
        </w:tc>
        <w:tc>
          <w:tcPr>
            <w:tcW w:type="dxa" w:w="2160"/>
          </w:tcPr>
          <w:p>
            <w:r>
              <w:rPr>
                <w:rFonts w:ascii="Times New Roman" w:hAnsi="Times New Roman" w:eastAsia="Times New Roman"/>
              </w:rPr>
              <w:t>+70.1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+0.1603</w:t>
            </w:r>
          </w:p>
        </w:tc>
        <w:tc>
          <w:tcPr>
            <w:tcW w:type="dxa" w:w="2160"/>
          </w:tcPr>
          <w:p>
            <w:r>
              <w:rPr>
                <w:rFonts w:ascii="Times New Roman" w:hAnsi="Times New Roman" w:eastAsia="Times New Roman"/>
              </w:rPr>
              <w:t>+49.8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+0.4934</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+0.3831</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+51.4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+0.1937</w:t>
            </w:r>
          </w:p>
        </w:tc>
        <w:tc>
          <w:tcPr>
            <w:tcW w:type="dxa" w:w="2160"/>
          </w:tcPr>
          <w:p>
            <w:r>
              <w:rPr>
                <w:rFonts w:ascii="Times New Roman" w:hAnsi="Times New Roman" w:eastAsia="Times New Roman"/>
              </w:rPr>
              <w:t>-107.3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+0.2143</w:t>
            </w:r>
          </w:p>
        </w:tc>
        <w:tc>
          <w:tcPr>
            <w:tcW w:type="dxa" w:w="2160"/>
          </w:tcPr>
          <w:p>
            <w:r>
              <w:rPr>
                <w:rFonts w:ascii="Times New Roman" w:hAnsi="Times New Roman" w:eastAsia="Times New Roman"/>
              </w:rPr>
              <w:t>+169.7</w:t>
            </w:r>
          </w:p>
        </w:tc>
      </w:tr>
    </w:tbl>
    <w:p>
      <w:pPr>
        <w:pStyle w:val="Heading3"/>
      </w:pPr>
      <w:r>
        <w:rPr>
          <w:rFonts w:ascii="Times New Roman" w:hAnsi="Times New Roman" w:eastAsia="Times New Roman"/>
        </w:rPr>
        <w:t>A1.8. Source patient 47-CF</w:t>
      </w:r>
    </w:p>
    <w:p>
      <w:pPr>
        <w:spacing w:after="120"/>
        <w:jc w:val="both"/>
      </w:pPr>
      <w:r>
        <w:rPr>
          <w:rFonts w:ascii="Times New Roman" w:hAnsi="Times New Roman" w:eastAsia="Times New Roman"/>
        </w:rPr>
        <w:t>24 eligible of 24 blocks; median normalized treatment contrast +0.3002; median raw-area contrast +99.63.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32. A1 source patient 47-CF: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+0.2497</w:t>
            </w:r>
          </w:p>
        </w:tc>
        <w:tc>
          <w:tcPr>
            <w:tcW w:type="dxa" w:w="2160"/>
          </w:tcPr>
          <w:p>
            <w:r>
              <w:rPr>
                <w:rFonts w:ascii="Times New Roman" w:hAnsi="Times New Roman" w:eastAsia="Times New Roman"/>
              </w:rPr>
              <w:t>+99.1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+0.2530</w:t>
            </w:r>
          </w:p>
        </w:tc>
        <w:tc>
          <w:tcPr>
            <w:tcW w:type="dxa" w:w="2160"/>
          </w:tcPr>
          <w:p>
            <w:r>
              <w:rPr>
                <w:rFonts w:ascii="Times New Roman" w:hAnsi="Times New Roman" w:eastAsia="Times New Roman"/>
              </w:rPr>
              <w:t>+64.5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+0.3126</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+0.3431</w:t>
            </w:r>
          </w:p>
        </w:tc>
        <w:tc>
          <w:tcPr>
            <w:tcW w:type="dxa" w:w="2160"/>
          </w:tcPr>
          <w:p>
            <w:r>
              <w:rPr>
                <w:rFonts w:ascii="Times New Roman" w:hAnsi="Times New Roman" w:eastAsia="Times New Roman"/>
              </w:rPr>
              <w:t>+135.7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+0.5456</w:t>
            </w:r>
          </w:p>
        </w:tc>
        <w:tc>
          <w:tcPr>
            <w:tcW w:type="dxa" w:w="2160"/>
          </w:tcPr>
          <w:p>
            <w:r>
              <w:rPr>
                <w:rFonts w:ascii="Times New Roman" w:hAnsi="Times New Roman" w:eastAsia="Times New Roman"/>
              </w:rPr>
              <w:t>+165.3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+0.2775</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+0.4075</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+0.3058</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+0.2353</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+0.1838</w:t>
            </w:r>
          </w:p>
        </w:tc>
        <w:tc>
          <w:tcPr>
            <w:tcW w:type="dxa" w:w="2160"/>
          </w:tcPr>
          <w:p>
            <w:r>
              <w:rPr>
                <w:rFonts w:ascii="Times New Roman" w:hAnsi="Times New Roman" w:eastAsia="Times New Roman"/>
              </w:rPr>
              <w:t>+133.4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+0.3257</w:t>
            </w:r>
          </w:p>
        </w:tc>
        <w:tc>
          <w:tcPr>
            <w:tcW w:type="dxa" w:w="2160"/>
          </w:tcPr>
          <w:p>
            <w:r>
              <w:rPr>
                <w:rFonts w:ascii="Times New Roman" w:hAnsi="Times New Roman" w:eastAsia="Times New Roman"/>
              </w:rPr>
              <w:t>+99.7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+0.3508</w:t>
            </w:r>
          </w:p>
        </w:tc>
        <w:tc>
          <w:tcPr>
            <w:tcW w:type="dxa" w:w="2160"/>
          </w:tcPr>
          <w:p>
            <w:r>
              <w:rPr>
                <w:rFonts w:ascii="Times New Roman" w:hAnsi="Times New Roman" w:eastAsia="Times New Roman"/>
              </w:rPr>
              <w:t>+60.3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+0.2867</w:t>
            </w:r>
          </w:p>
        </w:tc>
        <w:tc>
          <w:tcPr>
            <w:tcW w:type="dxa" w:w="2160"/>
          </w:tcPr>
          <w:p>
            <w:r>
              <w:rPr>
                <w:rFonts w:ascii="Times New Roman" w:hAnsi="Times New Roman" w:eastAsia="Times New Roman"/>
              </w:rPr>
              <w:t>+28.5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+0.3139</w:t>
            </w:r>
          </w:p>
        </w:tc>
        <w:tc>
          <w:tcPr>
            <w:tcW w:type="dxa" w:w="2160"/>
          </w:tcPr>
          <w:p>
            <w:r>
              <w:rPr>
                <w:rFonts w:ascii="Times New Roman" w:hAnsi="Times New Roman" w:eastAsia="Times New Roman"/>
              </w:rPr>
              <w:t>+209.5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+0.1556</w:t>
            </w:r>
          </w:p>
        </w:tc>
        <w:tc>
          <w:tcPr>
            <w:tcW w:type="dxa" w:w="2160"/>
          </w:tcPr>
          <w:p>
            <w:r>
              <w:rPr>
                <w:rFonts w:ascii="Times New Roman" w:hAnsi="Times New Roman" w:eastAsia="Times New Roman"/>
              </w:rPr>
              <w:t>+99.6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+0.2898</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+0.0862</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+0.2555</w:t>
            </w:r>
          </w:p>
        </w:tc>
        <w:tc>
          <w:tcPr>
            <w:tcW w:type="dxa" w:w="2160"/>
          </w:tcPr>
          <w:p>
            <w:r>
              <w:rPr>
                <w:rFonts w:ascii="Times New Roman" w:hAnsi="Times New Roman" w:eastAsia="Times New Roman"/>
              </w:rPr>
              <w:t>+111.2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+0.4055</w:t>
            </w:r>
          </w:p>
        </w:tc>
        <w:tc>
          <w:tcPr>
            <w:tcW w:type="dxa" w:w="2160"/>
          </w:tcPr>
          <w:p>
            <w:r>
              <w:rPr>
                <w:rFonts w:ascii="Times New Roman" w:hAnsi="Times New Roman" w:eastAsia="Times New Roman"/>
              </w:rPr>
              <w:t>+182.2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+0.2708</w:t>
            </w:r>
          </w:p>
        </w:tc>
        <w:tc>
          <w:tcPr>
            <w:tcW w:type="dxa" w:w="2160"/>
          </w:tcPr>
          <w:p>
            <w:r>
              <w:rPr>
                <w:rFonts w:ascii="Times New Roman" w:hAnsi="Times New Roman" w:eastAsia="Times New Roman"/>
              </w:rPr>
              <w:t>+97.8</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+0.3053</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+0.3092</w:t>
            </w:r>
          </w:p>
        </w:tc>
        <w:tc>
          <w:tcPr>
            <w:tcW w:type="dxa" w:w="2160"/>
          </w:tcPr>
          <w:p>
            <w:r>
              <w:rPr>
                <w:rFonts w:ascii="Times New Roman" w:hAnsi="Times New Roman" w:eastAsia="Times New Roman"/>
              </w:rPr>
              <w:t>+123.7</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+0.3773</w:t>
            </w:r>
          </w:p>
        </w:tc>
        <w:tc>
          <w:tcPr>
            <w:tcW w:type="dxa" w:w="2160"/>
          </w:tcPr>
          <w:p>
            <w:r>
              <w:rPr>
                <w:rFonts w:ascii="Times New Roman" w:hAnsi="Times New Roman" w:eastAsia="Times New Roman"/>
              </w:rPr>
              <w:t>+187.2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+0.2950</w:t>
            </w:r>
          </w:p>
        </w:tc>
        <w:tc>
          <w:tcPr>
            <w:tcW w:type="dxa" w:w="2160"/>
          </w:tcPr>
          <w:p>
            <w:r>
              <w:rPr>
                <w:rFonts w:ascii="Times New Roman" w:hAnsi="Times New Roman" w:eastAsia="Times New Roman"/>
              </w:rPr>
              <w:t>+148.1</w:t>
            </w:r>
          </w:p>
        </w:tc>
      </w:tr>
    </w:tbl>
    <w:p>
      <w:pPr>
        <w:pStyle w:val="Heading3"/>
      </w:pPr>
      <w:r>
        <w:rPr>
          <w:rFonts w:ascii="Times New Roman" w:hAnsi="Times New Roman" w:eastAsia="Times New Roman"/>
        </w:rPr>
        <w:t>A1.9. Source patient 57-CF</w:t>
      </w:r>
    </w:p>
    <w:p>
      <w:pPr>
        <w:spacing w:after="120"/>
        <w:jc w:val="both"/>
      </w:pPr>
      <w:r>
        <w:rPr>
          <w:rFonts w:ascii="Times New Roman" w:hAnsi="Times New Roman" w:eastAsia="Times New Roman"/>
        </w:rPr>
        <w:t>24 eligible of 24 blocks; median normalized treatment contrast +0.2752; median raw-area contrast +75.66.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33. A1 source patient 57-CF: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+0.1154</w:t>
            </w:r>
          </w:p>
        </w:tc>
        <w:tc>
          <w:tcPr>
            <w:tcW w:type="dxa" w:w="2160"/>
          </w:tcPr>
          <w:p>
            <w:r>
              <w:rPr>
                <w:rFonts w:ascii="Times New Roman" w:hAnsi="Times New Roman" w:eastAsia="Times New Roman"/>
              </w:rPr>
              <w:t>-51.2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+0.1659</w:t>
            </w:r>
          </w:p>
        </w:tc>
        <w:tc>
          <w:tcPr>
            <w:tcW w:type="dxa" w:w="2160"/>
          </w:tcPr>
          <w:p>
            <w:r>
              <w:rPr>
                <w:rFonts w:ascii="Times New Roman" w:hAnsi="Times New Roman" w:eastAsia="Times New Roman"/>
              </w:rPr>
              <w:t>+76.0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+0.2875</w:t>
            </w:r>
          </w:p>
        </w:tc>
        <w:tc>
          <w:tcPr>
            <w:tcW w:type="dxa" w:w="2160"/>
          </w:tcPr>
          <w:p>
            <w:r>
              <w:rPr>
                <w:rFonts w:ascii="Times New Roman" w:hAnsi="Times New Roman" w:eastAsia="Times New Roman"/>
              </w:rPr>
              <w:t>+75.3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+0.3663</w:t>
            </w:r>
          </w:p>
        </w:tc>
        <w:tc>
          <w:tcPr>
            <w:tcW w:type="dxa" w:w="2160"/>
          </w:tcPr>
          <w:p>
            <w:r>
              <w:rPr>
                <w:rFonts w:ascii="Times New Roman" w:hAnsi="Times New Roman" w:eastAsia="Times New Roman"/>
              </w:rPr>
              <w:t>+186.3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+0.3707</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+0.0961</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+0.5050</w:t>
            </w:r>
          </w:p>
        </w:tc>
        <w:tc>
          <w:tcPr>
            <w:tcW w:type="dxa" w:w="2160"/>
          </w:tcPr>
          <w:p>
            <w:r>
              <w:rPr>
                <w:rFonts w:ascii="Times New Roman" w:hAnsi="Times New Roman" w:eastAsia="Times New Roman"/>
              </w:rPr>
              <w:t>+375.7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+0.5034</w:t>
            </w:r>
          </w:p>
        </w:tc>
        <w:tc>
          <w:tcPr>
            <w:tcW w:type="dxa" w:w="2160"/>
          </w:tcPr>
          <w:p>
            <w:r>
              <w:rPr>
                <w:rFonts w:ascii="Times New Roman" w:hAnsi="Times New Roman" w:eastAsia="Times New Roman"/>
              </w:rPr>
              <w:t>+273.6</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+0.2158</w:t>
            </w:r>
          </w:p>
        </w:tc>
        <w:tc>
          <w:tcPr>
            <w:tcW w:type="dxa" w:w="2160"/>
          </w:tcPr>
          <w:p>
            <w:r>
              <w:rPr>
                <w:rFonts w:ascii="Times New Roman" w:hAnsi="Times New Roman" w:eastAsia="Times New Roman"/>
              </w:rPr>
              <w:t>+137.0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+0.1955</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+0.2320</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+0.3394</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+0.1961</w:t>
            </w:r>
          </w:p>
        </w:tc>
        <w:tc>
          <w:tcPr>
            <w:tcW w:type="dxa" w:w="2160"/>
          </w:tcPr>
          <w:p>
            <w:r>
              <w:rPr>
                <w:rFonts w:ascii="Times New Roman" w:hAnsi="Times New Roman" w:eastAsia="Times New Roman"/>
              </w:rPr>
              <w:t>+103.9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+0.3137</w:t>
            </w:r>
          </w:p>
        </w:tc>
        <w:tc>
          <w:tcPr>
            <w:tcW w:type="dxa" w:w="2160"/>
          </w:tcPr>
          <w:p>
            <w:r>
              <w:rPr>
                <w:rFonts w:ascii="Times New Roman" w:hAnsi="Times New Roman" w:eastAsia="Times New Roman"/>
              </w:rPr>
              <w:t>+313.3</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+0.5433</w:t>
            </w:r>
          </w:p>
        </w:tc>
        <w:tc>
          <w:tcPr>
            <w:tcW w:type="dxa" w:w="2160"/>
          </w:tcPr>
          <w:p>
            <w:r>
              <w:rPr>
                <w:rFonts w:ascii="Times New Roman" w:hAnsi="Times New Roman" w:eastAsia="Times New Roman"/>
              </w:rPr>
              <w:t>+130.7</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+0.1598</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+0.1472</w:t>
            </w:r>
          </w:p>
        </w:tc>
        <w:tc>
          <w:tcPr>
            <w:tcW w:type="dxa" w:w="2160"/>
          </w:tcPr>
          <w:p>
            <w:r>
              <w:rPr>
                <w:rFonts w:ascii="Times New Roman" w:hAnsi="Times New Roman" w:eastAsia="Times New Roman"/>
              </w:rPr>
              <w:t>+46.1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+0.3105</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+0.2637</w:t>
            </w:r>
          </w:p>
        </w:tc>
        <w:tc>
          <w:tcPr>
            <w:tcW w:type="dxa" w:w="2160"/>
          </w:tcPr>
          <w:p>
            <w:r>
              <w:rPr>
                <w:rFonts w:ascii="Times New Roman" w:hAnsi="Times New Roman" w:eastAsia="Times New Roman"/>
              </w:rPr>
              <w:t>+65.4</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+0.2097</w:t>
            </w:r>
          </w:p>
        </w:tc>
        <w:tc>
          <w:tcPr>
            <w:tcW w:type="dxa" w:w="2160"/>
          </w:tcPr>
          <w:p>
            <w:r>
              <w:rPr>
                <w:rFonts w:ascii="Times New Roman" w:hAnsi="Times New Roman" w:eastAsia="Times New Roman"/>
              </w:rPr>
              <w:t>-37.6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+0.3960</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+0.3423</w:t>
            </w:r>
          </w:p>
        </w:tc>
        <w:tc>
          <w:tcPr>
            <w:tcW w:type="dxa" w:w="2160"/>
          </w:tcPr>
          <w:p>
            <w:r>
              <w:rPr>
                <w:rFonts w:ascii="Times New Roman" w:hAnsi="Times New Roman" w:eastAsia="Times New Roman"/>
              </w:rPr>
              <w:t>+36.4</w:t>
            </w:r>
          </w:p>
        </w:tc>
      </w:tr>
    </w:tbl>
    <w:p>
      <w:pPr>
        <w:pStyle w:val="Heading3"/>
      </w:pPr>
      <w:r>
        <w:rPr>
          <w:rFonts w:ascii="Times New Roman" w:hAnsi="Times New Roman" w:eastAsia="Times New Roman"/>
        </w:rPr>
        <w:t>A1.10. Source patient 58-CF</w:t>
      </w:r>
    </w:p>
    <w:p>
      <w:pPr>
        <w:spacing w:after="120"/>
        <w:jc w:val="both"/>
      </w:pPr>
      <w:r>
        <w:rPr>
          <w:rFonts w:ascii="Times New Roman" w:hAnsi="Times New Roman" w:eastAsia="Times New Roman"/>
        </w:rPr>
        <w:t>24 eligible of 24 blocks; median normalized treatment contrast +0.0189; median raw-area contrast +33.19.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34. A1 source patient 58-CF: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-0.0068</w:t>
            </w:r>
          </w:p>
        </w:tc>
        <w:tc>
          <w:tcPr>
            <w:tcW w:type="dxa" w:w="2160"/>
          </w:tcPr>
          <w:p>
            <w:r>
              <w:rPr>
                <w:rFonts w:ascii="Times New Roman" w:hAnsi="Times New Roman" w:eastAsia="Times New Roman"/>
              </w:rPr>
              <w:t>-6.1</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+0.1879</w:t>
            </w:r>
          </w:p>
        </w:tc>
        <w:tc>
          <w:tcPr>
            <w:tcW w:type="dxa" w:w="2160"/>
          </w:tcPr>
          <w:p>
            <w:r>
              <w:rPr>
                <w:rFonts w:ascii="Times New Roman" w:hAnsi="Times New Roman" w:eastAsia="Times New Roman"/>
              </w:rPr>
              <w:t>+163.8</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+0.1724</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+0.0598</w:t>
            </w:r>
          </w:p>
        </w:tc>
        <w:tc>
          <w:tcPr>
            <w:tcW w:type="dxa" w:w="2160"/>
          </w:tcPr>
          <w:p>
            <w:r>
              <w:rPr>
                <w:rFonts w:ascii="Times New Roman" w:hAnsi="Times New Roman" w:eastAsia="Times New Roman"/>
              </w:rPr>
              <w:t>+46.9</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-0.0104</w:t>
            </w:r>
          </w:p>
        </w:tc>
        <w:tc>
          <w:tcPr>
            <w:tcW w:type="dxa" w:w="2160"/>
          </w:tcPr>
          <w:p>
            <w:r>
              <w:rPr>
                <w:rFonts w:ascii="Times New Roman" w:hAnsi="Times New Roman" w:eastAsia="Times New Roman"/>
              </w:rPr>
              <w:t>-102.7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-0.1529</w:t>
            </w:r>
          </w:p>
        </w:tc>
        <w:tc>
          <w:tcPr>
            <w:tcW w:type="dxa" w:w="2160"/>
          </w:tcPr>
          <w:p>
            <w:r>
              <w:rPr>
                <w:rFonts w:ascii="Times New Roman" w:hAnsi="Times New Roman" w:eastAsia="Times New Roman"/>
              </w:rPr>
              <w:t>+40.6</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-0.1372</w:t>
            </w:r>
          </w:p>
        </w:tc>
        <w:tc>
          <w:tcPr>
            <w:tcW w:type="dxa" w:w="2160"/>
          </w:tcPr>
          <w:p>
            <w:r>
              <w:rPr>
                <w:rFonts w:ascii="Times New Roman" w:hAnsi="Times New Roman" w:eastAsia="Times New Roman"/>
              </w:rPr>
              <w:t>+29.8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+89.5</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+0.1405</w:t>
            </w:r>
          </w:p>
        </w:tc>
        <w:tc>
          <w:tcPr>
            <w:tcW w:type="dxa" w:w="2160"/>
          </w:tcPr>
          <w:p>
            <w:r>
              <w:rPr>
                <w:rFonts w:ascii="Times New Roman" w:hAnsi="Times New Roman" w:eastAsia="Times New Roman"/>
              </w:rPr>
              <w:t>+89.1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+0.0679</w:t>
            </w:r>
          </w:p>
        </w:tc>
        <w:tc>
          <w:tcPr>
            <w:tcW w:type="dxa" w:w="2160"/>
          </w:tcPr>
          <w:p>
            <w:r>
              <w:rPr>
                <w:rFonts w:ascii="Times New Roman" w:hAnsi="Times New Roman" w:eastAsia="Times New Roman"/>
              </w:rPr>
              <w:t>+7.2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-0.0182</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+0.3089</w:t>
            </w:r>
          </w:p>
        </w:tc>
        <w:tc>
          <w:tcPr>
            <w:tcW w:type="dxa" w:w="2160"/>
          </w:tcPr>
          <w:p>
            <w:r>
              <w:rPr>
                <w:rFonts w:ascii="Times New Roman" w:hAnsi="Times New Roman" w:eastAsia="Times New Roman"/>
              </w:rPr>
              <w:t>+95.3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-0.0962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-0.0557</w:t>
            </w:r>
          </w:p>
        </w:tc>
        <w:tc>
          <w:tcPr>
            <w:tcW w:type="dxa" w:w="2160"/>
          </w:tcPr>
          <w:p>
            <w:r>
              <w:rPr>
                <w:rFonts w:ascii="Times New Roman" w:hAnsi="Times New Roman" w:eastAsia="Times New Roman"/>
              </w:rPr>
              <w:t>-1.8</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+0.1027</w:t>
            </w:r>
          </w:p>
        </w:tc>
        <w:tc>
          <w:tcPr>
            <w:tcW w:type="dxa" w:w="2160"/>
          </w:tcPr>
          <w:p>
            <w:r>
              <w:rPr>
                <w:rFonts w:ascii="Times New Roman" w:hAnsi="Times New Roman" w:eastAsia="Times New Roman"/>
              </w:rPr>
              <w:t>-23.4</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+0.0586</w:t>
            </w:r>
          </w:p>
        </w:tc>
        <w:tc>
          <w:tcPr>
            <w:tcW w:type="dxa" w:w="2160"/>
          </w:tcPr>
          <w:p>
            <w:r>
              <w:rPr>
                <w:rFonts w:ascii="Times New Roman" w:hAnsi="Times New Roman" w:eastAsia="Times New Roman"/>
              </w:rPr>
              <w:t>+42.0</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+0.0210</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+0.0302</w:t>
            </w:r>
          </w:p>
        </w:tc>
        <w:tc>
          <w:tcPr>
            <w:tcW w:type="dxa" w:w="2160"/>
          </w:tcPr>
          <w:p>
            <w:r>
              <w:rPr>
                <w:rFonts w:ascii="Times New Roman" w:hAnsi="Times New Roman" w:eastAsia="Times New Roman"/>
              </w:rPr>
              <w:t>+57.1</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+0.0169</w:t>
            </w:r>
          </w:p>
        </w:tc>
        <w:tc>
          <w:tcPr>
            <w:tcW w:type="dxa" w:w="2160"/>
          </w:tcPr>
          <w:p>
            <w:r>
              <w:rPr>
                <w:rFonts w:ascii="Times New Roman" w:hAnsi="Times New Roman" w:eastAsia="Times New Roman"/>
              </w:rPr>
              <w:t>-7.3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-0.0293</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+0.0856</w:t>
            </w:r>
          </w:p>
        </w:tc>
        <w:tc>
          <w:tcPr>
            <w:tcW w:type="dxa" w:w="2160"/>
          </w:tcPr>
          <w:p>
            <w:r>
              <w:rPr>
                <w:rFonts w:ascii="Times New Roman" w:hAnsi="Times New Roman" w:eastAsia="Times New Roman"/>
              </w:rPr>
              <w:t>+63.2</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-0.0563</w:t>
            </w:r>
          </w:p>
        </w:tc>
        <w:tc>
          <w:tcPr>
            <w:tcW w:type="dxa" w:w="2160"/>
          </w:tcPr>
          <w:p>
            <w:r>
              <w:rPr>
                <w:rFonts w:ascii="Times New Roman" w:hAnsi="Times New Roman" w:eastAsia="Times New Roman"/>
              </w:rPr>
              <w:t>+36.6</w:t>
            </w:r>
          </w:p>
        </w:tc>
      </w:tr>
    </w:tbl>
    <w:p>
      <w:pPr>
        <w:pStyle w:val="Heading3"/>
      </w:pPr>
      <w:r>
        <w:rPr>
          <w:rFonts w:ascii="Times New Roman" w:hAnsi="Times New Roman" w:eastAsia="Times New Roman"/>
        </w:rPr>
        <w:t>A1.11. Source patient 59-CF</w:t>
      </w:r>
    </w:p>
    <w:p>
      <w:pPr>
        <w:spacing w:after="120"/>
        <w:jc w:val="both"/>
      </w:pPr>
      <w:r>
        <w:rPr>
          <w:rFonts w:ascii="Times New Roman" w:hAnsi="Times New Roman" w:eastAsia="Times New Roman"/>
        </w:rPr>
        <w:t>24 eligible of 24 blocks; median normalized treatment contrast +0.3739; median raw-area contrast +90.31.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35. A1 source patient 59-CF: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+0.1418</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+0.2441</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+0.2658</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+0.5715</w:t>
            </w:r>
          </w:p>
        </w:tc>
        <w:tc>
          <w:tcPr>
            <w:tcW w:type="dxa" w:w="2160"/>
          </w:tcPr>
          <w:p>
            <w:r>
              <w:rPr>
                <w:rFonts w:ascii="Times New Roman" w:hAnsi="Times New Roman" w:eastAsia="Times New Roman"/>
              </w:rPr>
              <w:t>+81.5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+0.5435</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+0.6986</w:t>
            </w:r>
          </w:p>
        </w:tc>
        <w:tc>
          <w:tcPr>
            <w:tcW w:type="dxa" w:w="2160"/>
          </w:tcPr>
          <w:p>
            <w:r>
              <w:rPr>
                <w:rFonts w:ascii="Times New Roman" w:hAnsi="Times New Roman" w:eastAsia="Times New Roman"/>
              </w:rPr>
              <w:t>+121.4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+0.5563</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+0.4616</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+0.1856</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+0.2447</w:t>
            </w:r>
          </w:p>
        </w:tc>
        <w:tc>
          <w:tcPr>
            <w:tcW w:type="dxa" w:w="2160"/>
          </w:tcPr>
          <w:p>
            <w:r>
              <w:rPr>
                <w:rFonts w:ascii="Times New Roman" w:hAnsi="Times New Roman" w:eastAsia="Times New Roman"/>
              </w:rPr>
              <w:t>+67.3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+165.6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+0.4972</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+154.3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+0.4609</w:t>
            </w:r>
          </w:p>
        </w:tc>
        <w:tc>
          <w:tcPr>
            <w:tcW w:type="dxa" w:w="2160"/>
          </w:tcPr>
          <w:p>
            <w:r>
              <w:rPr>
                <w:rFonts w:ascii="Times New Roman" w:hAnsi="Times New Roman" w:eastAsia="Times New Roman"/>
              </w:rPr>
              <w:t>+266.4</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+0.4136</w:t>
            </w:r>
          </w:p>
        </w:tc>
        <w:tc>
          <w:tcPr>
            <w:tcW w:type="dxa" w:w="2160"/>
          </w:tcPr>
          <w:p>
            <w:r>
              <w:rPr>
                <w:rFonts w:ascii="Times New Roman" w:hAnsi="Times New Roman" w:eastAsia="Times New Roman"/>
              </w:rPr>
              <w:t>+117.9</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+229.6</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+0.1663</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+0.1817</w:t>
            </w:r>
          </w:p>
        </w:tc>
        <w:tc>
          <w:tcPr>
            <w:tcW w:type="dxa" w:w="2160"/>
          </w:tcPr>
          <w:p>
            <w:r>
              <w:rPr>
                <w:rFonts w:ascii="Times New Roman" w:hAnsi="Times New Roman" w:eastAsia="Times New Roman"/>
              </w:rPr>
              <w:t>+77.2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+0.1962</w:t>
            </w:r>
          </w:p>
        </w:tc>
        <w:tc>
          <w:tcPr>
            <w:tcW w:type="dxa" w:w="2160"/>
          </w:tcPr>
          <w:p>
            <w:r>
              <w:rPr>
                <w:rFonts w:ascii="Times New Roman" w:hAnsi="Times New Roman" w:eastAsia="Times New Roman"/>
              </w:rPr>
              <w:t>+91.2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+0.3427</w:t>
            </w:r>
          </w:p>
        </w:tc>
        <w:tc>
          <w:tcPr>
            <w:tcW w:type="dxa" w:w="2160"/>
          </w:tcPr>
          <w:p>
            <w:r>
              <w:rPr>
                <w:rFonts w:ascii="Times New Roman" w:hAnsi="Times New Roman" w:eastAsia="Times New Roman"/>
              </w:rPr>
              <w:t>+56.7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+86.7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+0.4969</w:t>
            </w:r>
          </w:p>
        </w:tc>
        <w:tc>
          <w:tcPr>
            <w:tcW w:type="dxa" w:w="2160"/>
          </w:tcPr>
          <w:p>
            <w:r>
              <w:rPr>
                <w:rFonts w:ascii="Times New Roman" w:hAnsi="Times New Roman" w:eastAsia="Times New Roman"/>
              </w:rPr>
              <w:t>+146.9</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+0.5447</w:t>
            </w:r>
          </w:p>
        </w:tc>
        <w:tc>
          <w:tcPr>
            <w:tcW w:type="dxa" w:w="2160"/>
          </w:tcPr>
          <w:p>
            <w:r>
              <w:rPr>
                <w:rFonts w:ascii="Times New Roman" w:hAnsi="Times New Roman" w:eastAsia="Times New Roman"/>
              </w:rPr>
              <w:t>+204.8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+0.2635</w:t>
            </w:r>
          </w:p>
        </w:tc>
        <w:tc>
          <w:tcPr>
            <w:tcW w:type="dxa" w:w="2160"/>
          </w:tcPr>
          <w:p>
            <w:r>
              <w:rPr>
                <w:rFonts w:ascii="Times New Roman" w:hAnsi="Times New Roman" w:eastAsia="Times New Roman"/>
              </w:rPr>
              <w:t>+4.4</w:t>
            </w:r>
          </w:p>
        </w:tc>
      </w:tr>
    </w:tbl>
    <w:p>
      <w:pPr>
        <w:pStyle w:val="Heading3"/>
      </w:pPr>
      <w:r>
        <w:rPr>
          <w:rFonts w:ascii="Times New Roman" w:hAnsi="Times New Roman" w:eastAsia="Times New Roman"/>
        </w:rPr>
        <w:t>A1.12. Source patient 60-CF</w:t>
      </w:r>
    </w:p>
    <w:p>
      <w:pPr>
        <w:spacing w:after="120"/>
        <w:jc w:val="both"/>
      </w:pPr>
      <w:r>
        <w:rPr>
          <w:rFonts w:ascii="Times New Roman" w:hAnsi="Times New Roman" w:eastAsia="Times New Roman"/>
        </w:rPr>
        <w:t>24 eligible of 24 blocks; median normalized treatment contrast +0.2855; median raw-area contrast +73.90.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36. A1 source patient 60-CF: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+0.0823</w:t>
            </w:r>
          </w:p>
        </w:tc>
        <w:tc>
          <w:tcPr>
            <w:tcW w:type="dxa" w:w="2160"/>
          </w:tcPr>
          <w:p>
            <w:r>
              <w:rPr>
                <w:rFonts w:ascii="Times New Roman" w:hAnsi="Times New Roman" w:eastAsia="Times New Roman"/>
              </w:rPr>
              <w:t>+25.4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+0.0338</w:t>
            </w:r>
          </w:p>
        </w:tc>
        <w:tc>
          <w:tcPr>
            <w:tcW w:type="dxa" w:w="2160"/>
          </w:tcPr>
          <w:p>
            <w:r>
              <w:rPr>
                <w:rFonts w:ascii="Times New Roman" w:hAnsi="Times New Roman" w:eastAsia="Times New Roman"/>
              </w:rPr>
              <w:t>+69.0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+0.2529</w:t>
            </w:r>
          </w:p>
        </w:tc>
        <w:tc>
          <w:tcPr>
            <w:tcW w:type="dxa" w:w="2160"/>
          </w:tcPr>
          <w:p>
            <w:r>
              <w:rPr>
                <w:rFonts w:ascii="Times New Roman" w:hAnsi="Times New Roman" w:eastAsia="Times New Roman"/>
              </w:rPr>
              <w:t>+12.3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+0.2634</w:t>
            </w:r>
          </w:p>
        </w:tc>
        <w:tc>
          <w:tcPr>
            <w:tcW w:type="dxa" w:w="2160"/>
          </w:tcPr>
          <w:p>
            <w:r>
              <w:rPr>
                <w:rFonts w:ascii="Times New Roman" w:hAnsi="Times New Roman" w:eastAsia="Times New Roman"/>
              </w:rPr>
              <w:t>+79.1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+0.2767</w:t>
            </w:r>
          </w:p>
        </w:tc>
        <w:tc>
          <w:tcPr>
            <w:tcW w:type="dxa" w:w="2160"/>
          </w:tcPr>
          <w:p>
            <w:r>
              <w:rPr>
                <w:rFonts w:ascii="Times New Roman" w:hAnsi="Times New Roman" w:eastAsia="Times New Roman"/>
              </w:rPr>
              <w:t>+98.3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+0.3716</w:t>
            </w:r>
          </w:p>
        </w:tc>
        <w:tc>
          <w:tcPr>
            <w:tcW w:type="dxa" w:w="2160"/>
          </w:tcPr>
          <w:p>
            <w:r>
              <w:rPr>
                <w:rFonts w:ascii="Times New Roman" w:hAnsi="Times New Roman" w:eastAsia="Times New Roman"/>
              </w:rPr>
              <w:t>+62.2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+0.2134</w:t>
            </w:r>
          </w:p>
        </w:tc>
        <w:tc>
          <w:tcPr>
            <w:tcW w:type="dxa" w:w="2160"/>
          </w:tcPr>
          <w:p>
            <w:r>
              <w:rPr>
                <w:rFonts w:ascii="Times New Roman" w:hAnsi="Times New Roman" w:eastAsia="Times New Roman"/>
              </w:rPr>
              <w:t>+90.7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+0.3016</w:t>
            </w:r>
          </w:p>
        </w:tc>
        <w:tc>
          <w:tcPr>
            <w:tcW w:type="dxa" w:w="2160"/>
          </w:tcPr>
          <w:p>
            <w:r>
              <w:rPr>
                <w:rFonts w:ascii="Times New Roman" w:hAnsi="Times New Roman" w:eastAsia="Times New Roman"/>
              </w:rPr>
              <w:t>+58.9</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+0.0974</w:t>
            </w:r>
          </w:p>
        </w:tc>
        <w:tc>
          <w:tcPr>
            <w:tcW w:type="dxa" w:w="2160"/>
          </w:tcPr>
          <w:p>
            <w:r>
              <w:rPr>
                <w:rFonts w:ascii="Times New Roman" w:hAnsi="Times New Roman" w:eastAsia="Times New Roman"/>
              </w:rPr>
              <w:t>+69.7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+0.2117</w:t>
            </w:r>
          </w:p>
        </w:tc>
        <w:tc>
          <w:tcPr>
            <w:tcW w:type="dxa" w:w="2160"/>
          </w:tcPr>
          <w:p>
            <w:r>
              <w:rPr>
                <w:rFonts w:ascii="Times New Roman" w:hAnsi="Times New Roman" w:eastAsia="Times New Roman"/>
              </w:rPr>
              <w:t>+118.4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+0.2263</w:t>
            </w:r>
          </w:p>
        </w:tc>
        <w:tc>
          <w:tcPr>
            <w:tcW w:type="dxa" w:w="2160"/>
          </w:tcPr>
          <w:p>
            <w:r>
              <w:rPr>
                <w:rFonts w:ascii="Times New Roman" w:hAnsi="Times New Roman" w:eastAsia="Times New Roman"/>
              </w:rPr>
              <w:t>+29.4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+0.3349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+0.2943</w:t>
            </w:r>
          </w:p>
        </w:tc>
        <w:tc>
          <w:tcPr>
            <w:tcW w:type="dxa" w:w="2160"/>
          </w:tcPr>
          <w:p>
            <w:r>
              <w:rPr>
                <w:rFonts w:ascii="Times New Roman" w:hAnsi="Times New Roman" w:eastAsia="Times New Roman"/>
              </w:rPr>
              <w:t>+82.1</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+0.4011</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+0.3729</w:t>
            </w:r>
          </w:p>
        </w:tc>
        <w:tc>
          <w:tcPr>
            <w:tcW w:type="dxa" w:w="2160"/>
          </w:tcPr>
          <w:p>
            <w:r>
              <w:rPr>
                <w:rFonts w:ascii="Times New Roman" w:hAnsi="Times New Roman" w:eastAsia="Times New Roman"/>
              </w:rPr>
              <w:t>+196.5</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+0.4666</w:t>
            </w:r>
          </w:p>
        </w:tc>
        <w:tc>
          <w:tcPr>
            <w:tcW w:type="dxa" w:w="2160"/>
          </w:tcPr>
          <w:p>
            <w:r>
              <w:rPr>
                <w:rFonts w:ascii="Times New Roman" w:hAnsi="Times New Roman" w:eastAsia="Times New Roman"/>
              </w:rPr>
              <w:t>+158.3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+50.1</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+0.1163</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+0.2100</w:t>
            </w:r>
          </w:p>
        </w:tc>
        <w:tc>
          <w:tcPr>
            <w:tcW w:type="dxa" w:w="2160"/>
          </w:tcPr>
          <w:p>
            <w:r>
              <w:rPr>
                <w:rFonts w:ascii="Times New Roman" w:hAnsi="Times New Roman" w:eastAsia="Times New Roman"/>
              </w:rPr>
              <w:t>+55.7</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+0.3205</w:t>
            </w:r>
          </w:p>
        </w:tc>
        <w:tc>
          <w:tcPr>
            <w:tcW w:type="dxa" w:w="2160"/>
          </w:tcPr>
          <w:p>
            <w:r>
              <w:rPr>
                <w:rFonts w:ascii="Times New Roman" w:hAnsi="Times New Roman" w:eastAsia="Times New Roman"/>
              </w:rPr>
              <w:t>+59.3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+0.4397</w:t>
            </w:r>
          </w:p>
        </w:tc>
        <w:tc>
          <w:tcPr>
            <w:tcW w:type="dxa" w:w="2160"/>
          </w:tcPr>
          <w:p>
            <w:r>
              <w:rPr>
                <w:rFonts w:ascii="Times New Roman" w:hAnsi="Times New Roman" w:eastAsia="Times New Roman"/>
              </w:rPr>
              <w:t>+165.4</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+107.2</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+0.3039</w:t>
            </w:r>
          </w:p>
        </w:tc>
        <w:tc>
          <w:tcPr>
            <w:tcW w:type="dxa" w:w="2160"/>
          </w:tcPr>
          <w:p>
            <w:r>
              <w:rPr>
                <w:rFonts w:ascii="Times New Roman" w:hAnsi="Times New Roman" w:eastAsia="Times New Roman"/>
              </w:rPr>
              <w:t>+66.6</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+0.3358</w:t>
            </w:r>
          </w:p>
        </w:tc>
        <w:tc>
          <w:tcPr>
            <w:tcW w:type="dxa" w:w="2160"/>
          </w:tcPr>
          <w:p>
            <w:r>
              <w:rPr>
                <w:rFonts w:ascii="Times New Roman" w:hAnsi="Times New Roman" w:eastAsia="Times New Roman"/>
              </w:rPr>
              <w:t>+78.1</w:t>
            </w:r>
          </w:p>
        </w:tc>
      </w:tr>
    </w:tbl>
    <w:p>
      <w:pPr>
        <w:pStyle w:val="Heading3"/>
      </w:pPr>
      <w:r>
        <w:rPr>
          <w:rFonts w:ascii="Times New Roman" w:hAnsi="Times New Roman" w:eastAsia="Times New Roman"/>
        </w:rPr>
        <w:t>A1.13. Source patient 61-CF</w:t>
      </w:r>
    </w:p>
    <w:p>
      <w:pPr>
        <w:spacing w:after="120"/>
        <w:jc w:val="both"/>
      </w:pPr>
      <w:r>
        <w:rPr>
          <w:rFonts w:ascii="Times New Roman" w:hAnsi="Times New Roman" w:eastAsia="Times New Roman"/>
        </w:rPr>
        <w:t>8 eligible of 8 blocks; median normalized treatment contrast +0.2065; median raw-area contrast +40.30.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37. A1 source patient 61-CF: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+0.1010</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+61.6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+0.2713</w:t>
            </w:r>
          </w:p>
        </w:tc>
        <w:tc>
          <w:tcPr>
            <w:tcW w:type="dxa" w:w="2160"/>
          </w:tcPr>
          <w:p>
            <w:r>
              <w:rPr>
                <w:rFonts w:ascii="Times New Roman" w:hAnsi="Times New Roman" w:eastAsia="Times New Roman"/>
              </w:rPr>
              <w:t>+94.0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+0.3055</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+0.1864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+0.2266</w:t>
            </w:r>
          </w:p>
        </w:tc>
        <w:tc>
          <w:tcPr>
            <w:tcW w:type="dxa" w:w="2160"/>
          </w:tcPr>
          <w:p>
            <w:r>
              <w:rPr>
                <w:rFonts w:ascii="Times New Roman" w:hAnsi="Times New Roman" w:eastAsia="Times New Roman"/>
              </w:rPr>
              <w:t>+9.0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+0.2298</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+0.1652</w:t>
            </w:r>
          </w:p>
        </w:tc>
        <w:tc>
          <w:tcPr>
            <w:tcW w:type="dxa" w:w="2160"/>
          </w:tcPr>
          <w:p>
            <w:r>
              <w:rPr>
                <w:rFonts w:ascii="Times New Roman" w:hAnsi="Times New Roman" w:eastAsia="Times New Roman"/>
              </w:rPr>
              <w:t>+47.0</w:t>
            </w:r>
          </w:p>
        </w:tc>
      </w:tr>
    </w:tbl>
    <w:p>
      <w:pPr>
        <w:pStyle w:val="Heading3"/>
      </w:pPr>
      <w:r>
        <w:rPr>
          <w:rFonts w:ascii="Times New Roman" w:hAnsi="Times New Roman" w:eastAsia="Times New Roman"/>
        </w:rPr>
        <w:t>A1.14. Source patient 62-CF</w:t>
      </w:r>
    </w:p>
    <w:p>
      <w:pPr>
        <w:spacing w:after="120"/>
        <w:jc w:val="both"/>
      </w:pPr>
      <w:r>
        <w:rPr>
          <w:rFonts w:ascii="Times New Roman" w:hAnsi="Times New Roman" w:eastAsia="Times New Roman"/>
        </w:rPr>
        <w:t>24 eligible of 24 blocks; median normalized treatment contrast +0.2456; median raw-area contrast +65.39.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38. A1 source patient 62-CF: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+0.1148</w:t>
            </w:r>
          </w:p>
        </w:tc>
        <w:tc>
          <w:tcPr>
            <w:tcW w:type="dxa" w:w="2160"/>
          </w:tcPr>
          <w:p>
            <w:r>
              <w:rPr>
                <w:rFonts w:ascii="Times New Roman" w:hAnsi="Times New Roman" w:eastAsia="Times New Roman"/>
              </w:rPr>
              <w:t>+59.2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+0.1510</w:t>
            </w:r>
          </w:p>
        </w:tc>
        <w:tc>
          <w:tcPr>
            <w:tcW w:type="dxa" w:w="2160"/>
          </w:tcPr>
          <w:p>
            <w:r>
              <w:rPr>
                <w:rFonts w:ascii="Times New Roman" w:hAnsi="Times New Roman" w:eastAsia="Times New Roman"/>
              </w:rPr>
              <w:t>+134.3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+0.2029</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+0.2730</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+0.2679</w:t>
            </w:r>
          </w:p>
        </w:tc>
        <w:tc>
          <w:tcPr>
            <w:tcW w:type="dxa" w:w="2160"/>
          </w:tcPr>
          <w:p>
            <w:r>
              <w:rPr>
                <w:rFonts w:ascii="Times New Roman" w:hAnsi="Times New Roman" w:eastAsia="Times New Roman"/>
              </w:rPr>
              <w:t>+112.1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+0.3107</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+198.4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+0.2334</w:t>
            </w:r>
          </w:p>
        </w:tc>
        <w:tc>
          <w:tcPr>
            <w:tcW w:type="dxa" w:w="2160"/>
          </w:tcPr>
          <w:p>
            <w:r>
              <w:rPr>
                <w:rFonts w:ascii="Times New Roman" w:hAnsi="Times New Roman" w:eastAsia="Times New Roman"/>
              </w:rPr>
              <w:t>+35.7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+0.1637</w:t>
            </w:r>
          </w:p>
        </w:tc>
        <w:tc>
          <w:tcPr>
            <w:tcW w:type="dxa" w:w="2160"/>
          </w:tcPr>
          <w:p>
            <w:r>
              <w:rPr>
                <w:rFonts w:ascii="Times New Roman" w:hAnsi="Times New Roman" w:eastAsia="Times New Roman"/>
              </w:rPr>
              <w:t>+9.4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+0.2179</w:t>
            </w:r>
          </w:p>
        </w:tc>
        <w:tc>
          <w:tcPr>
            <w:tcW w:type="dxa" w:w="2160"/>
          </w:tcPr>
          <w:p>
            <w:r>
              <w:rPr>
                <w:rFonts w:ascii="Times New Roman" w:hAnsi="Times New Roman" w:eastAsia="Times New Roman"/>
              </w:rPr>
              <w:t>+164.0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+0.2163</w:t>
            </w:r>
          </w:p>
        </w:tc>
        <w:tc>
          <w:tcPr>
            <w:tcW w:type="dxa" w:w="2160"/>
          </w:tcPr>
          <w:p>
            <w:r>
              <w:rPr>
                <w:rFonts w:ascii="Times New Roman" w:hAnsi="Times New Roman" w:eastAsia="Times New Roman"/>
              </w:rPr>
              <w:t>+96.9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+0.2786</w:t>
            </w:r>
          </w:p>
        </w:tc>
        <w:tc>
          <w:tcPr>
            <w:tcW w:type="dxa" w:w="2160"/>
          </w:tcPr>
          <w:p>
            <w:r>
              <w:rPr>
                <w:rFonts w:ascii="Times New Roman" w:hAnsi="Times New Roman" w:eastAsia="Times New Roman"/>
              </w:rPr>
              <w:t>+60.1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+0.2270</w:t>
            </w:r>
          </w:p>
        </w:tc>
        <w:tc>
          <w:tcPr>
            <w:tcW w:type="dxa" w:w="2160"/>
          </w:tcPr>
          <w:p>
            <w:r>
              <w:rPr>
                <w:rFonts w:ascii="Times New Roman" w:hAnsi="Times New Roman" w:eastAsia="Times New Roman"/>
              </w:rPr>
              <w:t>+2.8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+0.2539</w:t>
            </w:r>
          </w:p>
        </w:tc>
        <w:tc>
          <w:tcPr>
            <w:tcW w:type="dxa" w:w="2160"/>
          </w:tcPr>
          <w:p>
            <w:r>
              <w:rPr>
                <w:rFonts w:ascii="Times New Roman" w:hAnsi="Times New Roman" w:eastAsia="Times New Roman"/>
              </w:rPr>
              <w:t>+122.8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+0.3275</w:t>
            </w:r>
          </w:p>
        </w:tc>
        <w:tc>
          <w:tcPr>
            <w:tcW w:type="dxa" w:w="2160"/>
          </w:tcPr>
          <w:p>
            <w:r>
              <w:rPr>
                <w:rFonts w:ascii="Times New Roman" w:hAnsi="Times New Roman" w:eastAsia="Times New Roman"/>
              </w:rPr>
              <w:t>+161.1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+0.3026</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+0.1588</w:t>
            </w:r>
          </w:p>
        </w:tc>
        <w:tc>
          <w:tcPr>
            <w:tcW w:type="dxa" w:w="2160"/>
          </w:tcPr>
          <w:p>
            <w:r>
              <w:rPr>
                <w:rFonts w:ascii="Times New Roman" w:hAnsi="Times New Roman" w:eastAsia="Times New Roman"/>
              </w:rPr>
              <w:t>+70.7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+0.1511</w:t>
            </w:r>
          </w:p>
        </w:tc>
        <w:tc>
          <w:tcPr>
            <w:tcW w:type="dxa" w:w="2160"/>
          </w:tcPr>
          <w:p>
            <w:r>
              <w:rPr>
                <w:rFonts w:ascii="Times New Roman" w:hAnsi="Times New Roman" w:eastAsia="Times New Roman"/>
              </w:rPr>
              <w:t>+57.5</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+0.1913</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+0.2564</w:t>
            </w:r>
          </w:p>
        </w:tc>
        <w:tc>
          <w:tcPr>
            <w:tcW w:type="dxa" w:w="2160"/>
          </w:tcPr>
          <w:p>
            <w:r>
              <w:rPr>
                <w:rFonts w:ascii="Times New Roman" w:hAnsi="Times New Roman" w:eastAsia="Times New Roman"/>
              </w:rPr>
              <w:t>+169.0</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+0.2374</w:t>
            </w:r>
          </w:p>
        </w:tc>
        <w:tc>
          <w:tcPr>
            <w:tcW w:type="dxa" w:w="2160"/>
          </w:tcPr>
          <w:p>
            <w:r>
              <w:rPr>
                <w:rFonts w:ascii="Times New Roman" w:hAnsi="Times New Roman" w:eastAsia="Times New Roman"/>
              </w:rPr>
              <w:t>+118.7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+0.2807</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+0.2631</w:t>
            </w:r>
          </w:p>
        </w:tc>
        <w:tc>
          <w:tcPr>
            <w:tcW w:type="dxa" w:w="2160"/>
          </w:tcPr>
          <w:p>
            <w:r>
              <w:rPr>
                <w:rFonts w:ascii="Times New Roman" w:hAnsi="Times New Roman" w:eastAsia="Times New Roman"/>
              </w:rPr>
              <w:t>+14.4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+0.2728</w:t>
            </w:r>
          </w:p>
        </w:tc>
        <w:tc>
          <w:tcPr>
            <w:tcW w:type="dxa" w:w="2160"/>
          </w:tcPr>
          <w:p>
            <w:r>
              <w:rPr>
                <w:rFonts w:ascii="Times New Roman" w:hAnsi="Times New Roman" w:eastAsia="Times New Roman"/>
              </w:rPr>
              <w:t>-7.6</w:t>
            </w:r>
          </w:p>
        </w:tc>
      </w:tr>
    </w:tbl>
    <w:p>
      <w:pPr>
        <w:pStyle w:val="Heading3"/>
      </w:pPr>
      <w:r>
        <w:rPr>
          <w:rFonts w:ascii="Times New Roman" w:hAnsi="Times New Roman" w:eastAsia="Times New Roman"/>
        </w:rPr>
        <w:t>A1.15. Source patient 63-CF</w:t>
      </w:r>
    </w:p>
    <w:p>
      <w:pPr>
        <w:spacing w:after="120"/>
        <w:jc w:val="both"/>
      </w:pPr>
      <w:r>
        <w:rPr>
          <w:rFonts w:ascii="Times New Roman" w:hAnsi="Times New Roman" w:eastAsia="Times New Roman"/>
        </w:rPr>
        <w:t>8 eligible of 8 blocks; median normalized treatment contrast +0.1083; median raw-area contrast +35.44.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39. A1 source patient 63-CF: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+0.0993</w:t>
            </w:r>
          </w:p>
        </w:tc>
        <w:tc>
          <w:tcPr>
            <w:tcW w:type="dxa" w:w="2160"/>
          </w:tcPr>
          <w:p>
            <w:r>
              <w:rPr>
                <w:rFonts w:ascii="Times New Roman" w:hAnsi="Times New Roman" w:eastAsia="Times New Roman"/>
              </w:rPr>
              <w:t>-54.9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+0.1585</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+0.0816</w:t>
            </w:r>
          </w:p>
        </w:tc>
        <w:tc>
          <w:tcPr>
            <w:tcW w:type="dxa" w:w="2160"/>
          </w:tcPr>
          <w:p>
            <w:r>
              <w:rPr>
                <w:rFonts w:ascii="Times New Roman" w:hAnsi="Times New Roman" w:eastAsia="Times New Roman"/>
              </w:rPr>
              <w:t>+34.7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+0.1787</w:t>
            </w:r>
          </w:p>
        </w:tc>
        <w:tc>
          <w:tcPr>
            <w:tcW w:type="dxa" w:w="2160"/>
          </w:tcPr>
          <w:p>
            <w:r>
              <w:rPr>
                <w:rFonts w:ascii="Times New Roman" w:hAnsi="Times New Roman" w:eastAsia="Times New Roman"/>
              </w:rPr>
              <w:t>+36.2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+0.0252</w:t>
            </w:r>
          </w:p>
        </w:tc>
        <w:tc>
          <w:tcPr>
            <w:tcW w:type="dxa" w:w="2160"/>
          </w:tcPr>
          <w:p>
            <w:r>
              <w:rPr>
                <w:rFonts w:ascii="Times New Roman" w:hAnsi="Times New Roman" w:eastAsia="Times New Roman"/>
              </w:rPr>
              <w:t>+4.6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+0.1172</w:t>
            </w:r>
          </w:p>
        </w:tc>
        <w:tc>
          <w:tcPr>
            <w:tcW w:type="dxa" w:w="2160"/>
          </w:tcPr>
          <w:p>
            <w:r>
              <w:rPr>
                <w:rFonts w:ascii="Times New Roman" w:hAnsi="Times New Roman" w:eastAsia="Times New Roman"/>
              </w:rPr>
              <w:t>+49.2</w:t>
            </w:r>
          </w:p>
        </w:tc>
      </w:tr>
    </w:tbl>
    <w:p>
      <w:pPr>
        <w:pStyle w:val="Heading3"/>
      </w:pPr>
      <w:r>
        <w:rPr>
          <w:rFonts w:ascii="Times New Roman" w:hAnsi="Times New Roman" w:eastAsia="Times New Roman"/>
        </w:rPr>
        <w:t>A1.16. Source patient 64-CF</w:t>
      </w:r>
    </w:p>
    <w:p>
      <w:pPr>
        <w:spacing w:after="120"/>
        <w:jc w:val="both"/>
      </w:pPr>
      <w:r>
        <w:rPr>
          <w:rFonts w:ascii="Times New Roman" w:hAnsi="Times New Roman" w:eastAsia="Times New Roman"/>
        </w:rPr>
        <w:t>24 eligible of 24 blocks; median normalized treatment contrast +0.2636; median raw-area contrast +72.83.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40. A1 source patient 64-CF: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+0.1263</w:t>
            </w:r>
          </w:p>
        </w:tc>
        <w:tc>
          <w:tcPr>
            <w:tcW w:type="dxa" w:w="2160"/>
          </w:tcPr>
          <w:p>
            <w:r>
              <w:rPr>
                <w:rFonts w:ascii="Times New Roman" w:hAnsi="Times New Roman" w:eastAsia="Times New Roman"/>
              </w:rPr>
              <w:t>+68.9</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+0.2773</w:t>
            </w:r>
          </w:p>
        </w:tc>
        <w:tc>
          <w:tcPr>
            <w:tcW w:type="dxa" w:w="2160"/>
          </w:tcPr>
          <w:p>
            <w:r>
              <w:rPr>
                <w:rFonts w:ascii="Times New Roman" w:hAnsi="Times New Roman" w:eastAsia="Times New Roman"/>
              </w:rPr>
              <w:t>+156.1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+0.3902</w:t>
            </w:r>
          </w:p>
        </w:tc>
        <w:tc>
          <w:tcPr>
            <w:tcW w:type="dxa" w:w="2160"/>
          </w:tcPr>
          <w:p>
            <w:r>
              <w:rPr>
                <w:rFonts w:ascii="Times New Roman" w:hAnsi="Times New Roman" w:eastAsia="Times New Roman"/>
              </w:rPr>
              <w:t>+61.7</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+0.3963</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+0.1578</w:t>
            </w:r>
          </w:p>
        </w:tc>
        <w:tc>
          <w:tcPr>
            <w:tcW w:type="dxa" w:w="2160"/>
          </w:tcPr>
          <w:p>
            <w:r>
              <w:rPr>
                <w:rFonts w:ascii="Times New Roman" w:hAnsi="Times New Roman" w:eastAsia="Times New Roman"/>
              </w:rPr>
              <w:t>+87.4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+0.8928</w:t>
            </w:r>
          </w:p>
        </w:tc>
        <w:tc>
          <w:tcPr>
            <w:tcW w:type="dxa" w:w="2160"/>
          </w:tcPr>
          <w:p>
            <w:r>
              <w:rPr>
                <w:rFonts w:ascii="Times New Roman" w:hAnsi="Times New Roman" w:eastAsia="Times New Roman"/>
              </w:rPr>
              <w:t>+411.1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+0.1912</w:t>
            </w:r>
          </w:p>
        </w:tc>
        <w:tc>
          <w:tcPr>
            <w:tcW w:type="dxa" w:w="2160"/>
          </w:tcPr>
          <w:p>
            <w:r>
              <w:rPr>
                <w:rFonts w:ascii="Times New Roman" w:hAnsi="Times New Roman" w:eastAsia="Times New Roman"/>
              </w:rPr>
              <w:t>+28.6</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+0.1390</w:t>
            </w:r>
          </w:p>
        </w:tc>
        <w:tc>
          <w:tcPr>
            <w:tcW w:type="dxa" w:w="2160"/>
          </w:tcPr>
          <w:p>
            <w:r>
              <w:rPr>
                <w:rFonts w:ascii="Times New Roman" w:hAnsi="Times New Roman" w:eastAsia="Times New Roman"/>
              </w:rPr>
              <w:t>+10.9</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+0.1920</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+0.2484</w:t>
            </w:r>
          </w:p>
        </w:tc>
        <w:tc>
          <w:tcPr>
            <w:tcW w:type="dxa" w:w="2160"/>
          </w:tcPr>
          <w:p>
            <w:r>
              <w:rPr>
                <w:rFonts w:ascii="Times New Roman" w:hAnsi="Times New Roman" w:eastAsia="Times New Roman"/>
              </w:rPr>
              <w:t>+132.3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+0.4522</w:t>
            </w:r>
          </w:p>
        </w:tc>
        <w:tc>
          <w:tcPr>
            <w:tcW w:type="dxa" w:w="2160"/>
          </w:tcPr>
          <w:p>
            <w:r>
              <w:rPr>
                <w:rFonts w:ascii="Times New Roman" w:hAnsi="Times New Roman" w:eastAsia="Times New Roman"/>
              </w:rPr>
              <w:t>+160.1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+94.7</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+0.3116</w:t>
            </w:r>
          </w:p>
        </w:tc>
        <w:tc>
          <w:tcPr>
            <w:tcW w:type="dxa" w:w="2160"/>
          </w:tcPr>
          <w:p>
            <w:r>
              <w:rPr>
                <w:rFonts w:ascii="Times New Roman" w:hAnsi="Times New Roman" w:eastAsia="Times New Roman"/>
              </w:rPr>
              <w:t>+132.1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+0.2478</w:t>
            </w:r>
          </w:p>
        </w:tc>
        <w:tc>
          <w:tcPr>
            <w:tcW w:type="dxa" w:w="2160"/>
          </w:tcPr>
          <w:p>
            <w:r>
              <w:rPr>
                <w:rFonts w:ascii="Times New Roman" w:hAnsi="Times New Roman" w:eastAsia="Times New Roman"/>
              </w:rPr>
              <w:t>+76.8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+0.1562</w:t>
            </w:r>
          </w:p>
        </w:tc>
        <w:tc>
          <w:tcPr>
            <w:tcW w:type="dxa" w:w="2160"/>
          </w:tcPr>
          <w:p>
            <w:r>
              <w:rPr>
                <w:rFonts w:ascii="Times New Roman" w:hAnsi="Times New Roman" w:eastAsia="Times New Roman"/>
              </w:rPr>
              <w:t>+62.1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+36.0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+0.1458</w:t>
            </w:r>
          </w:p>
        </w:tc>
        <w:tc>
          <w:tcPr>
            <w:tcW w:type="dxa" w:w="2160"/>
          </w:tcPr>
          <w:p>
            <w:r>
              <w:rPr>
                <w:rFonts w:ascii="Times New Roman" w:hAnsi="Times New Roman" w:eastAsia="Times New Roman"/>
              </w:rPr>
              <w:t>+45.2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+0.2500</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+0.3986</w:t>
            </w:r>
          </w:p>
        </w:tc>
        <w:tc>
          <w:tcPr>
            <w:tcW w:type="dxa" w:w="2160"/>
          </w:tcPr>
          <w:p>
            <w:r>
              <w:rPr>
                <w:rFonts w:ascii="Times New Roman" w:hAnsi="Times New Roman" w:eastAsia="Times New Roman"/>
              </w:rPr>
              <w:t>+145.2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+18.9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+0.4767</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+0.6337</w:t>
            </w:r>
          </w:p>
        </w:tc>
        <w:tc>
          <w:tcPr>
            <w:tcW w:type="dxa" w:w="2160"/>
          </w:tcPr>
          <w:p>
            <w:r>
              <w:rPr>
                <w:rFonts w:ascii="Times New Roman" w:hAnsi="Times New Roman" w:eastAsia="Times New Roman"/>
              </w:rPr>
              <w:t>+302.3</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+0.1829</w:t>
            </w:r>
          </w:p>
        </w:tc>
        <w:tc>
          <w:tcPr>
            <w:tcW w:type="dxa" w:w="2160"/>
          </w:tcPr>
          <w:p>
            <w:r>
              <w:rPr>
                <w:rFonts w:ascii="Times New Roman" w:hAnsi="Times New Roman" w:eastAsia="Times New Roman"/>
              </w:rPr>
              <w:t>-32.5</w:t>
            </w:r>
          </w:p>
        </w:tc>
      </w:tr>
    </w:tbl>
    <w:p>
      <w:pPr>
        <w:pStyle w:val="Heading3"/>
      </w:pPr>
      <w:r>
        <w:rPr>
          <w:rFonts w:ascii="Times New Roman" w:hAnsi="Times New Roman" w:eastAsia="Times New Roman"/>
        </w:rPr>
        <w:t>A1.17. Source patient 65-CF</w:t>
      </w:r>
    </w:p>
    <w:p>
      <w:pPr>
        <w:spacing w:after="120"/>
        <w:jc w:val="both"/>
      </w:pPr>
      <w:r>
        <w:rPr>
          <w:rFonts w:ascii="Times New Roman" w:hAnsi="Times New Roman" w:eastAsia="Times New Roman"/>
        </w:rPr>
        <w:t>24 eligible of 24 blocks; median normalized treatment contrast +0.2475; median raw-area contrast +57.82.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41. A1 source patient 65-CF: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+15.4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+0.1633</w:t>
            </w:r>
          </w:p>
        </w:tc>
        <w:tc>
          <w:tcPr>
            <w:tcW w:type="dxa" w:w="2160"/>
          </w:tcPr>
          <w:p>
            <w:r>
              <w:rPr>
                <w:rFonts w:ascii="Times New Roman" w:hAnsi="Times New Roman" w:eastAsia="Times New Roman"/>
              </w:rPr>
              <w:t>+42.4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+101.4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+0.1381</w:t>
            </w:r>
          </w:p>
        </w:tc>
        <w:tc>
          <w:tcPr>
            <w:tcW w:type="dxa" w:w="2160"/>
          </w:tcPr>
          <w:p>
            <w:r>
              <w:rPr>
                <w:rFonts w:ascii="Times New Roman" w:hAnsi="Times New Roman" w:eastAsia="Times New Roman"/>
              </w:rPr>
              <w:t>-37.9</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+0.1599</w:t>
            </w:r>
          </w:p>
        </w:tc>
        <w:tc>
          <w:tcPr>
            <w:tcW w:type="dxa" w:w="2160"/>
          </w:tcPr>
          <w:p>
            <w:r>
              <w:rPr>
                <w:rFonts w:ascii="Times New Roman" w:hAnsi="Times New Roman" w:eastAsia="Times New Roman"/>
              </w:rPr>
              <w:t>+61.3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+0.1846</w:t>
            </w:r>
          </w:p>
        </w:tc>
        <w:tc>
          <w:tcPr>
            <w:tcW w:type="dxa" w:w="2160"/>
          </w:tcPr>
          <w:p>
            <w:r>
              <w:rPr>
                <w:rFonts w:ascii="Times New Roman" w:hAnsi="Times New Roman" w:eastAsia="Times New Roman"/>
              </w:rPr>
              <w:t>+4.7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+0.2454</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+0.2965</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+0.1632</w:t>
            </w:r>
          </w:p>
        </w:tc>
        <w:tc>
          <w:tcPr>
            <w:tcW w:type="dxa" w:w="2160"/>
          </w:tcPr>
          <w:p>
            <w:r>
              <w:rPr>
                <w:rFonts w:ascii="Times New Roman" w:hAnsi="Times New Roman" w:eastAsia="Times New Roman"/>
              </w:rPr>
              <w:t>-3.8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+0.2079</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+0.2214</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+0.4989</w:t>
            </w:r>
          </w:p>
        </w:tc>
        <w:tc>
          <w:tcPr>
            <w:tcW w:type="dxa" w:w="2160"/>
          </w:tcPr>
          <w:p>
            <w:r>
              <w:rPr>
                <w:rFonts w:ascii="Times New Roman" w:hAnsi="Times New Roman" w:eastAsia="Times New Roman"/>
              </w:rPr>
              <w:t>+141.1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+0.2196</w:t>
            </w:r>
          </w:p>
        </w:tc>
        <w:tc>
          <w:tcPr>
            <w:tcW w:type="dxa" w:w="2160"/>
          </w:tcPr>
          <w:p>
            <w:r>
              <w:rPr>
                <w:rFonts w:ascii="Times New Roman" w:hAnsi="Times New Roman" w:eastAsia="Times New Roman"/>
              </w:rPr>
              <w:t>-36.8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+0.2531</w:t>
            </w:r>
          </w:p>
        </w:tc>
        <w:tc>
          <w:tcPr>
            <w:tcW w:type="dxa" w:w="2160"/>
          </w:tcPr>
          <w:p>
            <w:r>
              <w:rPr>
                <w:rFonts w:ascii="Times New Roman" w:hAnsi="Times New Roman" w:eastAsia="Times New Roman"/>
              </w:rPr>
              <w:t>+73.6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+0.2677</w:t>
            </w:r>
          </w:p>
        </w:tc>
        <w:tc>
          <w:tcPr>
            <w:tcW w:type="dxa" w:w="2160"/>
          </w:tcPr>
          <w:p>
            <w:r>
              <w:rPr>
                <w:rFonts w:ascii="Times New Roman" w:hAnsi="Times New Roman" w:eastAsia="Times New Roman"/>
              </w:rPr>
              <w:t>+95.7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+0.1974</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+92.2</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+0.1865</w:t>
            </w:r>
          </w:p>
        </w:tc>
        <w:tc>
          <w:tcPr>
            <w:tcW w:type="dxa" w:w="2160"/>
          </w:tcPr>
          <w:p>
            <w:r>
              <w:rPr>
                <w:rFonts w:ascii="Times New Roman" w:hAnsi="Times New Roman" w:eastAsia="Times New Roman"/>
              </w:rPr>
              <w:t>+38.7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+0.3228</w:t>
            </w:r>
          </w:p>
        </w:tc>
        <w:tc>
          <w:tcPr>
            <w:tcW w:type="dxa" w:w="2160"/>
          </w:tcPr>
          <w:p>
            <w:r>
              <w:rPr>
                <w:rFonts w:ascii="Times New Roman" w:hAnsi="Times New Roman" w:eastAsia="Times New Roman"/>
              </w:rPr>
              <w:t>+154.6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+0.2499</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+0.4921</w:t>
            </w:r>
          </w:p>
        </w:tc>
        <w:tc>
          <w:tcPr>
            <w:tcW w:type="dxa" w:w="2160"/>
          </w:tcPr>
          <w:p>
            <w:r>
              <w:rPr>
                <w:rFonts w:ascii="Times New Roman" w:hAnsi="Times New Roman" w:eastAsia="Times New Roman"/>
              </w:rPr>
              <w:t>+62.0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+10.8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+0.2790</w:t>
            </w:r>
          </w:p>
        </w:tc>
        <w:tc>
          <w:tcPr>
            <w:tcW w:type="dxa" w:w="2160"/>
          </w:tcPr>
          <w:p>
            <w:r>
              <w:rPr>
                <w:rFonts w:ascii="Times New Roman" w:hAnsi="Times New Roman" w:eastAsia="Times New Roman"/>
              </w:rPr>
              <w:t>+9.3</w:t>
            </w:r>
          </w:p>
        </w:tc>
      </w:tr>
    </w:tbl>
    <w:p>
      <w:pPr>
        <w:pStyle w:val="Heading3"/>
      </w:pPr>
      <w:r>
        <w:rPr>
          <w:rFonts w:ascii="Times New Roman" w:hAnsi="Times New Roman" w:eastAsia="Times New Roman"/>
        </w:rPr>
        <w:t>A1.18. Source patient 66-CF</w:t>
      </w:r>
    </w:p>
    <w:p>
      <w:pPr>
        <w:spacing w:after="120"/>
        <w:jc w:val="both"/>
      </w:pPr>
      <w:r>
        <w:rPr>
          <w:rFonts w:ascii="Times New Roman" w:hAnsi="Times New Roman" w:eastAsia="Times New Roman"/>
        </w:rPr>
        <w:t>24 eligible of 24 blocks; median normalized treatment contrast +0.2951; median raw-area contrast +84.77.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42. A1 source patient 66-CF: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+0.1924</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+0.2020</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+36.3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+0.2706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+0.1987</w:t>
            </w:r>
          </w:p>
        </w:tc>
        <w:tc>
          <w:tcPr>
            <w:tcW w:type="dxa" w:w="2160"/>
          </w:tcPr>
          <w:p>
            <w:r>
              <w:rPr>
                <w:rFonts w:ascii="Times New Roman" w:hAnsi="Times New Roman" w:eastAsia="Times New Roman"/>
              </w:rPr>
              <w:t>+63.7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+0.1706</w:t>
            </w:r>
          </w:p>
        </w:tc>
        <w:tc>
          <w:tcPr>
            <w:tcW w:type="dxa" w:w="2160"/>
          </w:tcPr>
          <w:p>
            <w:r>
              <w:rPr>
                <w:rFonts w:ascii="Times New Roman" w:hAnsi="Times New Roman" w:eastAsia="Times New Roman"/>
              </w:rPr>
              <w:t>+45.6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+68.4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+0.1634</w:t>
            </w:r>
          </w:p>
        </w:tc>
        <w:tc>
          <w:tcPr>
            <w:tcW w:type="dxa" w:w="2160"/>
          </w:tcPr>
          <w:p>
            <w:r>
              <w:rPr>
                <w:rFonts w:ascii="Times New Roman" w:hAnsi="Times New Roman" w:eastAsia="Times New Roman"/>
              </w:rPr>
              <w:t>+66.3</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+0.2660</w:t>
            </w:r>
          </w:p>
        </w:tc>
        <w:tc>
          <w:tcPr>
            <w:tcW w:type="dxa" w:w="2160"/>
          </w:tcPr>
          <w:p>
            <w:r>
              <w:rPr>
                <w:rFonts w:ascii="Times New Roman" w:hAnsi="Times New Roman" w:eastAsia="Times New Roman"/>
              </w:rPr>
              <w:t>+90.9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+0.3031</w:t>
            </w:r>
          </w:p>
        </w:tc>
        <w:tc>
          <w:tcPr>
            <w:tcW w:type="dxa" w:w="2160"/>
          </w:tcPr>
          <w:p>
            <w:r>
              <w:rPr>
                <w:rFonts w:ascii="Times New Roman" w:hAnsi="Times New Roman" w:eastAsia="Times New Roman"/>
              </w:rPr>
              <w:t>+113.0</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+0.3836</w:t>
            </w:r>
          </w:p>
        </w:tc>
        <w:tc>
          <w:tcPr>
            <w:tcW w:type="dxa" w:w="2160"/>
          </w:tcPr>
          <w:p>
            <w:r>
              <w:rPr>
                <w:rFonts w:ascii="Times New Roman" w:hAnsi="Times New Roman" w:eastAsia="Times New Roman"/>
              </w:rPr>
              <w:t>+39.4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+0.4641</w:t>
            </w:r>
          </w:p>
        </w:tc>
        <w:tc>
          <w:tcPr>
            <w:tcW w:type="dxa" w:w="2160"/>
          </w:tcPr>
          <w:p>
            <w:r>
              <w:rPr>
                <w:rFonts w:ascii="Times New Roman" w:hAnsi="Times New Roman" w:eastAsia="Times New Roman"/>
              </w:rPr>
              <w:t>+137.8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+0.2784</w:t>
            </w:r>
          </w:p>
        </w:tc>
        <w:tc>
          <w:tcPr>
            <w:tcW w:type="dxa" w:w="2160"/>
          </w:tcPr>
          <w:p>
            <w:r>
              <w:rPr>
                <w:rFonts w:ascii="Times New Roman" w:hAnsi="Times New Roman" w:eastAsia="Times New Roman"/>
              </w:rPr>
              <w:t>+53.5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+0.2882</w:t>
            </w:r>
          </w:p>
        </w:tc>
        <w:tc>
          <w:tcPr>
            <w:tcW w:type="dxa" w:w="2160"/>
          </w:tcPr>
          <w:p>
            <w:r>
              <w:rPr>
                <w:rFonts w:ascii="Times New Roman" w:hAnsi="Times New Roman" w:eastAsia="Times New Roman"/>
              </w:rPr>
              <w:t>+82.8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+0.3812</w:t>
            </w:r>
          </w:p>
        </w:tc>
        <w:tc>
          <w:tcPr>
            <w:tcW w:type="dxa" w:w="2160"/>
          </w:tcPr>
          <w:p>
            <w:r>
              <w:rPr>
                <w:rFonts w:ascii="Times New Roman" w:hAnsi="Times New Roman" w:eastAsia="Times New Roman"/>
              </w:rPr>
              <w:t>+139.7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+0.1517</w:t>
            </w:r>
          </w:p>
        </w:tc>
        <w:tc>
          <w:tcPr>
            <w:tcW w:type="dxa" w:w="2160"/>
          </w:tcPr>
          <w:p>
            <w:r>
              <w:rPr>
                <w:rFonts w:ascii="Times New Roman" w:hAnsi="Times New Roman" w:eastAsia="Times New Roman"/>
              </w:rPr>
              <w:t>+105.6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+0.3261</w:t>
            </w:r>
          </w:p>
        </w:tc>
        <w:tc>
          <w:tcPr>
            <w:tcW w:type="dxa" w:w="2160"/>
          </w:tcPr>
          <w:p>
            <w:r>
              <w:rPr>
                <w:rFonts w:ascii="Times New Roman" w:hAnsi="Times New Roman" w:eastAsia="Times New Roman"/>
              </w:rPr>
              <w:t>+151.9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+0.3985</w:t>
            </w:r>
          </w:p>
        </w:tc>
        <w:tc>
          <w:tcPr>
            <w:tcW w:type="dxa" w:w="2160"/>
          </w:tcPr>
          <w:p>
            <w:r>
              <w:rPr>
                <w:rFonts w:ascii="Times New Roman" w:hAnsi="Times New Roman" w:eastAsia="Times New Roman"/>
              </w:rPr>
              <w:t>+114.8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+0.3465</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+0.4124</w:t>
            </w:r>
          </w:p>
        </w:tc>
        <w:tc>
          <w:tcPr>
            <w:tcW w:type="dxa" w:w="2160"/>
          </w:tcPr>
          <w:p>
            <w:r>
              <w:rPr>
                <w:rFonts w:ascii="Times New Roman" w:hAnsi="Times New Roman" w:eastAsia="Times New Roman"/>
              </w:rPr>
              <w:t>+154.4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+0.3754</w:t>
            </w:r>
          </w:p>
        </w:tc>
        <w:tc>
          <w:tcPr>
            <w:tcW w:type="dxa" w:w="2160"/>
          </w:tcPr>
          <w:p>
            <w:r>
              <w:rPr>
                <w:rFonts w:ascii="Times New Roman" w:hAnsi="Times New Roman" w:eastAsia="Times New Roman"/>
              </w:rPr>
              <w:t>+192.8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+0.3020</w:t>
            </w:r>
          </w:p>
        </w:tc>
        <w:tc>
          <w:tcPr>
            <w:tcW w:type="dxa" w:w="2160"/>
          </w:tcPr>
          <w:p>
            <w:r>
              <w:rPr>
                <w:rFonts w:ascii="Times New Roman" w:hAnsi="Times New Roman" w:eastAsia="Times New Roman"/>
              </w:rPr>
              <w:t>+100.9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+0.1208</w:t>
            </w:r>
          </w:p>
        </w:tc>
        <w:tc>
          <w:tcPr>
            <w:tcW w:type="dxa" w:w="2160"/>
          </w:tcPr>
          <w:p>
            <w:r>
              <w:rPr>
                <w:rFonts w:ascii="Times New Roman" w:hAnsi="Times New Roman" w:eastAsia="Times New Roman"/>
              </w:rPr>
              <w:t>+86.7</w:t>
            </w:r>
          </w:p>
        </w:tc>
      </w:tr>
    </w:tbl>
    <w:p>
      <w:pPr>
        <w:pStyle w:val="Heading3"/>
      </w:pPr>
      <w:r>
        <w:rPr>
          <w:rFonts w:ascii="Times New Roman" w:hAnsi="Times New Roman" w:eastAsia="Times New Roman"/>
        </w:rPr>
        <w:t>A1.19. Source patient 68-CF</w:t>
      </w:r>
    </w:p>
    <w:p>
      <w:pPr>
        <w:spacing w:after="120"/>
        <w:jc w:val="both"/>
      </w:pPr>
      <w:r>
        <w:rPr>
          <w:rFonts w:ascii="Times New Roman" w:hAnsi="Times New Roman" w:eastAsia="Times New Roman"/>
        </w:rPr>
        <w:t>24 eligible of 24 blocks; median normalized treatment contrast +0.2833; median raw-area contrast +96.63.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43. A1 source patient 68-CF: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+76.5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+0.2356</w:t>
            </w:r>
          </w:p>
        </w:tc>
        <w:tc>
          <w:tcPr>
            <w:tcW w:type="dxa" w:w="2160"/>
          </w:tcPr>
          <w:p>
            <w:r>
              <w:rPr>
                <w:rFonts w:ascii="Times New Roman" w:hAnsi="Times New Roman" w:eastAsia="Times New Roman"/>
              </w:rPr>
              <w:t>+90.2</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+0.3633</w:t>
            </w:r>
          </w:p>
        </w:tc>
        <w:tc>
          <w:tcPr>
            <w:tcW w:type="dxa" w:w="2160"/>
          </w:tcPr>
          <w:p>
            <w:r>
              <w:rPr>
                <w:rFonts w:ascii="Times New Roman" w:hAnsi="Times New Roman" w:eastAsia="Times New Roman"/>
              </w:rPr>
              <w:t>+172.9</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+0.4029</w:t>
            </w:r>
          </w:p>
        </w:tc>
        <w:tc>
          <w:tcPr>
            <w:tcW w:type="dxa" w:w="2160"/>
          </w:tcPr>
          <w:p>
            <w:r>
              <w:rPr>
                <w:rFonts w:ascii="Times New Roman" w:hAnsi="Times New Roman" w:eastAsia="Times New Roman"/>
              </w:rPr>
              <w:t>+17.3</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+0.3152</w:t>
            </w:r>
          </w:p>
        </w:tc>
        <w:tc>
          <w:tcPr>
            <w:tcW w:type="dxa" w:w="2160"/>
          </w:tcPr>
          <w:p>
            <w:r>
              <w:rPr>
                <w:rFonts w:ascii="Times New Roman" w:hAnsi="Times New Roman" w:eastAsia="Times New Roman"/>
              </w:rPr>
              <w:t>+205.5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+0.2931</w:t>
            </w:r>
          </w:p>
        </w:tc>
        <w:tc>
          <w:tcPr>
            <w:tcW w:type="dxa" w:w="2160"/>
          </w:tcPr>
          <w:p>
            <w:r>
              <w:rPr>
                <w:rFonts w:ascii="Times New Roman" w:hAnsi="Times New Roman" w:eastAsia="Times New Roman"/>
              </w:rPr>
              <w:t>+103.5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+0.3547</w:t>
            </w:r>
          </w:p>
        </w:tc>
        <w:tc>
          <w:tcPr>
            <w:tcW w:type="dxa" w:w="2160"/>
          </w:tcPr>
          <w:p>
            <w:r>
              <w:rPr>
                <w:rFonts w:ascii="Times New Roman" w:hAnsi="Times New Roman" w:eastAsia="Times New Roman"/>
              </w:rPr>
              <w:t>+103.1</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+0.1400</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+0.1795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+124.6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+0.3525</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+0.1431</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+0.3659</w:t>
            </w:r>
          </w:p>
        </w:tc>
        <w:tc>
          <w:tcPr>
            <w:tcW w:type="dxa" w:w="2160"/>
          </w:tcPr>
          <w:p>
            <w:r>
              <w:rPr>
                <w:rFonts w:ascii="Times New Roman" w:hAnsi="Times New Roman" w:eastAsia="Times New Roman"/>
              </w:rPr>
              <w:t>+215.5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+0.2594</w:t>
            </w:r>
          </w:p>
        </w:tc>
        <w:tc>
          <w:tcPr>
            <w:tcW w:type="dxa" w:w="2160"/>
          </w:tcPr>
          <w:p>
            <w:r>
              <w:rPr>
                <w:rFonts w:ascii="Times New Roman" w:hAnsi="Times New Roman" w:eastAsia="Times New Roman"/>
              </w:rPr>
              <w:t>+176.9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-0.0718</w:t>
            </w:r>
          </w:p>
        </w:tc>
        <w:tc>
          <w:tcPr>
            <w:tcW w:type="dxa" w:w="2160"/>
          </w:tcPr>
          <w:p>
            <w:r>
              <w:rPr>
                <w:rFonts w:ascii="Times New Roman" w:hAnsi="Times New Roman" w:eastAsia="Times New Roman"/>
              </w:rPr>
              <w:t>-87.1</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+0.2265</w:t>
            </w:r>
          </w:p>
        </w:tc>
        <w:tc>
          <w:tcPr>
            <w:tcW w:type="dxa" w:w="2160"/>
          </w:tcPr>
          <w:p>
            <w:r>
              <w:rPr>
                <w:rFonts w:ascii="Times New Roman" w:hAnsi="Times New Roman" w:eastAsia="Times New Roman"/>
              </w:rPr>
              <w:t>+82.5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+0.3456</w:t>
            </w:r>
          </w:p>
        </w:tc>
        <w:tc>
          <w:tcPr>
            <w:tcW w:type="dxa" w:w="2160"/>
          </w:tcPr>
          <w:p>
            <w:r>
              <w:rPr>
                <w:rFonts w:ascii="Times New Roman" w:hAnsi="Times New Roman" w:eastAsia="Times New Roman"/>
              </w:rPr>
              <w:t>+52.2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+153.4</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+58.8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+0.2157</w:t>
            </w:r>
          </w:p>
        </w:tc>
        <w:tc>
          <w:tcPr>
            <w:tcW w:type="dxa" w:w="2160"/>
          </w:tcPr>
          <w:p>
            <w:r>
              <w:rPr>
                <w:rFonts w:ascii="Times New Roman" w:hAnsi="Times New Roman" w:eastAsia="Times New Roman"/>
              </w:rPr>
              <w:t>+68.5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+0.1461</w:t>
            </w:r>
          </w:p>
        </w:tc>
        <w:tc>
          <w:tcPr>
            <w:tcW w:type="dxa" w:w="2160"/>
          </w:tcPr>
          <w:p>
            <w:r>
              <w:rPr>
                <w:rFonts w:ascii="Times New Roman" w:hAnsi="Times New Roman" w:eastAsia="Times New Roman"/>
              </w:rPr>
              <w:t>+27.8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+0.2842</w:t>
            </w:r>
          </w:p>
        </w:tc>
        <w:tc>
          <w:tcPr>
            <w:tcW w:type="dxa" w:w="2160"/>
          </w:tcPr>
          <w:p>
            <w:r>
              <w:rPr>
                <w:rFonts w:ascii="Times New Roman" w:hAnsi="Times New Roman" w:eastAsia="Times New Roman"/>
              </w:rPr>
              <w:t>+156.9</w:t>
            </w:r>
          </w:p>
        </w:tc>
      </w:tr>
    </w:tbl>
    <w:p>
      <w:pPr>
        <w:pStyle w:val="Heading3"/>
      </w:pPr>
      <w:r>
        <w:rPr>
          <w:rFonts w:ascii="Times New Roman" w:hAnsi="Times New Roman" w:eastAsia="Times New Roman"/>
        </w:rPr>
        <w:t>A1.20. Source patient 69-CF</w:t>
      </w:r>
    </w:p>
    <w:p>
      <w:pPr>
        <w:spacing w:after="120"/>
        <w:jc w:val="both"/>
      </w:pPr>
      <w:r>
        <w:rPr>
          <w:rFonts w:ascii="Times New Roman" w:hAnsi="Times New Roman" w:eastAsia="Times New Roman"/>
        </w:rPr>
        <w:t>8 eligible of 8 blocks; median normalized treatment contrast +0.1718; median raw-area contrast +52.84.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44. A1 source patient 69-CF: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+0.1478</w:t>
            </w:r>
          </w:p>
        </w:tc>
        <w:tc>
          <w:tcPr>
            <w:tcW w:type="dxa" w:w="2160"/>
          </w:tcPr>
          <w:p>
            <w:r>
              <w:rPr>
                <w:rFonts w:ascii="Times New Roman" w:hAnsi="Times New Roman" w:eastAsia="Times New Roman"/>
              </w:rPr>
              <w:t>-6.2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+0.1696</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+47.8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+0.2667</w:t>
            </w:r>
          </w:p>
        </w:tc>
        <w:tc>
          <w:tcPr>
            <w:tcW w:type="dxa" w:w="2160"/>
          </w:tcPr>
          <w:p>
            <w:r>
              <w:rPr>
                <w:rFonts w:ascii="Times New Roman" w:hAnsi="Times New Roman" w:eastAsia="Times New Roman"/>
              </w:rPr>
              <w:t>+81.7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+0.1740</w:t>
            </w:r>
          </w:p>
        </w:tc>
        <w:tc>
          <w:tcPr>
            <w:tcW w:type="dxa" w:w="2160"/>
          </w:tcPr>
          <w:p>
            <w:r>
              <w:rPr>
                <w:rFonts w:ascii="Times New Roman" w:hAnsi="Times New Roman" w:eastAsia="Times New Roman"/>
              </w:rPr>
              <w:t>+139.8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+0.2589</w:t>
            </w:r>
          </w:p>
        </w:tc>
        <w:tc>
          <w:tcPr>
            <w:tcW w:type="dxa" w:w="2160"/>
          </w:tcPr>
          <w:p>
            <w:r>
              <w:rPr>
                <w:rFonts w:ascii="Times New Roman" w:hAnsi="Times New Roman" w:eastAsia="Times New Roman"/>
              </w:rPr>
              <w:t>+57.9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+0.0735</w:t>
            </w:r>
          </w:p>
        </w:tc>
        <w:tc>
          <w:tcPr>
            <w:tcW w:type="dxa" w:w="2160"/>
          </w:tcPr>
          <w:p>
            <w:r>
              <w:rPr>
                <w:rFonts w:ascii="Times New Roman" w:hAnsi="Times New Roman" w:eastAsia="Times New Roman"/>
              </w:rPr>
              <w:t>+80.4</w:t>
            </w:r>
          </w:p>
        </w:tc>
      </w:tr>
    </w:tbl>
    <w:p>
      <w:pPr>
        <w:pStyle w:val="Heading2"/>
      </w:pPr>
      <w:r>
        <w:rPr>
          <w:rFonts w:ascii="Times New Roman" w:hAnsi="Times New Roman" w:eastAsia="Times New Roman"/>
        </w:rPr>
        <w:t>A2. VTI minus ETI</w:t>
      </w:r>
    </w:p>
    <w:p>
      <w:pPr>
        <w:spacing w:after="120"/>
        <w:jc w:val="both"/>
      </w:pPr>
      <w:r>
        <w:rPr>
          <w:rFonts w:ascii="Times New Roman" w:hAnsi="Times New Roman" w:eastAsia="Times New Roman"/>
        </w:rPr>
        <w:t>Source https://zenodo.org/records/15754800. 12 IDs and 33 plates appear in the public source; 208/264 blocks meet its preregistered primary criteria. The table preserves positive and negative contrasts. The registered patient-level result is 6/9 positive medians, exact one-sided p=0.2539062. Unnormalized raw-area AUC is shown only to reveal sensitivity to baseline area, never as an independent trial.</w:t>
      </w:r>
    </w:p>
    <w:p>
      <w:pPr>
        <w:pStyle w:val="Heading3"/>
      </w:pPr>
      <w:r>
        <w:rPr>
          <w:rFonts w:ascii="Times New Roman" w:hAnsi="Times New Roman" w:eastAsia="Times New Roman"/>
        </w:rPr>
        <w:t>A2.1. Source patient 06</w:t>
      </w:r>
    </w:p>
    <w:p>
      <w:pPr>
        <w:spacing w:after="120"/>
        <w:jc w:val="both"/>
      </w:pPr>
      <w:r>
        <w:rPr>
          <w:rFonts w:ascii="Times New Roman" w:hAnsi="Times New Roman" w:eastAsia="Times New Roman"/>
        </w:rPr>
        <w:t>24 eligible of 24 blocks; median normalized treatment contrast +0.0277; median raw-area contrast -8.49.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45. A2 source patient 06: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+0.0673</w:t>
            </w:r>
          </w:p>
        </w:tc>
        <w:tc>
          <w:tcPr>
            <w:tcW w:type="dxa" w:w="2160"/>
          </w:tcPr>
          <w:p>
            <w:r>
              <w:rPr>
                <w:rFonts w:ascii="Times New Roman" w:hAnsi="Times New Roman" w:eastAsia="Times New Roman"/>
              </w:rPr>
              <w:t>+14.6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+0.1224</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+0.1283</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+0.0963</w:t>
            </w:r>
          </w:p>
        </w:tc>
        <w:tc>
          <w:tcPr>
            <w:tcW w:type="dxa" w:w="2160"/>
          </w:tcPr>
          <w:p>
            <w:r>
              <w:rPr>
                <w:rFonts w:ascii="Times New Roman" w:hAnsi="Times New Roman" w:eastAsia="Times New Roman"/>
              </w:rPr>
              <w:t>+56.1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-0.2065</w:t>
            </w:r>
          </w:p>
        </w:tc>
        <w:tc>
          <w:tcPr>
            <w:tcW w:type="dxa" w:w="2160"/>
          </w:tcPr>
          <w:p>
            <w:r>
              <w:rPr>
                <w:rFonts w:ascii="Times New Roman" w:hAnsi="Times New Roman" w:eastAsia="Times New Roman"/>
              </w:rPr>
              <w:t>+39.9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-0.0746</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+0.0106</w:t>
            </w:r>
          </w:p>
        </w:tc>
        <w:tc>
          <w:tcPr>
            <w:tcW w:type="dxa" w:w="2160"/>
          </w:tcPr>
          <w:p>
            <w:r>
              <w:rPr>
                <w:rFonts w:ascii="Times New Roman" w:hAnsi="Times New Roman" w:eastAsia="Times New Roman"/>
              </w:rPr>
              <w:t>+119.2</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-0.1393</w:t>
            </w:r>
          </w:p>
        </w:tc>
        <w:tc>
          <w:tcPr>
            <w:tcW w:type="dxa" w:w="2160"/>
          </w:tcPr>
          <w:p>
            <w:r>
              <w:rPr>
                <w:rFonts w:ascii="Times New Roman" w:hAnsi="Times New Roman" w:eastAsia="Times New Roman"/>
              </w:rPr>
              <w:t>-49.6</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+0.1074</w:t>
            </w:r>
          </w:p>
        </w:tc>
        <w:tc>
          <w:tcPr>
            <w:tcW w:type="dxa" w:w="2160"/>
          </w:tcPr>
          <w:p>
            <w:r>
              <w:rPr>
                <w:rFonts w:ascii="Times New Roman" w:hAnsi="Times New Roman" w:eastAsia="Times New Roman"/>
              </w:rPr>
              <w:t>-24.7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+0.0635</w:t>
            </w:r>
          </w:p>
        </w:tc>
        <w:tc>
          <w:tcPr>
            <w:tcW w:type="dxa" w:w="2160"/>
          </w:tcPr>
          <w:p>
            <w:r>
              <w:rPr>
                <w:rFonts w:ascii="Times New Roman" w:hAnsi="Times New Roman" w:eastAsia="Times New Roman"/>
              </w:rPr>
              <w:t>+80.1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+16.7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+0.0839</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-0.0454</w:t>
            </w:r>
          </w:p>
        </w:tc>
        <w:tc>
          <w:tcPr>
            <w:tcW w:type="dxa" w:w="2160"/>
          </w:tcPr>
          <w:p>
            <w:r>
              <w:rPr>
                <w:rFonts w:ascii="Times New Roman" w:hAnsi="Times New Roman" w:eastAsia="Times New Roman"/>
              </w:rPr>
              <w:t>-26.3</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+0.0135</w:t>
            </w:r>
          </w:p>
        </w:tc>
        <w:tc>
          <w:tcPr>
            <w:tcW w:type="dxa" w:w="2160"/>
          </w:tcPr>
          <w:p>
            <w:r>
              <w:rPr>
                <w:rFonts w:ascii="Times New Roman" w:hAnsi="Times New Roman" w:eastAsia="Times New Roman"/>
              </w:rPr>
              <w:t>-8.8</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-0.1746</w:t>
            </w:r>
          </w:p>
        </w:tc>
        <w:tc>
          <w:tcPr>
            <w:tcW w:type="dxa" w:w="2160"/>
          </w:tcPr>
          <w:p>
            <w:r>
              <w:rPr>
                <w:rFonts w:ascii="Times New Roman" w:hAnsi="Times New Roman" w:eastAsia="Times New Roman"/>
              </w:rPr>
              <w:t>-47.1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-0.0725</w:t>
            </w:r>
          </w:p>
        </w:tc>
        <w:tc>
          <w:tcPr>
            <w:tcW w:type="dxa" w:w="2160"/>
          </w:tcPr>
          <w:p>
            <w:r>
              <w:rPr>
                <w:rFonts w:ascii="Times New Roman" w:hAnsi="Times New Roman" w:eastAsia="Times New Roman"/>
              </w:rPr>
              <w:t>-24.5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-30.6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+0.0156</w:t>
            </w:r>
          </w:p>
        </w:tc>
        <w:tc>
          <w:tcPr>
            <w:tcW w:type="dxa" w:w="2160"/>
          </w:tcPr>
          <w:p>
            <w:r>
              <w:rPr>
                <w:rFonts w:ascii="Times New Roman" w:hAnsi="Times New Roman" w:eastAsia="Times New Roman"/>
              </w:rPr>
              <w:t>+38.1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+0.0455</w:t>
            </w:r>
          </w:p>
        </w:tc>
        <w:tc>
          <w:tcPr>
            <w:tcW w:type="dxa" w:w="2160"/>
          </w:tcPr>
          <w:p>
            <w:r>
              <w:rPr>
                <w:rFonts w:ascii="Times New Roman" w:hAnsi="Times New Roman" w:eastAsia="Times New Roman"/>
              </w:rPr>
              <w:t>-112.0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-0.0534</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-0.0909</w:t>
            </w:r>
          </w:p>
        </w:tc>
        <w:tc>
          <w:tcPr>
            <w:tcW w:type="dxa" w:w="2160"/>
          </w:tcPr>
          <w:p>
            <w:r>
              <w:rPr>
                <w:rFonts w:ascii="Times New Roman" w:hAnsi="Times New Roman" w:eastAsia="Times New Roman"/>
              </w:rPr>
              <w:t>+29.6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+0.1366</w:t>
            </w:r>
          </w:p>
        </w:tc>
        <w:tc>
          <w:tcPr>
            <w:tcW w:type="dxa" w:w="2160"/>
          </w:tcPr>
          <w:p>
            <w:r>
              <w:rPr>
                <w:rFonts w:ascii="Times New Roman" w:hAnsi="Times New Roman" w:eastAsia="Times New Roman"/>
              </w:rPr>
              <w:t>-110.9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+0.2357</w:t>
            </w:r>
          </w:p>
        </w:tc>
        <w:tc>
          <w:tcPr>
            <w:tcW w:type="dxa" w:w="2160"/>
          </w:tcPr>
          <w:p>
            <w:r>
              <w:rPr>
                <w:rFonts w:ascii="Times New Roman" w:hAnsi="Times New Roman" w:eastAsia="Times New Roman"/>
              </w:rPr>
              <w:t>+135.0</w:t>
            </w:r>
          </w:p>
        </w:tc>
      </w:tr>
    </w:tbl>
    <w:p>
      <w:pPr>
        <w:pStyle w:val="Heading3"/>
      </w:pPr>
      <w:r>
        <w:rPr>
          <w:rFonts w:ascii="Times New Roman" w:hAnsi="Times New Roman" w:eastAsia="Times New Roman"/>
        </w:rPr>
        <w:t>A2.2. Source patient 27</w:t>
      </w:r>
    </w:p>
    <w:p>
      <w:pPr>
        <w:spacing w:after="120"/>
        <w:jc w:val="both"/>
      </w:pPr>
      <w:r>
        <w:rPr>
          <w:rFonts w:ascii="Times New Roman" w:hAnsi="Times New Roman" w:eastAsia="Times New Roman"/>
        </w:rPr>
        <w:t>24 eligible of 24 blocks; median normalized treatment contrast +0.0449; median raw-area contrast -4.67.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46. A2 source patient 27: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+0.1404</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+0.1543</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+0.1201</w:t>
            </w:r>
          </w:p>
        </w:tc>
        <w:tc>
          <w:tcPr>
            <w:tcW w:type="dxa" w:w="2160"/>
          </w:tcPr>
          <w:p>
            <w:r>
              <w:rPr>
                <w:rFonts w:ascii="Times New Roman" w:hAnsi="Times New Roman" w:eastAsia="Times New Roman"/>
              </w:rPr>
              <w:t>+8.6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+0.2176</w:t>
            </w:r>
          </w:p>
        </w:tc>
        <w:tc>
          <w:tcPr>
            <w:tcW w:type="dxa" w:w="2160"/>
          </w:tcPr>
          <w:p>
            <w:r>
              <w:rPr>
                <w:rFonts w:ascii="Times New Roman" w:hAnsi="Times New Roman" w:eastAsia="Times New Roman"/>
              </w:rPr>
              <w:t>+48.1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-0.0955</w:t>
            </w:r>
          </w:p>
        </w:tc>
        <w:tc>
          <w:tcPr>
            <w:tcW w:type="dxa" w:w="2160"/>
          </w:tcPr>
          <w:p>
            <w:r>
              <w:rPr>
                <w:rFonts w:ascii="Times New Roman" w:hAnsi="Times New Roman" w:eastAsia="Times New Roman"/>
              </w:rPr>
              <w:t>-56.9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-0.0967</w:t>
            </w:r>
          </w:p>
        </w:tc>
        <w:tc>
          <w:tcPr>
            <w:tcW w:type="dxa" w:w="2160"/>
          </w:tcPr>
          <w:p>
            <w:r>
              <w:rPr>
                <w:rFonts w:ascii="Times New Roman" w:hAnsi="Times New Roman" w:eastAsia="Times New Roman"/>
              </w:rPr>
              <w:t>-102.1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-0.1990</w:t>
            </w:r>
          </w:p>
        </w:tc>
        <w:tc>
          <w:tcPr>
            <w:tcW w:type="dxa" w:w="2160"/>
          </w:tcPr>
          <w:p>
            <w:r>
              <w:rPr>
                <w:rFonts w:ascii="Times New Roman" w:hAnsi="Times New Roman" w:eastAsia="Times New Roman"/>
              </w:rPr>
              <w:t>+33.4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-0.0490</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+0.0256</w:t>
            </w:r>
          </w:p>
        </w:tc>
        <w:tc>
          <w:tcPr>
            <w:tcW w:type="dxa" w:w="2160"/>
          </w:tcPr>
          <w:p>
            <w:r>
              <w:rPr>
                <w:rFonts w:ascii="Times New Roman" w:hAnsi="Times New Roman" w:eastAsia="Times New Roman"/>
              </w:rPr>
              <w:t>-13.5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-0.0417</w:t>
            </w:r>
          </w:p>
        </w:tc>
        <w:tc>
          <w:tcPr>
            <w:tcW w:type="dxa" w:w="2160"/>
          </w:tcPr>
          <w:p>
            <w:r>
              <w:rPr>
                <w:rFonts w:ascii="Times New Roman" w:hAnsi="Times New Roman" w:eastAsia="Times New Roman"/>
              </w:rPr>
              <w:t>-40.9</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+0.1041</w:t>
            </w:r>
          </w:p>
        </w:tc>
        <w:tc>
          <w:tcPr>
            <w:tcW w:type="dxa" w:w="2160"/>
          </w:tcPr>
          <w:p>
            <w:r>
              <w:rPr>
                <w:rFonts w:ascii="Times New Roman" w:hAnsi="Times New Roman" w:eastAsia="Times New Roman"/>
              </w:rPr>
              <w:t>-55.2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-17.7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-0.1142</w:t>
            </w:r>
          </w:p>
        </w:tc>
        <w:tc>
          <w:tcPr>
            <w:tcW w:type="dxa" w:w="2160"/>
          </w:tcPr>
          <w:p>
            <w:r>
              <w:rPr>
                <w:rFonts w:ascii="Times New Roman" w:hAnsi="Times New Roman" w:eastAsia="Times New Roman"/>
              </w:rPr>
              <w:t>+19.5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-0.0018</w:t>
            </w:r>
          </w:p>
        </w:tc>
        <w:tc>
          <w:tcPr>
            <w:tcW w:type="dxa" w:w="2160"/>
          </w:tcPr>
          <w:p>
            <w:r>
              <w:rPr>
                <w:rFonts w:ascii="Times New Roman" w:hAnsi="Times New Roman" w:eastAsia="Times New Roman"/>
              </w:rPr>
              <w:t>-53.3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+0.0236</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+35.6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-43.1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+0.1594</w:t>
            </w:r>
          </w:p>
        </w:tc>
        <w:tc>
          <w:tcPr>
            <w:tcW w:type="dxa" w:w="2160"/>
          </w:tcPr>
          <w:p>
            <w:r>
              <w:rPr>
                <w:rFonts w:ascii="Times New Roman" w:hAnsi="Times New Roman" w:eastAsia="Times New Roman"/>
              </w:rPr>
              <w:t>-49.5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+0.1445</w:t>
            </w:r>
          </w:p>
        </w:tc>
        <w:tc>
          <w:tcPr>
            <w:tcW w:type="dxa" w:w="2160"/>
          </w:tcPr>
          <w:p>
            <w:r>
              <w:rPr>
                <w:rFonts w:ascii="Times New Roman" w:hAnsi="Times New Roman" w:eastAsia="Times New Roman"/>
              </w:rPr>
              <w:t>-29.3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+0.2277</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-0.0951</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+0.0678</w:t>
            </w:r>
          </w:p>
        </w:tc>
        <w:tc>
          <w:tcPr>
            <w:tcW w:type="dxa" w:w="2160"/>
          </w:tcPr>
          <w:p>
            <w:r>
              <w:rPr>
                <w:rFonts w:ascii="Times New Roman" w:hAnsi="Times New Roman" w:eastAsia="Times New Roman"/>
              </w:rPr>
              <w:t>+96.4</w:t>
            </w:r>
          </w:p>
        </w:tc>
      </w:tr>
    </w:tbl>
    <w:p>
      <w:pPr>
        <w:pStyle w:val="Heading3"/>
      </w:pPr>
      <w:r>
        <w:rPr>
          <w:rFonts w:ascii="Times New Roman" w:hAnsi="Times New Roman" w:eastAsia="Times New Roman"/>
        </w:rPr>
        <w:t>A2.3. Source patient 31</w:t>
      </w:r>
    </w:p>
    <w:p>
      <w:pPr>
        <w:spacing w:after="120"/>
        <w:jc w:val="both"/>
      </w:pPr>
      <w:r>
        <w:rPr>
          <w:rFonts w:ascii="Times New Roman" w:hAnsi="Times New Roman" w:eastAsia="Times New Roman"/>
        </w:rPr>
        <w:t>24 eligible of 24 blocks; median normalized treatment contrast -0.0071; median raw-area contrast +1.27.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47. A2 source patient 31: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+0.0205</w:t>
            </w:r>
          </w:p>
        </w:tc>
        <w:tc>
          <w:tcPr>
            <w:tcW w:type="dxa" w:w="2160"/>
          </w:tcPr>
          <w:p>
            <w:r>
              <w:rPr>
                <w:rFonts w:ascii="Times New Roman" w:hAnsi="Times New Roman" w:eastAsia="Times New Roman"/>
              </w:rPr>
              <w:t>+56.5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-0.0042</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-0.0206</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-0.0734</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-0.0520</w:t>
            </w:r>
          </w:p>
        </w:tc>
        <w:tc>
          <w:tcPr>
            <w:tcW w:type="dxa" w:w="2160"/>
          </w:tcPr>
          <w:p>
            <w:r>
              <w:rPr>
                <w:rFonts w:ascii="Times New Roman" w:hAnsi="Times New Roman" w:eastAsia="Times New Roman"/>
              </w:rPr>
              <w:t>-86.1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-0.0064</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-0.0664</w:t>
            </w:r>
          </w:p>
        </w:tc>
        <w:tc>
          <w:tcPr>
            <w:tcW w:type="dxa" w:w="2160"/>
          </w:tcPr>
          <w:p>
            <w:r>
              <w:rPr>
                <w:rFonts w:ascii="Times New Roman" w:hAnsi="Times New Roman" w:eastAsia="Times New Roman"/>
              </w:rPr>
              <w:t>-11.4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+0.0407</w:t>
            </w:r>
          </w:p>
        </w:tc>
        <w:tc>
          <w:tcPr>
            <w:tcW w:type="dxa" w:w="2160"/>
          </w:tcPr>
          <w:p>
            <w:r>
              <w:rPr>
                <w:rFonts w:ascii="Times New Roman" w:hAnsi="Times New Roman" w:eastAsia="Times New Roman"/>
              </w:rPr>
              <w:t>-95.6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+0.0226</w:t>
            </w:r>
          </w:p>
        </w:tc>
        <w:tc>
          <w:tcPr>
            <w:tcW w:type="dxa" w:w="2160"/>
          </w:tcPr>
          <w:p>
            <w:r>
              <w:rPr>
                <w:rFonts w:ascii="Times New Roman" w:hAnsi="Times New Roman" w:eastAsia="Times New Roman"/>
              </w:rPr>
              <w:t>+136.1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-0.0575</w:t>
            </w:r>
          </w:p>
        </w:tc>
        <w:tc>
          <w:tcPr>
            <w:tcW w:type="dxa" w:w="2160"/>
          </w:tcPr>
          <w:p>
            <w:r>
              <w:rPr>
                <w:rFonts w:ascii="Times New Roman" w:hAnsi="Times New Roman" w:eastAsia="Times New Roman"/>
              </w:rPr>
              <w:t>-30.9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+0.0873</w:t>
            </w:r>
          </w:p>
        </w:tc>
        <w:tc>
          <w:tcPr>
            <w:tcW w:type="dxa" w:w="2160"/>
          </w:tcPr>
          <w:p>
            <w:r>
              <w:rPr>
                <w:rFonts w:ascii="Times New Roman" w:hAnsi="Times New Roman" w:eastAsia="Times New Roman"/>
              </w:rPr>
              <w:t>-109.2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-0.0168</w:t>
            </w:r>
          </w:p>
        </w:tc>
        <w:tc>
          <w:tcPr>
            <w:tcW w:type="dxa" w:w="2160"/>
          </w:tcPr>
          <w:p>
            <w:r>
              <w:rPr>
                <w:rFonts w:ascii="Times New Roman" w:hAnsi="Times New Roman" w:eastAsia="Times New Roman"/>
              </w:rPr>
              <w:t>+74.6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+0.2221</w:t>
            </w:r>
          </w:p>
        </w:tc>
        <w:tc>
          <w:tcPr>
            <w:tcW w:type="dxa" w:w="2160"/>
          </w:tcPr>
          <w:p>
            <w:r>
              <w:rPr>
                <w:rFonts w:ascii="Times New Roman" w:hAnsi="Times New Roman" w:eastAsia="Times New Roman"/>
              </w:rPr>
              <w:t>+129.3</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-0.0983</w:t>
            </w:r>
          </w:p>
        </w:tc>
        <w:tc>
          <w:tcPr>
            <w:tcW w:type="dxa" w:w="2160"/>
          </w:tcPr>
          <w:p>
            <w:r>
              <w:rPr>
                <w:rFonts w:ascii="Times New Roman" w:hAnsi="Times New Roman" w:eastAsia="Times New Roman"/>
              </w:rPr>
              <w:t>-144.8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-0.0413</w:t>
            </w:r>
          </w:p>
        </w:tc>
        <w:tc>
          <w:tcPr>
            <w:tcW w:type="dxa" w:w="2160"/>
          </w:tcPr>
          <w:p>
            <w:r>
              <w:rPr>
                <w:rFonts w:ascii="Times New Roman" w:hAnsi="Times New Roman" w:eastAsia="Times New Roman"/>
              </w:rPr>
              <w:t>-0.1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+0.0166</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-0.0805</w:t>
            </w:r>
          </w:p>
        </w:tc>
        <w:tc>
          <w:tcPr>
            <w:tcW w:type="dxa" w:w="2160"/>
          </w:tcPr>
          <w:p>
            <w:r>
              <w:rPr>
                <w:rFonts w:ascii="Times New Roman" w:hAnsi="Times New Roman" w:eastAsia="Times New Roman"/>
              </w:rPr>
              <w:t>-21.8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+0.0045</w:t>
            </w:r>
          </w:p>
        </w:tc>
        <w:tc>
          <w:tcPr>
            <w:tcW w:type="dxa" w:w="2160"/>
          </w:tcPr>
          <w:p>
            <w:r>
              <w:rPr>
                <w:rFonts w:ascii="Times New Roman" w:hAnsi="Times New Roman" w:eastAsia="Times New Roman"/>
              </w:rPr>
              <w:t>+2.6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-0.0503</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+0.0192</w:t>
            </w:r>
          </w:p>
        </w:tc>
        <w:tc>
          <w:tcPr>
            <w:tcW w:type="dxa" w:w="2160"/>
          </w:tcPr>
          <w:p>
            <w:r>
              <w:rPr>
                <w:rFonts w:ascii="Times New Roman" w:hAnsi="Times New Roman" w:eastAsia="Times New Roman"/>
              </w:rPr>
              <w:t>+28.2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-0.2074</w:t>
            </w:r>
          </w:p>
        </w:tc>
        <w:tc>
          <w:tcPr>
            <w:tcW w:type="dxa" w:w="2160"/>
          </w:tcPr>
          <w:p>
            <w:r>
              <w:rPr>
                <w:rFonts w:ascii="Times New Roman" w:hAnsi="Times New Roman" w:eastAsia="Times New Roman"/>
              </w:rPr>
              <w:t>-43.3</w:t>
            </w:r>
          </w:p>
        </w:tc>
      </w:tr>
    </w:tbl>
    <w:p>
      <w:pPr>
        <w:pStyle w:val="Heading3"/>
      </w:pPr>
      <w:r>
        <w:rPr>
          <w:rFonts w:ascii="Times New Roman" w:hAnsi="Times New Roman" w:eastAsia="Times New Roman"/>
        </w:rPr>
        <w:t>A2.4. Source patient 35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48. A2 source patient 35: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A2.5. Source patient 40</w:t>
      </w:r>
    </w:p>
    <w:p>
      <w:pPr>
        <w:spacing w:after="120"/>
        <w:jc w:val="both"/>
      </w:pPr>
      <w:r>
        <w:rPr>
          <w:rFonts w:ascii="Times New Roman" w:hAnsi="Times New Roman" w:eastAsia="Times New Roman"/>
        </w:rPr>
        <w:t>16 eligible of 24 blocks; median normalized treatment contrast -0.0074; median raw-area contrast +3.17.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49. A2 source patient 40: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+22.9</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-0.0426</w:t>
            </w:r>
          </w:p>
        </w:tc>
        <w:tc>
          <w:tcPr>
            <w:tcW w:type="dxa" w:w="2160"/>
          </w:tcPr>
          <w:p>
            <w:r>
              <w:rPr>
                <w:rFonts w:ascii="Times New Roman" w:hAnsi="Times New Roman" w:eastAsia="Times New Roman"/>
              </w:rPr>
              <w:t>-146.0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+0.2843</w:t>
            </w:r>
          </w:p>
        </w:tc>
        <w:tc>
          <w:tcPr>
            <w:tcW w:type="dxa" w:w="2160"/>
          </w:tcPr>
          <w:p>
            <w:r>
              <w:rPr>
                <w:rFonts w:ascii="Times New Roman" w:hAnsi="Times New Roman" w:eastAsia="Times New Roman"/>
              </w:rPr>
              <w:t>-188.0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-0.3458</w:t>
            </w:r>
          </w:p>
        </w:tc>
        <w:tc>
          <w:tcPr>
            <w:tcW w:type="dxa" w:w="2160"/>
          </w:tcPr>
          <w:p>
            <w:r>
              <w:rPr>
                <w:rFonts w:ascii="Times New Roman" w:hAnsi="Times New Roman" w:eastAsia="Times New Roman"/>
              </w:rPr>
              <w:t>-179.2</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-260.8</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+14.7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+0.0137</w:t>
            </w:r>
          </w:p>
        </w:tc>
        <w:tc>
          <w:tcPr>
            <w:tcW w:type="dxa" w:w="2160"/>
          </w:tcPr>
          <w:p>
            <w:r>
              <w:rPr>
                <w:rFonts w:ascii="Times New Roman" w:hAnsi="Times New Roman" w:eastAsia="Times New Roman"/>
              </w:rPr>
              <w:t>+13.7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+0.0022</w:t>
            </w:r>
          </w:p>
        </w:tc>
        <w:tc>
          <w:tcPr>
            <w:tcW w:type="dxa" w:w="2160"/>
          </w:tcPr>
          <w:p>
            <w:r>
              <w:rPr>
                <w:rFonts w:ascii="Times New Roman" w:hAnsi="Times New Roman" w:eastAsia="Times New Roman"/>
              </w:rPr>
              <w:t>+20.5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+74.1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-0.0665</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-0.0024</w:t>
            </w:r>
          </w:p>
        </w:tc>
        <w:tc>
          <w:tcPr>
            <w:tcW w:type="dxa" w:w="2160"/>
          </w:tcPr>
          <w:p>
            <w:r>
              <w:rPr>
                <w:rFonts w:ascii="Times New Roman" w:hAnsi="Times New Roman" w:eastAsia="Times New Roman"/>
              </w:rPr>
              <w:t>+71.5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-0.0125</w:t>
            </w:r>
          </w:p>
        </w:tc>
        <w:tc>
          <w:tcPr>
            <w:tcW w:type="dxa" w:w="2160"/>
          </w:tcPr>
          <w:p>
            <w:r>
              <w:rPr>
                <w:rFonts w:ascii="Times New Roman" w:hAnsi="Times New Roman" w:eastAsia="Times New Roman"/>
              </w:rPr>
              <w:t>+286.5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-0.0851</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+0.0549</w:t>
            </w:r>
          </w:p>
        </w:tc>
        <w:tc>
          <w:tcPr>
            <w:tcW w:type="dxa" w:w="2160"/>
          </w:tcPr>
          <w:p>
            <w:r>
              <w:rPr>
                <w:rFonts w:ascii="Times New Roman" w:hAnsi="Times New Roman" w:eastAsia="Times New Roman"/>
              </w:rPr>
              <w:t>-7.3</w:t>
            </w:r>
          </w:p>
        </w:tc>
      </w:tr>
    </w:tbl>
    <w:p>
      <w:pPr>
        <w:pStyle w:val="Heading3"/>
      </w:pPr>
      <w:r>
        <w:rPr>
          <w:rFonts w:ascii="Times New Roman" w:hAnsi="Times New Roman" w:eastAsia="Times New Roman"/>
        </w:rPr>
        <w:t>A2.6. Source patient 45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50. A2 source patient 45: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A2.7. Source patient 46</w:t>
      </w:r>
    </w:p>
    <w:p>
      <w:pPr>
        <w:spacing w:after="120"/>
        <w:jc w:val="both"/>
      </w:pPr>
      <w:r>
        <w:rPr>
          <w:rFonts w:ascii="Times New Roman" w:hAnsi="Times New Roman" w:eastAsia="Times New Roman"/>
        </w:rPr>
        <w:t>24 eligible of 24 blocks; median normalized treatment contrast +0.0345; median raw-area contrast -2.46.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51. A2 source patient 46: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-0.0261</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+0.0294</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+0.1802</w:t>
            </w:r>
          </w:p>
        </w:tc>
        <w:tc>
          <w:tcPr>
            <w:tcW w:type="dxa" w:w="2160"/>
          </w:tcPr>
          <w:p>
            <w:r>
              <w:rPr>
                <w:rFonts w:ascii="Times New Roman" w:hAnsi="Times New Roman" w:eastAsia="Times New Roman"/>
              </w:rPr>
              <w:t>+39.0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-95.0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+0.0617</w:t>
            </w:r>
          </w:p>
        </w:tc>
        <w:tc>
          <w:tcPr>
            <w:tcW w:type="dxa" w:w="2160"/>
          </w:tcPr>
          <w:p>
            <w:r>
              <w:rPr>
                <w:rFonts w:ascii="Times New Roman" w:hAnsi="Times New Roman" w:eastAsia="Times New Roman"/>
              </w:rPr>
              <w:t>+59.8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-0.1395</w:t>
            </w:r>
          </w:p>
        </w:tc>
        <w:tc>
          <w:tcPr>
            <w:tcW w:type="dxa" w:w="2160"/>
          </w:tcPr>
          <w:p>
            <w:r>
              <w:rPr>
                <w:rFonts w:ascii="Times New Roman" w:hAnsi="Times New Roman" w:eastAsia="Times New Roman"/>
              </w:rPr>
              <w:t>+5.8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+0.1327</w:t>
            </w:r>
          </w:p>
        </w:tc>
        <w:tc>
          <w:tcPr>
            <w:tcW w:type="dxa" w:w="2160"/>
          </w:tcPr>
          <w:p>
            <w:r>
              <w:rPr>
                <w:rFonts w:ascii="Times New Roman" w:hAnsi="Times New Roman" w:eastAsia="Times New Roman"/>
              </w:rPr>
              <w:t>+28.1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+0.0655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-0.0300</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+0.1325</w:t>
            </w:r>
          </w:p>
        </w:tc>
        <w:tc>
          <w:tcPr>
            <w:tcW w:type="dxa" w:w="2160"/>
          </w:tcPr>
          <w:p>
            <w:r>
              <w:rPr>
                <w:rFonts w:ascii="Times New Roman" w:hAnsi="Times New Roman" w:eastAsia="Times New Roman"/>
              </w:rPr>
              <w:t>+76.6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+0.0425</w:t>
            </w:r>
          </w:p>
        </w:tc>
        <w:tc>
          <w:tcPr>
            <w:tcW w:type="dxa" w:w="2160"/>
          </w:tcPr>
          <w:p>
            <w:r>
              <w:rPr>
                <w:rFonts w:ascii="Times New Roman" w:hAnsi="Times New Roman" w:eastAsia="Times New Roman"/>
              </w:rPr>
              <w:t>-12.1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+0.1158</w:t>
            </w:r>
          </w:p>
        </w:tc>
        <w:tc>
          <w:tcPr>
            <w:tcW w:type="dxa" w:w="2160"/>
          </w:tcPr>
          <w:p>
            <w:r>
              <w:rPr>
                <w:rFonts w:ascii="Times New Roman" w:hAnsi="Times New Roman" w:eastAsia="Times New Roman"/>
              </w:rPr>
              <w:t>-20.2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+82.9</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+129.5</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-0.0437</w:t>
            </w:r>
          </w:p>
        </w:tc>
        <w:tc>
          <w:tcPr>
            <w:tcW w:type="dxa" w:w="2160"/>
          </w:tcPr>
          <w:p>
            <w:r>
              <w:rPr>
                <w:rFonts w:ascii="Times New Roman" w:hAnsi="Times New Roman" w:eastAsia="Times New Roman"/>
              </w:rPr>
              <w:t>-38.0</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-132.9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+0.1187</w:t>
            </w:r>
          </w:p>
        </w:tc>
        <w:tc>
          <w:tcPr>
            <w:tcW w:type="dxa" w:w="2160"/>
          </w:tcPr>
          <w:p>
            <w:r>
              <w:rPr>
                <w:rFonts w:ascii="Times New Roman" w:hAnsi="Times New Roman" w:eastAsia="Times New Roman"/>
              </w:rPr>
              <w:t>-141.3</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-0.1928</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-0.1743</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-0.1692</w:t>
            </w:r>
          </w:p>
        </w:tc>
        <w:tc>
          <w:tcPr>
            <w:tcW w:type="dxa" w:w="2160"/>
          </w:tcPr>
          <w:p>
            <w:r>
              <w:rPr>
                <w:rFonts w:ascii="Times New Roman" w:hAnsi="Times New Roman" w:eastAsia="Times New Roman"/>
              </w:rPr>
              <w:t>-365.7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+0.0176</w:t>
            </w:r>
          </w:p>
        </w:tc>
        <w:tc>
          <w:tcPr>
            <w:tcW w:type="dxa" w:w="2160"/>
          </w:tcPr>
          <w:p>
            <w:r>
              <w:rPr>
                <w:rFonts w:ascii="Times New Roman" w:hAnsi="Times New Roman" w:eastAsia="Times New Roman"/>
              </w:rPr>
              <w:t>+43.8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+0.3418</w:t>
            </w:r>
          </w:p>
        </w:tc>
        <w:tc>
          <w:tcPr>
            <w:tcW w:type="dxa" w:w="2160"/>
          </w:tcPr>
          <w:p>
            <w:r>
              <w:rPr>
                <w:rFonts w:ascii="Times New Roman" w:hAnsi="Times New Roman" w:eastAsia="Times New Roman"/>
              </w:rPr>
              <w:t>+282.1</w:t>
            </w:r>
          </w:p>
        </w:tc>
      </w:tr>
    </w:tbl>
    <w:p>
      <w:pPr>
        <w:pStyle w:val="Heading3"/>
      </w:pPr>
      <w:r>
        <w:rPr>
          <w:rFonts w:ascii="Times New Roman" w:hAnsi="Times New Roman" w:eastAsia="Times New Roman"/>
        </w:rPr>
        <w:t>A2.8. Source patient 58</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52. A2 source patient 58: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A2.9. Source patient 68</w:t>
      </w:r>
    </w:p>
    <w:p>
      <w:pPr>
        <w:spacing w:after="120"/>
        <w:jc w:val="both"/>
      </w:pPr>
      <w:r>
        <w:rPr>
          <w:rFonts w:ascii="Times New Roman" w:hAnsi="Times New Roman" w:eastAsia="Times New Roman"/>
        </w:rPr>
        <w:t>24 eligible of 24 blocks; median normalized treatment contrast -0.0086; median raw-area contrast -6.57.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53. A2 source patient 68: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+0.1833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-0.0085</w:t>
            </w:r>
          </w:p>
        </w:tc>
        <w:tc>
          <w:tcPr>
            <w:tcW w:type="dxa" w:w="2160"/>
          </w:tcPr>
          <w:p>
            <w:r>
              <w:rPr>
                <w:rFonts w:ascii="Times New Roman" w:hAnsi="Times New Roman" w:eastAsia="Times New Roman"/>
              </w:rPr>
              <w:t>-19.6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-0.0683</w:t>
            </w:r>
          </w:p>
        </w:tc>
        <w:tc>
          <w:tcPr>
            <w:tcW w:type="dxa" w:w="2160"/>
          </w:tcPr>
          <w:p>
            <w:r>
              <w:rPr>
                <w:rFonts w:ascii="Times New Roman" w:hAnsi="Times New Roman" w:eastAsia="Times New Roman"/>
              </w:rPr>
              <w:t>+104.4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+32.1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-0.1295</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-0.0366</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-0.0529</w:t>
            </w:r>
          </w:p>
        </w:tc>
        <w:tc>
          <w:tcPr>
            <w:tcW w:type="dxa" w:w="2160"/>
          </w:tcPr>
          <w:p>
            <w:r>
              <w:rPr>
                <w:rFonts w:ascii="Times New Roman" w:hAnsi="Times New Roman" w:eastAsia="Times New Roman"/>
              </w:rPr>
              <w:t>-222.3</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-164.7</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+34.0</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-0.0680</w:t>
            </w:r>
          </w:p>
        </w:tc>
        <w:tc>
          <w:tcPr>
            <w:tcW w:type="dxa" w:w="2160"/>
          </w:tcPr>
          <w:p>
            <w:r>
              <w:rPr>
                <w:rFonts w:ascii="Times New Roman" w:hAnsi="Times New Roman" w:eastAsia="Times New Roman"/>
              </w:rPr>
              <w:t>-83.5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+0.2306</w:t>
            </w:r>
          </w:p>
        </w:tc>
        <w:tc>
          <w:tcPr>
            <w:tcW w:type="dxa" w:w="2160"/>
          </w:tcPr>
          <w:p>
            <w:r>
              <w:rPr>
                <w:rFonts w:ascii="Times New Roman" w:hAnsi="Times New Roman" w:eastAsia="Times New Roman"/>
              </w:rPr>
              <w:t>+205.8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+0.0186</w:t>
            </w:r>
          </w:p>
        </w:tc>
        <w:tc>
          <w:tcPr>
            <w:tcW w:type="dxa" w:w="2160"/>
          </w:tcPr>
          <w:p>
            <w:r>
              <w:rPr>
                <w:rFonts w:ascii="Times New Roman" w:hAnsi="Times New Roman" w:eastAsia="Times New Roman"/>
              </w:rPr>
              <w:t>+15.5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-0.0087</w:t>
            </w:r>
          </w:p>
        </w:tc>
        <w:tc>
          <w:tcPr>
            <w:tcW w:type="dxa" w:w="2160"/>
          </w:tcPr>
          <w:p>
            <w:r>
              <w:rPr>
                <w:rFonts w:ascii="Times New Roman" w:hAnsi="Times New Roman" w:eastAsia="Times New Roman"/>
              </w:rPr>
              <w:t>+118.5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+0.0629</w:t>
            </w:r>
          </w:p>
        </w:tc>
        <w:tc>
          <w:tcPr>
            <w:tcW w:type="dxa" w:w="2160"/>
          </w:tcPr>
          <w:p>
            <w:r>
              <w:rPr>
                <w:rFonts w:ascii="Times New Roman" w:hAnsi="Times New Roman" w:eastAsia="Times New Roman"/>
              </w:rPr>
              <w:t>+198.5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+0.0275</w:t>
            </w:r>
          </w:p>
        </w:tc>
        <w:tc>
          <w:tcPr>
            <w:tcW w:type="dxa" w:w="2160"/>
          </w:tcPr>
          <w:p>
            <w:r>
              <w:rPr>
                <w:rFonts w:ascii="Times New Roman" w:hAnsi="Times New Roman" w:eastAsia="Times New Roman"/>
              </w:rPr>
              <w:t>-111.6</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+0.1288</w:t>
            </w:r>
          </w:p>
        </w:tc>
        <w:tc>
          <w:tcPr>
            <w:tcW w:type="dxa" w:w="2160"/>
          </w:tcPr>
          <w:p>
            <w:r>
              <w:rPr>
                <w:rFonts w:ascii="Times New Roman" w:hAnsi="Times New Roman" w:eastAsia="Times New Roman"/>
              </w:rPr>
              <w:t>-50.9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+0.0323</w:t>
            </w:r>
          </w:p>
        </w:tc>
        <w:tc>
          <w:tcPr>
            <w:tcW w:type="dxa" w:w="2160"/>
          </w:tcPr>
          <w:p>
            <w:r>
              <w:rPr>
                <w:rFonts w:ascii="Times New Roman" w:hAnsi="Times New Roman" w:eastAsia="Times New Roman"/>
              </w:rPr>
              <w:t>-112.7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+86.8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-0.1190</w:t>
            </w:r>
          </w:p>
        </w:tc>
        <w:tc>
          <w:tcPr>
            <w:tcW w:type="dxa" w:w="2160"/>
          </w:tcPr>
          <w:p>
            <w:r>
              <w:rPr>
                <w:rFonts w:ascii="Times New Roman" w:hAnsi="Times New Roman" w:eastAsia="Times New Roman"/>
              </w:rPr>
              <w:t>-175.5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-0.0566</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-0.3497</w:t>
            </w:r>
          </w:p>
        </w:tc>
        <w:tc>
          <w:tcPr>
            <w:tcW w:type="dxa" w:w="2160"/>
          </w:tcPr>
          <w:p>
            <w:r>
              <w:rPr>
                <w:rFonts w:ascii="Times New Roman" w:hAnsi="Times New Roman" w:eastAsia="Times New Roman"/>
              </w:rPr>
              <w:t>-407.8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-215.7</w:t>
            </w:r>
          </w:p>
        </w:tc>
      </w:tr>
    </w:tbl>
    <w:p>
      <w:pPr>
        <w:pStyle w:val="Heading3"/>
      </w:pPr>
      <w:r>
        <w:rPr>
          <w:rFonts w:ascii="Times New Roman" w:hAnsi="Times New Roman" w:eastAsia="Times New Roman"/>
        </w:rPr>
        <w:t>A2.10. Source patient 91</w:t>
      </w:r>
    </w:p>
    <w:p>
      <w:pPr>
        <w:spacing w:after="120"/>
        <w:jc w:val="both"/>
      </w:pPr>
      <w:r>
        <w:rPr>
          <w:rFonts w:ascii="Times New Roman" w:hAnsi="Times New Roman" w:eastAsia="Times New Roman"/>
        </w:rPr>
        <w:t>24 eligible of 24 blocks; median normalized treatment contrast +0.0282; median raw-area contrast -18.70.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54. A2 source patient 91: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+0.0229</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-0.0303</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-0.1336</w:t>
            </w:r>
          </w:p>
        </w:tc>
        <w:tc>
          <w:tcPr>
            <w:tcW w:type="dxa" w:w="2160"/>
          </w:tcPr>
          <w:p>
            <w:r>
              <w:rPr>
                <w:rFonts w:ascii="Times New Roman" w:hAnsi="Times New Roman" w:eastAsia="Times New Roman"/>
              </w:rPr>
              <w:t>-142.0</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-0.0511</w:t>
            </w:r>
          </w:p>
        </w:tc>
        <w:tc>
          <w:tcPr>
            <w:tcW w:type="dxa" w:w="2160"/>
          </w:tcPr>
          <w:p>
            <w:r>
              <w:rPr>
                <w:rFonts w:ascii="Times New Roman" w:hAnsi="Times New Roman" w:eastAsia="Times New Roman"/>
              </w:rPr>
              <w:t>-60.4</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-0.0090</w:t>
            </w:r>
          </w:p>
        </w:tc>
        <w:tc>
          <w:tcPr>
            <w:tcW w:type="dxa" w:w="2160"/>
          </w:tcPr>
          <w:p>
            <w:r>
              <w:rPr>
                <w:rFonts w:ascii="Times New Roman" w:hAnsi="Times New Roman" w:eastAsia="Times New Roman"/>
              </w:rPr>
              <w:t>-48.8</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+28.7</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-0.0349</w:t>
            </w:r>
          </w:p>
        </w:tc>
        <w:tc>
          <w:tcPr>
            <w:tcW w:type="dxa" w:w="2160"/>
          </w:tcPr>
          <w:p>
            <w:r>
              <w:rPr>
                <w:rFonts w:ascii="Times New Roman" w:hAnsi="Times New Roman" w:eastAsia="Times New Roman"/>
              </w:rPr>
              <w:t>-25.5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+0.0667</w:t>
            </w:r>
          </w:p>
        </w:tc>
        <w:tc>
          <w:tcPr>
            <w:tcW w:type="dxa" w:w="2160"/>
          </w:tcPr>
          <w:p>
            <w:r>
              <w:rPr>
                <w:rFonts w:ascii="Times New Roman" w:hAnsi="Times New Roman" w:eastAsia="Times New Roman"/>
              </w:rPr>
              <w:t>+4.1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+0.0713</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+0.1409</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-0.0271</w:t>
            </w:r>
          </w:p>
        </w:tc>
        <w:tc>
          <w:tcPr>
            <w:tcW w:type="dxa" w:w="2160"/>
          </w:tcPr>
          <w:p>
            <w:r>
              <w:rPr>
                <w:rFonts w:ascii="Times New Roman" w:hAnsi="Times New Roman" w:eastAsia="Times New Roman"/>
              </w:rPr>
              <w:t>-12.9</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-0.3972</w:t>
            </w:r>
          </w:p>
        </w:tc>
        <w:tc>
          <w:tcPr>
            <w:tcW w:type="dxa" w:w="2160"/>
          </w:tcPr>
          <w:p>
            <w:r>
              <w:rPr>
                <w:rFonts w:ascii="Times New Roman" w:hAnsi="Times New Roman" w:eastAsia="Times New Roman"/>
              </w:rPr>
              <w:t>-113.6</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-0.1867</w:t>
            </w:r>
          </w:p>
        </w:tc>
        <w:tc>
          <w:tcPr>
            <w:tcW w:type="dxa" w:w="2160"/>
          </w:tcPr>
          <w:p>
            <w:r>
              <w:rPr>
                <w:rFonts w:ascii="Times New Roman" w:hAnsi="Times New Roman" w:eastAsia="Times New Roman"/>
              </w:rPr>
              <w:t>-130.8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+0.2601</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+0.0539</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+0.0612</w:t>
            </w:r>
          </w:p>
        </w:tc>
        <w:tc>
          <w:tcPr>
            <w:tcW w:type="dxa" w:w="2160"/>
          </w:tcPr>
          <w:p>
            <w:r>
              <w:rPr>
                <w:rFonts w:ascii="Times New Roman" w:hAnsi="Times New Roman" w:eastAsia="Times New Roman"/>
              </w:rPr>
              <w:t>-89.6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+0.2280</w:t>
            </w:r>
          </w:p>
        </w:tc>
        <w:tc>
          <w:tcPr>
            <w:tcW w:type="dxa" w:w="2160"/>
          </w:tcPr>
          <w:p>
            <w:r>
              <w:rPr>
                <w:rFonts w:ascii="Times New Roman" w:hAnsi="Times New Roman" w:eastAsia="Times New Roman"/>
              </w:rPr>
              <w:t>+88.2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-0.0384</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+0.0473</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+0.0482</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+0.0335</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-0.0604</w:t>
            </w:r>
          </w:p>
        </w:tc>
        <w:tc>
          <w:tcPr>
            <w:tcW w:type="dxa" w:w="2160"/>
          </w:tcPr>
          <w:p>
            <w:r>
              <w:rPr>
                <w:rFonts w:ascii="Times New Roman" w:hAnsi="Times New Roman" w:eastAsia="Times New Roman"/>
              </w:rPr>
              <w:t>-64.9</w:t>
            </w:r>
          </w:p>
        </w:tc>
      </w:tr>
    </w:tbl>
    <w:p>
      <w:pPr>
        <w:pStyle w:val="Heading3"/>
      </w:pPr>
      <w:r>
        <w:rPr>
          <w:rFonts w:ascii="Times New Roman" w:hAnsi="Times New Roman" w:eastAsia="Times New Roman"/>
        </w:rPr>
        <w:t>A2.11. Source patient 94</w:t>
      </w:r>
    </w:p>
    <w:p>
      <w:pPr>
        <w:spacing w:after="120"/>
        <w:jc w:val="both"/>
      </w:pPr>
      <w:r>
        <w:rPr>
          <w:rFonts w:ascii="Times New Roman" w:hAnsi="Times New Roman" w:eastAsia="Times New Roman"/>
        </w:rPr>
        <w:t>24 eligible of 24 blocks; median normalized treatment contrast +0.0181; median raw-area contrast -1.68.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55. A2 source patient 94: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-0.0207</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-15.3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+0.1258</w:t>
            </w:r>
          </w:p>
        </w:tc>
        <w:tc>
          <w:tcPr>
            <w:tcW w:type="dxa" w:w="2160"/>
          </w:tcPr>
          <w:p>
            <w:r>
              <w:rPr>
                <w:rFonts w:ascii="Times New Roman" w:hAnsi="Times New Roman" w:eastAsia="Times New Roman"/>
              </w:rPr>
              <w:t>+37.5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+63.3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-0.0145</w:t>
            </w:r>
          </w:p>
        </w:tc>
        <w:tc>
          <w:tcPr>
            <w:tcW w:type="dxa" w:w="2160"/>
          </w:tcPr>
          <w:p>
            <w:r>
              <w:rPr>
                <w:rFonts w:ascii="Times New Roman" w:hAnsi="Times New Roman" w:eastAsia="Times New Roman"/>
              </w:rPr>
              <w:t>-81.3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+0.0029</w:t>
            </w:r>
          </w:p>
        </w:tc>
        <w:tc>
          <w:tcPr>
            <w:tcW w:type="dxa" w:w="2160"/>
          </w:tcPr>
          <w:p>
            <w:r>
              <w:rPr>
                <w:rFonts w:ascii="Times New Roman" w:hAnsi="Times New Roman" w:eastAsia="Times New Roman"/>
              </w:rPr>
              <w:t>-5.6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+0.0201</w:t>
            </w:r>
          </w:p>
        </w:tc>
        <w:tc>
          <w:tcPr>
            <w:tcW w:type="dxa" w:w="2160"/>
          </w:tcPr>
          <w:p>
            <w:r>
              <w:rPr>
                <w:rFonts w:ascii="Times New Roman" w:hAnsi="Times New Roman" w:eastAsia="Times New Roman"/>
              </w:rPr>
              <w:t>-212.3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-0.2070</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+0.0776</w:t>
            </w:r>
          </w:p>
        </w:tc>
        <w:tc>
          <w:tcPr>
            <w:tcW w:type="dxa" w:w="2160"/>
          </w:tcPr>
          <w:p>
            <w:r>
              <w:rPr>
                <w:rFonts w:ascii="Times New Roman" w:hAnsi="Times New Roman" w:eastAsia="Times New Roman"/>
              </w:rPr>
              <w:t>-5.9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-0.0184</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-0.0364</w:t>
            </w:r>
          </w:p>
        </w:tc>
        <w:tc>
          <w:tcPr>
            <w:tcW w:type="dxa" w:w="2160"/>
          </w:tcPr>
          <w:p>
            <w:r>
              <w:rPr>
                <w:rFonts w:ascii="Times New Roman" w:hAnsi="Times New Roman" w:eastAsia="Times New Roman"/>
              </w:rPr>
              <w:t>+111.8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+0.0162</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+2.4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-0.0523</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-0.0246</w:t>
            </w:r>
          </w:p>
        </w:tc>
        <w:tc>
          <w:tcPr>
            <w:tcW w:type="dxa" w:w="2160"/>
          </w:tcPr>
          <w:p>
            <w:r>
              <w:rPr>
                <w:rFonts w:ascii="Times New Roman" w:hAnsi="Times New Roman" w:eastAsia="Times New Roman"/>
              </w:rPr>
              <w:t>+79.5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+0.0761</w:t>
            </w:r>
          </w:p>
        </w:tc>
        <w:tc>
          <w:tcPr>
            <w:tcW w:type="dxa" w:w="2160"/>
          </w:tcPr>
          <w:p>
            <w:r>
              <w:rPr>
                <w:rFonts w:ascii="Times New Roman" w:hAnsi="Times New Roman" w:eastAsia="Times New Roman"/>
              </w:rPr>
              <w:t>-146.5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+0.0082</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+0.1450</w:t>
            </w:r>
          </w:p>
        </w:tc>
        <w:tc>
          <w:tcPr>
            <w:tcW w:type="dxa" w:w="2160"/>
          </w:tcPr>
          <w:p>
            <w:r>
              <w:rPr>
                <w:rFonts w:ascii="Times New Roman" w:hAnsi="Times New Roman" w:eastAsia="Times New Roman"/>
              </w:rPr>
              <w:t>-247.8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+0.0795</w:t>
            </w:r>
          </w:p>
        </w:tc>
        <w:tc>
          <w:tcPr>
            <w:tcW w:type="dxa" w:w="2160"/>
          </w:tcPr>
          <w:p>
            <w:r>
              <w:rPr>
                <w:rFonts w:ascii="Times New Roman" w:hAnsi="Times New Roman" w:eastAsia="Times New Roman"/>
              </w:rPr>
              <w:t>+27.1</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+0.1825</w:t>
            </w:r>
          </w:p>
        </w:tc>
        <w:tc>
          <w:tcPr>
            <w:tcW w:type="dxa" w:w="2160"/>
          </w:tcPr>
          <w:p>
            <w:r>
              <w:rPr>
                <w:rFonts w:ascii="Times New Roman" w:hAnsi="Times New Roman" w:eastAsia="Times New Roman"/>
              </w:rPr>
              <w:t>+126.8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+0.0732</w:t>
            </w:r>
          </w:p>
        </w:tc>
        <w:tc>
          <w:tcPr>
            <w:tcW w:type="dxa" w:w="2160"/>
          </w:tcPr>
          <w:p>
            <w:r>
              <w:rPr>
                <w:rFonts w:ascii="Times New Roman" w:hAnsi="Times New Roman" w:eastAsia="Times New Roman"/>
              </w:rPr>
              <w:t>-34.9</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-20.6</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+0.0522</w:t>
            </w:r>
          </w:p>
        </w:tc>
        <w:tc>
          <w:tcPr>
            <w:tcW w:type="dxa" w:w="2160"/>
          </w:tcPr>
          <w:p>
            <w:r>
              <w:rPr>
                <w:rFonts w:ascii="Times New Roman" w:hAnsi="Times New Roman" w:eastAsia="Times New Roman"/>
              </w:rPr>
              <w:t>-131.9</w:t>
            </w:r>
          </w:p>
        </w:tc>
      </w:tr>
    </w:tbl>
    <w:p>
      <w:pPr>
        <w:pStyle w:val="Heading3"/>
      </w:pPr>
      <w:r>
        <w:rPr>
          <w:rFonts w:ascii="Times New Roman" w:hAnsi="Times New Roman" w:eastAsia="Times New Roman"/>
        </w:rPr>
        <w:t>A2.12. Source patient 96</w:t>
      </w:r>
    </w:p>
    <w:p>
      <w:pPr>
        <w:spacing w:after="120"/>
        <w:jc w:val="both"/>
      </w:pPr>
      <w:r>
        <w:rPr>
          <w:rFonts w:ascii="Times New Roman" w:hAnsi="Times New Roman" w:eastAsia="Times New Roman"/>
        </w:rPr>
        <w:t>24 eligible of 24 blocks; median normalized treatment contrast +0.0039; median raw-area contrast +14.80.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56. A2 source patient 96: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-0.0213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-0.0038</w:t>
            </w:r>
          </w:p>
        </w:tc>
        <w:tc>
          <w:tcPr>
            <w:tcW w:type="dxa" w:w="2160"/>
          </w:tcPr>
          <w:p>
            <w:r>
              <w:rPr>
                <w:rFonts w:ascii="Times New Roman" w:hAnsi="Times New Roman" w:eastAsia="Times New Roman"/>
              </w:rPr>
              <w:t>+36.6</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+0.0183</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-0.0187</w:t>
            </w:r>
          </w:p>
        </w:tc>
        <w:tc>
          <w:tcPr>
            <w:tcW w:type="dxa" w:w="2160"/>
          </w:tcPr>
          <w:p>
            <w:r>
              <w:rPr>
                <w:rFonts w:ascii="Times New Roman" w:hAnsi="Times New Roman" w:eastAsia="Times New Roman"/>
              </w:rPr>
              <w:t>-26.2</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+0.1301</w:t>
            </w:r>
          </w:p>
        </w:tc>
        <w:tc>
          <w:tcPr>
            <w:tcW w:type="dxa" w:w="2160"/>
          </w:tcPr>
          <w:p>
            <w:r>
              <w:rPr>
                <w:rFonts w:ascii="Times New Roman" w:hAnsi="Times New Roman" w:eastAsia="Times New Roman"/>
              </w:rPr>
              <w:t>+35.0</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+0.0947</w:t>
            </w:r>
          </w:p>
        </w:tc>
        <w:tc>
          <w:tcPr>
            <w:tcW w:type="dxa" w:w="2160"/>
          </w:tcPr>
          <w:p>
            <w:r>
              <w:rPr>
                <w:rFonts w:ascii="Times New Roman" w:hAnsi="Times New Roman" w:eastAsia="Times New Roman"/>
              </w:rPr>
              <w:t>+88.4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-0.0399</w:t>
            </w:r>
          </w:p>
        </w:tc>
        <w:tc>
          <w:tcPr>
            <w:tcW w:type="dxa" w:w="2160"/>
          </w:tcPr>
          <w:p>
            <w:r>
              <w:rPr>
                <w:rFonts w:ascii="Times New Roman" w:hAnsi="Times New Roman" w:eastAsia="Times New Roman"/>
              </w:rPr>
              <w:t>+22.1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+0.0189</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-0.0070</w:t>
            </w:r>
          </w:p>
        </w:tc>
        <w:tc>
          <w:tcPr>
            <w:tcW w:type="dxa" w:w="2160"/>
          </w:tcPr>
          <w:p>
            <w:r>
              <w:rPr>
                <w:rFonts w:ascii="Times New Roman" w:hAnsi="Times New Roman" w:eastAsia="Times New Roman"/>
              </w:rPr>
              <w:t>-30.7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-0.0814</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+129.7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+0.0774</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+0.0117</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+0.1536</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+0.1347</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-47.5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-0.1029</w:t>
            </w:r>
          </w:p>
        </w:tc>
        <w:tc>
          <w:tcPr>
            <w:tcW w:type="dxa" w:w="2160"/>
          </w:tcPr>
          <w:p>
            <w:r>
              <w:rPr>
                <w:rFonts w:ascii="Times New Roman" w:hAnsi="Times New Roman" w:eastAsia="Times New Roman"/>
              </w:rPr>
              <w:t>+18.5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-0.2127</w:t>
            </w:r>
          </w:p>
        </w:tc>
        <w:tc>
          <w:tcPr>
            <w:tcW w:type="dxa" w:w="2160"/>
          </w:tcPr>
          <w:p>
            <w:r>
              <w:rPr>
                <w:rFonts w:ascii="Times New Roman" w:hAnsi="Times New Roman" w:eastAsia="Times New Roman"/>
              </w:rPr>
              <w:t>-150.3</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-0.0377</w:t>
            </w:r>
          </w:p>
        </w:tc>
        <w:tc>
          <w:tcPr>
            <w:tcW w:type="dxa" w:w="2160"/>
          </w:tcPr>
          <w:p>
            <w:r>
              <w:rPr>
                <w:rFonts w:ascii="Times New Roman" w:hAnsi="Times New Roman" w:eastAsia="Times New Roman"/>
              </w:rPr>
              <w:t>-122.1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-0.1185</w:t>
            </w:r>
          </w:p>
        </w:tc>
        <w:tc>
          <w:tcPr>
            <w:tcW w:type="dxa" w:w="2160"/>
          </w:tcPr>
          <w:p>
            <w:r>
              <w:rPr>
                <w:rFonts w:ascii="Times New Roman" w:hAnsi="Times New Roman" w:eastAsia="Times New Roman"/>
              </w:rPr>
              <w:t>+44.4</w:t>
            </w:r>
          </w:p>
        </w:tc>
      </w:tr>
    </w:tbl>
    <w:p>
      <w:pPr>
        <w:spacing w:after="120"/>
        <w:jc w:val="both"/>
      </w:pPr>
      <w:r>
        <w:rPr>
          <w:rFonts w:ascii="Times New Roman" w:hAnsi="Times New Roman" w:eastAsia="Times New Roman"/>
        </w:rPr>
        <w:t>Audit boundary. A plate-dose block is not an independent donor. Within each patient the median across eligible blocks gives one observation for the exact sign test, preventing a large plate or many concentrations from dominating the patient count. Raw-area reversals flag sensitivity to baseline organoid density. For excluded A2 patient blocks, a missing default treatment arm is not replaced with a different VTI concentration. This appendix is a reproducibility trace of two already published in-vitro comparisons, not evidence for clinical benefit, equivalence, or the single-object size candidate.</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