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Is Starting Organoid Size Associated with the CFTR-Modulator Swelling Contrast? A Size-Aware Computational Reanalysis with a Track-Attrition Audit</w:t>
      </w:r>
    </w:p>
    <w:p>
      <w:pPr>
        <w:jc w:val="center"/>
      </w:pPr>
      <w:r>
        <w:rPr>
          <w:rFonts w:ascii="Times New Roman" w:hAnsi="Times New Roman" w:eastAsia="Times New Roman"/>
        </w:rPr>
        <w:t>MEGA-PROGRAM-27, Item 3 - Udita Phookan (program owner). Working draft of 27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ask one primary question: is starting organoid size associated with the CFTR-modulator swelling contrast among tracked intestinal organoids, and what does track attrition leave unidentified? The primary endpoint is the donor-level large-minus-small elexacaftor/tezacaftor/ivacaftor minus DMSO log-swelling contrast, and the primary analysis is the pre-registered donor-block mixed model with an exact donor-level sign-flip test, reported together with its companion pre-registered tests. All other analyses in this paper are exploratory and are labeled as such.</w:t>
      </w:r>
    </w:p>
    <w:p>
      <w:pPr>
        <w:spacing w:after="120"/>
        <w:jc w:val="both"/>
      </w:pPr>
      <w:r>
        <w:rPr>
          <w:rFonts w:ascii="Times New Roman" w:hAnsi="Times New Roman" w:eastAsia="Times New Roman"/>
        </w:rPr>
        <w:t>The primary pre-registered tests, stated first: the sign-only donor test FAILED (9/12 positive, p=0.073), the zero-forskolin specificity test FAILED (3/11, p=0.967), and the matched plate-dose stress test FAILED. Under the separately locked donor-block analysis (31 eligible donor x experiment x dose blocks from 12 donors), the magnitude-aware treatment-by-large coefficient is +0.252815 (positive-direction one-sided p=0.00001151; 4,096-assignment exact donor-level sign flip p=0.002930), and the exploratory donor-matched octile contrast rises from 0.336 [0.262, 0.405] in the smallest starting-size octile toward 0.55-0.64 in larger octiles (top minus bottom 0.251 [0.184, 0.323], donor bootstrap). These are within-accession, magnitude-aware results, not independent replication or a clinical predictor.</w:t>
      </w:r>
    </w:p>
    <w:p>
      <w:pPr>
        <w:spacing w:after="120"/>
        <w:jc w:val="both"/>
      </w:pPr>
      <w:r>
        <w:rPr>
          <w:rFonts w:ascii="Times New Roman" w:hAnsi="Times New Roman" w:eastAsia="Times New Roman"/>
        </w:rPr>
        <w:t>The methodological contribution is an explicit audit of track attrition. In the original eligible blocks and size cells, 6,964 baseline-detected organoids include 2,000 without a positive measured endpoint; observability varies by size, treatment and image context. Donor-clustered observability models and missing-endpoint scenarios show that the direction of the contrast in the full baseline-detected population is not identified under hypothetical observed-cell 5th-to-95th-percentile assignments: the scenario envelope crosses zero. The cross-fit inclusion weights address a narrower selection step among already-positive endpoints, not those 2,000 missing outcomes. This is a reusable audit design, not a correction that makes the biological size effect robust.</w:t>
      </w:r>
    </w:p>
    <w:p>
      <w:pPr>
        <w:spacing w:after="120"/>
        <w:jc w:val="both"/>
      </w:pPr>
      <w:r>
        <w:rPr>
          <w:rFonts w:ascii="Times New Roman" w:hAnsi="Times New Roman" w:eastAsia="Times New Roman"/>
        </w:rPr>
        <w:t>A separate segmentation arm is reported as a secondary exploratory analysis: a train-only U-Net reached author-scored AP50 0.761108 against a rounded published 0.76, but repeated acquisition fields cross the train/evaluation and train/validation filenames, so no independent benchmark-beat claim is made and an acquisition-candidate-group-disjoint exploratory reassignment was subsequently run on the same 231-file source set, including 12 previously scored eval files. This paper is an in vitro computational reanalysis only, not a diagnostic or treatment predictor. The repository preserves all gate outcomes, code and negative controls.</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observed single-organoid response differs by starting size, and how attrition before endpoint measurement limits that inference. We do not show that size correction improves drug-response calls.</w:t>
      </w:r>
    </w:p>
    <w:p>
      <w:pPr>
        <w:pStyle w:val="Heading2"/>
      </w:pPr>
      <w:r>
        <w:rPr>
          <w:rFonts w:ascii="Times New Roman" w:hAnsi="Times New Roman" w:eastAsia="Times New Roman"/>
        </w:rPr>
        <w:t>1.1 Primary question, primary endpoint and primary analysis</w:t>
      </w:r>
    </w:p>
    <w:p>
      <w:pPr>
        <w:spacing w:after="120"/>
        <w:jc w:val="both"/>
      </w:pPr>
      <w:r>
        <w:rPr>
          <w:rFonts w:ascii="Times New Roman" w:hAnsi="Times New Roman" w:eastAsia="Times New Roman"/>
        </w:rPr>
        <w:t>Primary question: is starting organoid size associated with the CFTR-modulator swelling contrast among tracked intestinal organoids, and what does track attrition leave unidentified? Primary endpoint: the donor-level large-minus-small Trikafta-minus-DMSO log-swelling contrast. Primary analysis: the pre-registered donor-block mixed model plus the 4,096-assignment exact donor-level sign-flip test, interpreted alongside the companion pre-registered sign-only, zero-forskolin specificity and matched plate-dose stress tests. This framing is a post-verdict amendment of 27 September 2026 (owner-provided verdict archived with message-ID provenance in results/judge_rounds/; amendment queue locked before execution in notes/judge_verdict_01_amendment_queue.md). It changes presentation order and emphasis only: every pre-registered gate, outcome and negative control is unchanged, and the failed primary tests are reported in Section 4 before any magnitude-aware result.</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Secondary exploratory analyses I: well-level FIS drug-ranking replications</w:t>
      </w:r>
    </w:p>
    <w:p>
      <w:pPr>
        <w:spacing w:after="120"/>
        <w:jc w:val="both"/>
      </w:pPr>
      <w:r>
        <w:rPr>
          <w:rFonts w:ascii="Times New Roman" w:hAnsi="Times New Roman" w:eastAsia="Times New Roman"/>
        </w:rPr>
        <w:t>Sections 4.3d (well-level ranking) and 4.3e below are off-question secondary analyses, retained for completeness and labeled exploratory.</w:t>
      </w:r>
    </w:p>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 Track attrition and selection-bias methodology (exploratory)</w:t>
      </w:r>
    </w:p>
    <w:p>
      <w:pPr>
        <w:spacing w:after="120"/>
        <w:jc w:val="both"/>
      </w:pPr>
      <w:r>
        <w:rPr>
          <w:rFonts w:ascii="Times New Roman" w:hAnsi="Times New Roman" w:eastAsia="Times New Roman"/>
        </w:rPr>
        <w:t>Sections 4.3h through 4.3p are the methodological spine of this paper: an explicit audit of how track attrition and selection can create or hide a size contrast. They are exploratory methods work, not independent replication of the size finding.</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4.3p Baseline neighbor spacing and endpoint observability</w:t>
      </w:r>
    </w:p>
    <w:p>
      <w:pPr>
        <w:spacing w:after="120"/>
        <w:jc w:val="both"/>
      </w:pPr>
      <w:r>
        <w:rPr>
          <w:rFonts w:ascii="Times New Roman" w:hAnsi="Times New Roman" w:eastAsia="Times New Roman"/>
        </w:rPr>
        <w:t>A post-result, protocol-locked source-table audit measured the distance from each baseline-detected organoid to its nearest OTHER baseline-detected object in the same image, including middle-size objects in the neighbor pool (notes/postresult_neighbor_observability_protocol.md). The analysis frame is the original 31 positive-dose blocks and extreme-size cells: 6,964 baseline objects in 143 source image paths, with 4,964 positive finite endpoints. Nearest-distance quartiles are 70.9, 104.2, and 152.1 pixels. A descriptive donor-fixed-effects binomial model adjusted for arm, size, their interaction, baseline log area and detector score finds an odds ratio 1.724 for a unit increase in log(1 + nearest distance) in small objects (12-donor cluster interval on the coefficient +0.414 to +0.676); the size-by-distance ratio of odds ratios is 1.063, with an interval crossing 1. These are conditional object-level associations, not independent biological replicates.</w:t>
      </w:r>
    </w:p>
    <w:p>
      <w:pPr>
        <w:spacing w:after="120"/>
        <w:jc w:val="both"/>
      </w:pPr>
      <w:r>
        <w:rPr>
          <w:rFonts w:ascii="Times New Roman" w:hAnsi="Times New Roman" w:eastAsia="Times New Roman"/>
        </w:rPr>
        <w:t>Within 143 image paths, the closer half's mean positive-endpoint rate minus the farther half's rate is -0.101; 100 seeded within-field permutations of proximity labels give a descriptive 95% technical-null range [-0.018, +0.021]. Thus source baseline spacing marks an observability gradient, not a proven causal crowding or tracking mechanism. The source has paired t=0/t=1 keys even when A1 is blank; 2,000 endpoint responses remain unobserved, baseline-undetected organoids are outside the frame, and field paths may represent repeated acquisitions. Neither the failed original donor sign and zero-forskolin specificity gates nor the zero-crossing missing-response envelope changes. Full counts, source hash and code are in results/postresult_neighbor_observability.json and scripts/audit_postresult_neighbor_observability.py.</w:t>
      </w:r>
    </w:p>
    <w:p>
      <w:pPr>
        <w:spacing w:after="120"/>
        <w:jc w:val="both"/>
      </w:pPr>
      <w:r>
        <w:rPr>
          <w:rFonts w:ascii="Times New Roman" w:hAnsi="Times New Roman" w:eastAsia="Times New Roman"/>
        </w:rPr>
        <w:t>A retrospective composition check held image path, treatment arm and original size bin fixed before dividing each eligible stratum at its own nearest-neighbor median (notes/postresult_neighbor_stratified_sensitivity.md). 279 strata cover 6,952 of 6,964 frame objects; 5 sparse strata with 12 objects are reported, not silently dropped. The closer-minus-farther endpoint-observability difference is -0.082 with strata weighted equally, -0.068 when weighted by stratum object count and -0.077 when donor means are weighted equally (12/12 donor means negative). The largest cell-level gradient is the treated-small cell at -0.172; all four cells' counts are recorded. One hundred seeded within-stratum proximity-label permutations yield a technical-null 95% range [-0.023, +0.024] for the equal-stratum mean. The gradient therefore is not solely the pooled arm/size composition in this source frame. It is still a retrospective association, not a treatment-effect correction, tracking-causation test, or an answer for the 2,000 absent positive endpoints.</w:t>
      </w:r>
    </w:p>
    <w:p>
      <w:pPr>
        <w:pStyle w:val="Heading2"/>
      </w:pPr>
      <w:r>
        <w:rPr>
          <w:rFonts w:ascii="Times New Roman" w:hAnsi="Times New Roman" w:eastAsia="Times New Roman"/>
        </w:rPr>
        <w:t>4.3q What the observed tracks identify, and what they do not</w:t>
      </w:r>
    </w:p>
    <w:p>
      <w:pPr>
        <w:spacing w:after="120"/>
        <w:jc w:val="both"/>
      </w:pPr>
      <w:r>
        <w:rPr>
          <w:rFonts w:ascii="Times New Roman" w:hAnsi="Times New Roman" w:eastAsia="Times New Roman"/>
        </w:rPr>
        <w:t>The selection audit has three distinct denominators. The released paired-particle table contains baseline-detected organoids, including those with a blank or nonpositive endpoint; the derived response table contains a narrower subset with usable A0 and A1; the actual well may also contain organoids never detected at baseline, which neither table enumerates. These populations cannot be treated as interchangeable. The following accounting table uses only the original 31 donor-by-experiment-by-dose blocks and four pre-existing treatment/size cells, not a newly selected donor population. Its observed-endpoint fractions condition on baseline detection; they are not treatment-response rates.</w:t>
      </w:r>
    </w:p>
    <w:p>
      <w:r>
        <w:rPr>
          <w:rFonts w:ascii="Times New Roman" w:hAnsi="Times New Roman" w:eastAsia="Times New Roman"/>
          <w:b/>
        </w:rPr>
        <w:t>Table 11. Source-frame denominator audit for the four original cells. Percentiles describe selected positive-endpoint tracks and are assumptions, not known support bounds, for absent responses. Source: results/missing_endpoint_bounds.json and tabular_track_retention.json.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arm</w:t>
            </w:r>
          </w:p>
        </w:tc>
        <w:tc>
          <w:tcPr>
            <w:tcW w:type="dxa" w:w="1234"/>
          </w:tcPr>
          <w:p>
            <w:r>
              <w:rPr>
                <w:rFonts w:ascii="Times New Roman" w:hAnsi="Times New Roman" w:eastAsia="Times New Roman"/>
              </w:rPr>
              <w:t>baseline size</w:t>
            </w:r>
          </w:p>
        </w:tc>
        <w:tc>
          <w:tcPr>
            <w:tcW w:type="dxa" w:w="1234"/>
          </w:tcPr>
          <w:p>
            <w:r>
              <w:rPr>
                <w:rFonts w:ascii="Times New Roman" w:hAnsi="Times New Roman" w:eastAsia="Times New Roman"/>
              </w:rPr>
              <w:t>baseline detected</w:t>
            </w:r>
          </w:p>
        </w:tc>
        <w:tc>
          <w:tcPr>
            <w:tcW w:type="dxa" w:w="1234"/>
          </w:tcPr>
          <w:p>
            <w:r>
              <w:rPr>
                <w:rFonts w:ascii="Times New Roman" w:hAnsi="Times New Roman" w:eastAsia="Times New Roman"/>
              </w:rPr>
              <w:t>positive A1</w:t>
            </w:r>
          </w:p>
        </w:tc>
        <w:tc>
          <w:tcPr>
            <w:tcW w:type="dxa" w:w="1234"/>
          </w:tcPr>
          <w:p>
            <w:r>
              <w:rPr>
                <w:rFonts w:ascii="Times New Roman" w:hAnsi="Times New Roman" w:eastAsia="Times New Roman"/>
              </w:rPr>
              <w:t>missing A1</w:t>
            </w:r>
          </w:p>
        </w:tc>
        <w:tc>
          <w:tcPr>
            <w:tcW w:type="dxa" w:w="1234"/>
          </w:tcPr>
          <w:p>
            <w:r>
              <w:rPr>
                <w:rFonts w:ascii="Times New Roman" w:hAnsi="Times New Roman" w:eastAsia="Times New Roman"/>
              </w:rPr>
              <w:t>visible fraction</w:t>
            </w:r>
          </w:p>
        </w:tc>
        <w:tc>
          <w:tcPr>
            <w:tcW w:type="dxa" w:w="1234"/>
          </w:tcPr>
          <w:p>
            <w:r>
              <w:rPr>
                <w:rFonts w:ascii="Times New Roman" w:hAnsi="Times New Roman" w:eastAsia="Times New Roman"/>
              </w:rPr>
              <w:t>observed log-response 5-95%</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1248</w:t>
            </w:r>
          </w:p>
        </w:tc>
        <w:tc>
          <w:tcPr>
            <w:tcW w:type="dxa" w:w="1234"/>
          </w:tcPr>
          <w:p>
            <w:r>
              <w:rPr>
                <w:rFonts w:ascii="Times New Roman" w:hAnsi="Times New Roman" w:eastAsia="Times New Roman"/>
              </w:rPr>
              <w:t>563</w:t>
            </w:r>
          </w:p>
        </w:tc>
        <w:tc>
          <w:tcPr>
            <w:tcW w:type="dxa" w:w="1234"/>
          </w:tcPr>
          <w:p>
            <w:r>
              <w:rPr>
                <w:rFonts w:ascii="Times New Roman" w:hAnsi="Times New Roman" w:eastAsia="Times New Roman"/>
              </w:rPr>
              <w:t>685</w:t>
            </w:r>
          </w:p>
        </w:tc>
        <w:tc>
          <w:tcPr>
            <w:tcW w:type="dxa" w:w="1234"/>
          </w:tcPr>
          <w:p>
            <w:r>
              <w:rPr>
                <w:rFonts w:ascii="Times New Roman" w:hAnsi="Times New Roman" w:eastAsia="Times New Roman"/>
              </w:rPr>
              <w:t>0.451</w:t>
            </w:r>
          </w:p>
        </w:tc>
        <w:tc>
          <w:tcPr>
            <w:tcW w:type="dxa" w:w="1234"/>
          </w:tcPr>
          <w:p>
            <w:r>
              <w:rPr>
                <w:rFonts w:ascii="Times New Roman" w:hAnsi="Times New Roman" w:eastAsia="Times New Roman"/>
              </w:rPr>
              <w:t>[-0.351, +1.157]</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2058</w:t>
            </w:r>
          </w:p>
        </w:tc>
        <w:tc>
          <w:tcPr>
            <w:tcW w:type="dxa" w:w="1234"/>
          </w:tcPr>
          <w:p>
            <w:r>
              <w:rPr>
                <w:rFonts w:ascii="Times New Roman" w:hAnsi="Times New Roman" w:eastAsia="Times New Roman"/>
              </w:rPr>
              <w:t>1825</w:t>
            </w:r>
          </w:p>
        </w:tc>
        <w:tc>
          <w:tcPr>
            <w:tcW w:type="dxa" w:w="1234"/>
          </w:tcPr>
          <w:p>
            <w:r>
              <w:rPr>
                <w:rFonts w:ascii="Times New Roman" w:hAnsi="Times New Roman" w:eastAsia="Times New Roman"/>
              </w:rPr>
              <w:t>233</w:t>
            </w:r>
          </w:p>
        </w:tc>
        <w:tc>
          <w:tcPr>
            <w:tcW w:type="dxa" w:w="1234"/>
          </w:tcPr>
          <w:p>
            <w:r>
              <w:rPr>
                <w:rFonts w:ascii="Times New Roman" w:hAnsi="Times New Roman" w:eastAsia="Times New Roman"/>
              </w:rPr>
              <w:t>0.887</w:t>
            </w:r>
          </w:p>
        </w:tc>
        <w:tc>
          <w:tcPr>
            <w:tcW w:type="dxa" w:w="1234"/>
          </w:tcPr>
          <w:p>
            <w:r>
              <w:rPr>
                <w:rFonts w:ascii="Times New Roman" w:hAnsi="Times New Roman" w:eastAsia="Times New Roman"/>
              </w:rPr>
              <w:t>[-0.415, +0.992]</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1250</w:t>
            </w:r>
          </w:p>
        </w:tc>
        <w:tc>
          <w:tcPr>
            <w:tcW w:type="dxa" w:w="1234"/>
          </w:tcPr>
          <w:p>
            <w:r>
              <w:rPr>
                <w:rFonts w:ascii="Times New Roman" w:hAnsi="Times New Roman" w:eastAsia="Times New Roman"/>
              </w:rPr>
              <w:t>571</w:t>
            </w:r>
          </w:p>
        </w:tc>
        <w:tc>
          <w:tcPr>
            <w:tcW w:type="dxa" w:w="1234"/>
          </w:tcPr>
          <w:p>
            <w:r>
              <w:rPr>
                <w:rFonts w:ascii="Times New Roman" w:hAnsi="Times New Roman" w:eastAsia="Times New Roman"/>
              </w:rPr>
              <w:t>679</w:t>
            </w:r>
          </w:p>
        </w:tc>
        <w:tc>
          <w:tcPr>
            <w:tcW w:type="dxa" w:w="1234"/>
          </w:tcPr>
          <w:p>
            <w:r>
              <w:rPr>
                <w:rFonts w:ascii="Times New Roman" w:hAnsi="Times New Roman" w:eastAsia="Times New Roman"/>
              </w:rPr>
              <w:t>0.457</w:t>
            </w:r>
          </w:p>
        </w:tc>
        <w:tc>
          <w:tcPr>
            <w:tcW w:type="dxa" w:w="1234"/>
          </w:tcPr>
          <w:p>
            <w:r>
              <w:rPr>
                <w:rFonts w:ascii="Times New Roman" w:hAnsi="Times New Roman" w:eastAsia="Times New Roman"/>
              </w:rPr>
              <w:t>[-0.258, +1.415]</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2408</w:t>
            </w:r>
          </w:p>
        </w:tc>
        <w:tc>
          <w:tcPr>
            <w:tcW w:type="dxa" w:w="1234"/>
          </w:tcPr>
          <w:p>
            <w:r>
              <w:rPr>
                <w:rFonts w:ascii="Times New Roman" w:hAnsi="Times New Roman" w:eastAsia="Times New Roman"/>
              </w:rPr>
              <w:t>2005</w:t>
            </w:r>
          </w:p>
        </w:tc>
        <w:tc>
          <w:tcPr>
            <w:tcW w:type="dxa" w:w="1234"/>
          </w:tcPr>
          <w:p>
            <w:r>
              <w:rPr>
                <w:rFonts w:ascii="Times New Roman" w:hAnsi="Times New Roman" w:eastAsia="Times New Roman"/>
              </w:rPr>
              <w:t>403</w:t>
            </w:r>
          </w:p>
        </w:tc>
        <w:tc>
          <w:tcPr>
            <w:tcW w:type="dxa" w:w="1234"/>
          </w:tcPr>
          <w:p>
            <w:r>
              <w:rPr>
                <w:rFonts w:ascii="Times New Roman" w:hAnsi="Times New Roman" w:eastAsia="Times New Roman"/>
              </w:rPr>
              <w:t>0.833</w:t>
            </w:r>
          </w:p>
        </w:tc>
        <w:tc>
          <w:tcPr>
            <w:tcW w:type="dxa" w:w="1234"/>
          </w:tcPr>
          <w:p>
            <w:r>
              <w:rPr>
                <w:rFonts w:ascii="Times New Roman" w:hAnsi="Times New Roman" w:eastAsia="Times New Roman"/>
              </w:rPr>
              <w:t>[-0.005, +1.557]</w:t>
            </w:r>
          </w:p>
        </w:tc>
      </w:tr>
    </w:tbl>
    <w:p>
      <w:pPr>
        <w:spacing w:after="120"/>
        <w:jc w:val="both"/>
      </w:pPr>
      <w:r>
        <w:rPr>
          <w:rFonts w:ascii="Times New Roman" w:hAnsi="Times New Roman" w:eastAsia="Times New Roman"/>
        </w:rPr>
        <w:t>The difference between small and large organoids is not a minor rounding issue. Conditional positive-endpoint visibility is about 45% in small DMSO and 46% in small treated objects, versus 89% and 83% in the respective large cells. The treatment gap in visibility reverses across these size strata; the donor-equal gap contrast is -0.093. A donor-adjusted observability model that also includes log baseline area and detector score estimates a treatment-by-large odds ratio 0.639. The baseline high-detector-score control has the analogous odds ratio 0.976. These are features of a selected imaging pipeline, not evidence that missing small objects would swell more or less. Donor fixed effects and twelve clusters do not remove plate, imaging, field, or track-assignment confounding.</w:t>
      </w:r>
    </w:p>
    <w:p>
      <w:pPr>
        <w:spacing w:after="120"/>
        <w:jc w:val="both"/>
      </w:pPr>
      <w:r>
        <w:rPr>
          <w:rFonts w:ascii="Times New Roman" w:hAnsi="Times New Roman" w:eastAsia="Times New Roman"/>
        </w:rPr>
        <w:t>The original biological estimand is the donor-level drug-minus-DMSO contrast in large versus small log swelling. It differs from the estimand of the observability model, which is whether a baseline-detected object receives a positive A1. Conditioning the swelling analysis on a positive A1 may induce selection dependence between initial size and an unmeasured cause of endpoint detection. An inverse-inclusion model fitted among rows with both positive areas can address only selection into the derived table among those already observed; it cannot recover the 2,000 absent positive endpoints. This is why the small shift in cross-fit inclusion-weighted means is not a missing-data correction, and why a baseline score control does not identify unmeasured endpoint values.</w:t>
      </w:r>
    </w:p>
    <w:p>
      <w:pPr>
        <w:spacing w:after="120"/>
        <w:jc w:val="both"/>
      </w:pPr>
      <w:r>
        <w:rPr>
          <w:rFonts w:ascii="Times New Roman" w:hAnsi="Times New Roman" w:eastAsia="Times New Roman"/>
        </w:rPr>
        <w:t>A separate spacing audit gives a measured example of this selection structure. Within image-path, treatment and size strata, closer baseline neighbors have an equal-stratum positive-endpoint rate 0.082 below farther neighbors; 279 eligible strata retain 6,952 of 6,964 source-frame objects and all twelve donor-equal differences have the same negative direction. Distance is a baseline geometry proxy, not a randomized crowding intervention: object density, image quality, local tracking competition and acquisition repetition can all generate it. A field-stratified association is informative about where data are lost, but does not estimate the missing swelling response or the biological size mechanism.</w:t>
      </w:r>
    </w:p>
    <w:p>
      <w:pPr>
        <w:pStyle w:val="Heading2"/>
      </w:pPr>
      <w:r>
        <w:rPr>
          <w:rFonts w:ascii="Times New Roman" w:hAnsi="Times New Roman" w:eastAsia="Times New Roman"/>
        </w:rPr>
        <w:t>4.3r Conditional missing-response bounds across donors</w:t>
      </w:r>
    </w:p>
    <w:p>
      <w:pPr>
        <w:spacing w:after="120"/>
        <w:jc w:val="both"/>
      </w:pPr>
      <w:r>
        <w:rPr>
          <w:rFonts w:ascii="Times New Roman" w:hAnsi="Times New Roman" w:eastAsia="Times New Roman"/>
        </w:rPr>
        <w:t>To expose how much the missing responses matter at the donor level rather than only in a pooled interval, the following table lists the fixed-donor contrast under three previously committed analyses. The first uses only source pairs with positive A0 and A1; the latter two impute each missing endpoint at an adverse or favorable observed cell-specific percentile. These endpoints are conditional scenario bounds, not formal identification bounds: the 5th and 95th percentiles of observed tracks need not contain the missing outcomes. The same donor, experiment, dose and size eligibility from the original blocked test is kept throughout.</w:t>
      </w:r>
    </w:p>
    <w:p>
      <w:r>
        <w:rPr>
          <w:rFonts w:ascii="Times New Roman" w:hAnsi="Times New Roman" w:eastAsia="Times New Roman"/>
          <w:b/>
        </w:rPr>
        <w:t>Table 12. Fixed donor-level median block contrasts in log swelling. Scenario columns do not constitute confidence intervals or imputed outcomes; source: results/tabular_track_retention.json and results/missing_endpoint_bounds.json.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donor</w:t>
            </w:r>
          </w:p>
        </w:tc>
        <w:tc>
          <w:tcPr>
            <w:tcW w:type="dxa" w:w="2160"/>
          </w:tcPr>
          <w:p>
            <w:r>
              <w:rPr>
                <w:rFonts w:ascii="Times New Roman" w:hAnsi="Times New Roman" w:eastAsia="Times New Roman"/>
              </w:rPr>
              <w:t>observed positive-pair contrast</w:t>
            </w:r>
          </w:p>
        </w:tc>
        <w:tc>
          <w:tcPr>
            <w:tcW w:type="dxa" w:w="2160"/>
          </w:tcPr>
          <w:p>
            <w:r>
              <w:rPr>
                <w:rFonts w:ascii="Times New Roman" w:hAnsi="Times New Roman" w:eastAsia="Times New Roman"/>
              </w:rPr>
              <w:t>adverse percentile scenario</w:t>
            </w:r>
          </w:p>
        </w:tc>
        <w:tc>
          <w:tcPr>
            <w:tcW w:type="dxa" w:w="2160"/>
          </w:tcPr>
          <w:p>
            <w:r>
              <w:rPr>
                <w:rFonts w:ascii="Times New Roman" w:hAnsi="Times New Roman" w:eastAsia="Times New Roman"/>
              </w:rPr>
              <w:t>favorable percentile scenario</w:t>
            </w:r>
          </w:p>
        </w:tc>
      </w:tr>
      <w:tr>
        <w:tc>
          <w:tcPr>
            <w:tcW w:type="dxa" w:w="2160"/>
          </w:tcPr>
          <w:p>
            <w:r>
              <w:rPr>
                <w:rFonts w:ascii="Times New Roman" w:hAnsi="Times New Roman" w:eastAsia="Times New Roman"/>
              </w:rPr>
              <w:t>PDIO_01</w:t>
            </w:r>
          </w:p>
        </w:tc>
        <w:tc>
          <w:tcPr>
            <w:tcW w:type="dxa" w:w="2160"/>
          </w:tcPr>
          <w:p>
            <w:r>
              <w:rPr>
                <w:rFonts w:ascii="Times New Roman" w:hAnsi="Times New Roman" w:eastAsia="Times New Roman"/>
              </w:rPr>
              <w:t>+0.039</w:t>
            </w:r>
          </w:p>
        </w:tc>
        <w:tc>
          <w:tcPr>
            <w:tcW w:type="dxa" w:w="2160"/>
          </w:tcPr>
          <w:p>
            <w:r>
              <w:rPr>
                <w:rFonts w:ascii="Times New Roman" w:hAnsi="Times New Roman" w:eastAsia="Times New Roman"/>
              </w:rPr>
              <w:t>-0.669</w:t>
            </w:r>
          </w:p>
        </w:tc>
        <w:tc>
          <w:tcPr>
            <w:tcW w:type="dxa" w:w="2160"/>
          </w:tcPr>
          <w:p>
            <w:r>
              <w:rPr>
                <w:rFonts w:ascii="Times New Roman" w:hAnsi="Times New Roman" w:eastAsia="Times New Roman"/>
              </w:rPr>
              <w:t>+1.304</w:t>
            </w:r>
          </w:p>
        </w:tc>
      </w:tr>
      <w:tr>
        <w:tc>
          <w:tcPr>
            <w:tcW w:type="dxa" w:w="2160"/>
          </w:tcPr>
          <w:p>
            <w:r>
              <w:rPr>
                <w:rFonts w:ascii="Times New Roman" w:hAnsi="Times New Roman" w:eastAsia="Times New Roman"/>
              </w:rPr>
              <w:t>PDIO_03</w:t>
            </w:r>
          </w:p>
        </w:tc>
        <w:tc>
          <w:tcPr>
            <w:tcW w:type="dxa" w:w="2160"/>
          </w:tcPr>
          <w:p>
            <w:r>
              <w:rPr>
                <w:rFonts w:ascii="Times New Roman" w:hAnsi="Times New Roman" w:eastAsia="Times New Roman"/>
              </w:rPr>
              <w:t>+0.351</w:t>
            </w:r>
          </w:p>
        </w:tc>
        <w:tc>
          <w:tcPr>
            <w:tcW w:type="dxa" w:w="2160"/>
          </w:tcPr>
          <w:p>
            <w:r>
              <w:rPr>
                <w:rFonts w:ascii="Times New Roman" w:hAnsi="Times New Roman" w:eastAsia="Times New Roman"/>
              </w:rPr>
              <w:t>-0.379</w:t>
            </w:r>
          </w:p>
        </w:tc>
        <w:tc>
          <w:tcPr>
            <w:tcW w:type="dxa" w:w="2160"/>
          </w:tcPr>
          <w:p>
            <w:r>
              <w:rPr>
                <w:rFonts w:ascii="Times New Roman" w:hAnsi="Times New Roman" w:eastAsia="Times New Roman"/>
              </w:rPr>
              <w:t>+1.150</w:t>
            </w:r>
          </w:p>
        </w:tc>
      </w:tr>
      <w:tr>
        <w:tc>
          <w:tcPr>
            <w:tcW w:type="dxa" w:w="2160"/>
          </w:tcPr>
          <w:p>
            <w:r>
              <w:rPr>
                <w:rFonts w:ascii="Times New Roman" w:hAnsi="Times New Roman" w:eastAsia="Times New Roman"/>
              </w:rPr>
              <w:t>PDIO_05</w:t>
            </w:r>
          </w:p>
        </w:tc>
        <w:tc>
          <w:tcPr>
            <w:tcW w:type="dxa" w:w="2160"/>
          </w:tcPr>
          <w:p>
            <w:r>
              <w:rPr>
                <w:rFonts w:ascii="Times New Roman" w:hAnsi="Times New Roman" w:eastAsia="Times New Roman"/>
              </w:rPr>
              <w:t>+0.540</w:t>
            </w:r>
          </w:p>
        </w:tc>
        <w:tc>
          <w:tcPr>
            <w:tcW w:type="dxa" w:w="2160"/>
          </w:tcPr>
          <w:p>
            <w:r>
              <w:rPr>
                <w:rFonts w:ascii="Times New Roman" w:hAnsi="Times New Roman" w:eastAsia="Times New Roman"/>
              </w:rPr>
              <w:t>-0.468</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PDIO_06</w:t>
            </w:r>
          </w:p>
        </w:tc>
        <w:tc>
          <w:tcPr>
            <w:tcW w:type="dxa" w:w="2160"/>
          </w:tcPr>
          <w:p>
            <w:r>
              <w:rPr>
                <w:rFonts w:ascii="Times New Roman" w:hAnsi="Times New Roman" w:eastAsia="Times New Roman"/>
              </w:rPr>
              <w:t>+0.371</w:t>
            </w:r>
          </w:p>
        </w:tc>
        <w:tc>
          <w:tcPr>
            <w:tcW w:type="dxa" w:w="2160"/>
          </w:tcPr>
          <w:p>
            <w:r>
              <w:rPr>
                <w:rFonts w:ascii="Times New Roman" w:hAnsi="Times New Roman" w:eastAsia="Times New Roman"/>
              </w:rPr>
              <w:t>-0.619</w:t>
            </w:r>
          </w:p>
        </w:tc>
        <w:tc>
          <w:tcPr>
            <w:tcW w:type="dxa" w:w="2160"/>
          </w:tcPr>
          <w:p>
            <w:r>
              <w:rPr>
                <w:rFonts w:ascii="Times New Roman" w:hAnsi="Times New Roman" w:eastAsia="Times New Roman"/>
              </w:rPr>
              <w:t>+1.540</w:t>
            </w:r>
          </w:p>
        </w:tc>
      </w:tr>
      <w:tr>
        <w:tc>
          <w:tcPr>
            <w:tcW w:type="dxa" w:w="2160"/>
          </w:tcPr>
          <w:p>
            <w:r>
              <w:rPr>
                <w:rFonts w:ascii="Times New Roman" w:hAnsi="Times New Roman" w:eastAsia="Times New Roman"/>
              </w:rPr>
              <w:t>PDIO_09</w:t>
            </w:r>
          </w:p>
        </w:tc>
        <w:tc>
          <w:tcPr>
            <w:tcW w:type="dxa" w:w="2160"/>
          </w:tcPr>
          <w:p>
            <w:r>
              <w:rPr>
                <w:rFonts w:ascii="Times New Roman" w:hAnsi="Times New Roman" w:eastAsia="Times New Roman"/>
              </w:rPr>
              <w:t>+0.201</w:t>
            </w:r>
          </w:p>
        </w:tc>
        <w:tc>
          <w:tcPr>
            <w:tcW w:type="dxa" w:w="2160"/>
          </w:tcPr>
          <w:p>
            <w:r>
              <w:rPr>
                <w:rFonts w:ascii="Times New Roman" w:hAnsi="Times New Roman" w:eastAsia="Times New Roman"/>
              </w:rPr>
              <w:t>-0.449</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PDIO_11</w:t>
            </w:r>
          </w:p>
        </w:tc>
        <w:tc>
          <w:tcPr>
            <w:tcW w:type="dxa" w:w="2160"/>
          </w:tcPr>
          <w:p>
            <w:r>
              <w:rPr>
                <w:rFonts w:ascii="Times New Roman" w:hAnsi="Times New Roman" w:eastAsia="Times New Roman"/>
              </w:rPr>
              <w:t>+0.366</w:t>
            </w:r>
          </w:p>
        </w:tc>
        <w:tc>
          <w:tcPr>
            <w:tcW w:type="dxa" w:w="2160"/>
          </w:tcPr>
          <w:p>
            <w:r>
              <w:rPr>
                <w:rFonts w:ascii="Times New Roman" w:hAnsi="Times New Roman" w:eastAsia="Times New Roman"/>
              </w:rPr>
              <w:t>-0.455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PDIO_12</w:t>
            </w:r>
          </w:p>
        </w:tc>
        <w:tc>
          <w:tcPr>
            <w:tcW w:type="dxa" w:w="2160"/>
          </w:tcPr>
          <w:p>
            <w:r>
              <w:rPr>
                <w:rFonts w:ascii="Times New Roman" w:hAnsi="Times New Roman" w:eastAsia="Times New Roman"/>
              </w:rPr>
              <w:t>+0.418</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+1.351</w:t>
            </w:r>
          </w:p>
        </w:tc>
      </w:tr>
      <w:tr>
        <w:tc>
          <w:tcPr>
            <w:tcW w:type="dxa" w:w="2160"/>
          </w:tcPr>
          <w:p>
            <w:r>
              <w:rPr>
                <w:rFonts w:ascii="Times New Roman" w:hAnsi="Times New Roman" w:eastAsia="Times New Roman"/>
              </w:rPr>
              <w:t>PDIO_13</w:t>
            </w:r>
          </w:p>
        </w:tc>
        <w:tc>
          <w:tcPr>
            <w:tcW w:type="dxa" w:w="2160"/>
          </w:tcPr>
          <w:p>
            <w:r>
              <w:rPr>
                <w:rFonts w:ascii="Times New Roman" w:hAnsi="Times New Roman" w:eastAsia="Times New Roman"/>
              </w:rPr>
              <w:t>+0.273</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+1.685</w:t>
            </w:r>
          </w:p>
        </w:tc>
      </w:tr>
      <w:tr>
        <w:tc>
          <w:tcPr>
            <w:tcW w:type="dxa" w:w="2160"/>
          </w:tcPr>
          <w:p>
            <w:r>
              <w:rPr>
                <w:rFonts w:ascii="Times New Roman" w:hAnsi="Times New Roman" w:eastAsia="Times New Roman"/>
              </w:rPr>
              <w:t>PDIO_14</w:t>
            </w:r>
          </w:p>
        </w:tc>
        <w:tc>
          <w:tcPr>
            <w:tcW w:type="dxa" w:w="2160"/>
          </w:tcPr>
          <w:p>
            <w:r>
              <w:rPr>
                <w:rFonts w:ascii="Times New Roman" w:hAnsi="Times New Roman" w:eastAsia="Times New Roman"/>
              </w:rPr>
              <w:t>-0.193</w:t>
            </w:r>
          </w:p>
        </w:tc>
        <w:tc>
          <w:tcPr>
            <w:tcW w:type="dxa" w:w="2160"/>
          </w:tcPr>
          <w:p>
            <w:r>
              <w:rPr>
                <w:rFonts w:ascii="Times New Roman" w:hAnsi="Times New Roman" w:eastAsia="Times New Roman"/>
              </w:rPr>
              <w:t>-0.969</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PDIO_15</w:t>
            </w:r>
          </w:p>
        </w:tc>
        <w:tc>
          <w:tcPr>
            <w:tcW w:type="dxa" w:w="2160"/>
          </w:tcPr>
          <w:p>
            <w:r>
              <w:rPr>
                <w:rFonts w:ascii="Times New Roman" w:hAnsi="Times New Roman" w:eastAsia="Times New Roman"/>
              </w:rPr>
              <w:t>+0.301</w:t>
            </w:r>
          </w:p>
        </w:tc>
        <w:tc>
          <w:tcPr>
            <w:tcW w:type="dxa" w:w="2160"/>
          </w:tcPr>
          <w:p>
            <w:r>
              <w:rPr>
                <w:rFonts w:ascii="Times New Roman" w:hAnsi="Times New Roman" w:eastAsia="Times New Roman"/>
              </w:rPr>
              <w:t>-1.025</w:t>
            </w:r>
          </w:p>
        </w:tc>
        <w:tc>
          <w:tcPr>
            <w:tcW w:type="dxa" w:w="2160"/>
          </w:tcPr>
          <w:p>
            <w:r>
              <w:rPr>
                <w:rFonts w:ascii="Times New Roman" w:hAnsi="Times New Roman" w:eastAsia="Times New Roman"/>
              </w:rPr>
              <w:t>+1.369</w:t>
            </w:r>
          </w:p>
        </w:tc>
      </w:tr>
      <w:tr>
        <w:tc>
          <w:tcPr>
            <w:tcW w:type="dxa" w:w="2160"/>
          </w:tcPr>
          <w:p>
            <w:r>
              <w:rPr>
                <w:rFonts w:ascii="Times New Roman" w:hAnsi="Times New Roman" w:eastAsia="Times New Roman"/>
              </w:rPr>
              <w:t>PDIO_16</w:t>
            </w:r>
          </w:p>
        </w:tc>
        <w:tc>
          <w:tcPr>
            <w:tcW w:type="dxa" w:w="2160"/>
          </w:tcPr>
          <w:p>
            <w:r>
              <w:rPr>
                <w:rFonts w:ascii="Times New Roman" w:hAnsi="Times New Roman" w:eastAsia="Times New Roman"/>
              </w:rPr>
              <w:t>-0.097</w:t>
            </w:r>
          </w:p>
        </w:tc>
        <w:tc>
          <w:tcPr>
            <w:tcW w:type="dxa" w:w="2160"/>
          </w:tcPr>
          <w:p>
            <w:r>
              <w:rPr>
                <w:rFonts w:ascii="Times New Roman" w:hAnsi="Times New Roman" w:eastAsia="Times New Roman"/>
              </w:rPr>
              <w:t>-1.328</w:t>
            </w:r>
          </w:p>
        </w:tc>
        <w:tc>
          <w:tcPr>
            <w:tcW w:type="dxa" w:w="2160"/>
          </w:tcPr>
          <w:p>
            <w:r>
              <w:rPr>
                <w:rFonts w:ascii="Times New Roman" w:hAnsi="Times New Roman" w:eastAsia="Times New Roman"/>
              </w:rPr>
              <w:t>+1.391</w:t>
            </w:r>
          </w:p>
        </w:tc>
      </w:tr>
      <w:tr>
        <w:tc>
          <w:tcPr>
            <w:tcW w:type="dxa" w:w="2160"/>
          </w:tcPr>
          <w:p>
            <w:r>
              <w:rPr>
                <w:rFonts w:ascii="Times New Roman" w:hAnsi="Times New Roman" w:eastAsia="Times New Roman"/>
              </w:rPr>
              <w:t>PDIO_18</w:t>
            </w:r>
          </w:p>
        </w:tc>
        <w:tc>
          <w:tcPr>
            <w:tcW w:type="dxa" w:w="2160"/>
          </w:tcPr>
          <w:p>
            <w:r>
              <w:rPr>
                <w:rFonts w:ascii="Times New Roman" w:hAnsi="Times New Roman" w:eastAsia="Times New Roman"/>
              </w:rPr>
              <w:t>-0.073</w:t>
            </w:r>
          </w:p>
        </w:tc>
        <w:tc>
          <w:tcPr>
            <w:tcW w:type="dxa" w:w="2160"/>
          </w:tcPr>
          <w:p>
            <w:r>
              <w:rPr>
                <w:rFonts w:ascii="Times New Roman" w:hAnsi="Times New Roman" w:eastAsia="Times New Roman"/>
              </w:rPr>
              <w:t>-0.967</w:t>
            </w:r>
          </w:p>
        </w:tc>
        <w:tc>
          <w:tcPr>
            <w:tcW w:type="dxa" w:w="2160"/>
          </w:tcPr>
          <w:p>
            <w:r>
              <w:rPr>
                <w:rFonts w:ascii="Times New Roman" w:hAnsi="Times New Roman" w:eastAsia="Times New Roman"/>
              </w:rPr>
              <w:t>+1.235</w:t>
            </w:r>
          </w:p>
        </w:tc>
      </w:tr>
    </w:tbl>
    <w:p>
      <w:pPr>
        <w:spacing w:after="120"/>
        <w:jc w:val="both"/>
      </w:pPr>
      <w:r>
        <w:rPr>
          <w:rFonts w:ascii="Times New Roman" w:hAnsi="Times New Roman" w:eastAsia="Times New Roman"/>
        </w:rPr>
        <w:t>Across donors, the equal-donor mean of observed positive-pair contrasts is +0.208; the adverse and favorable percentile scenarios span -0.745 to +1.362. No donor remains positive in the adverse scenario; all twelve are positive under the favorable one. Because zero lies in this conditional envelope, source-table endpoint observability alone cannot establish the direction of the full baseline-detected-population effect. These scenarios alter only the missing A1 values; they cannot address organoids absent at A0, incorrect track links, size-dependent area error or the failed zero-forskolin specificity test.</w:t>
      </w:r>
    </w:p>
    <w:p>
      <w:pPr>
        <w:spacing w:after="120"/>
        <w:jc w:val="both"/>
      </w:pPr>
      <w:r>
        <w:rPr>
          <w:rFonts w:ascii="Times New Roman" w:hAnsi="Times New Roman" w:eastAsia="Times New Roman"/>
        </w:rPr>
        <w:t>A less adversarial one-arm tipping exercise holds three missing cells at their observed medians and increases only the hypothetical small-treated missing log response. The equal-donor mean reaches zero after a +0.61 log-unit shift; this is a scenario threshold, not a fitted estimate of those missing responses. Its direction matters: greater swelling among missing treated-small objects raises the small-treatment effect and can erase the observed large-minus-small difference. The percentile envelope is broader because it permits all four cells to vary together. Neither calculation selects a correction to apply to clinical data.</w:t>
      </w:r>
    </w:p>
    <w:p>
      <w:pPr>
        <w:spacing w:after="120"/>
        <w:jc w:val="both"/>
      </w:pPr>
      <w:r>
        <w:rPr>
          <w:rFonts w:ascii="Times New Roman" w:hAnsi="Times New Roman" w:eastAsia="Times New Roman"/>
        </w:rPr>
        <w:t>The next discriminating measurement is not another threshold tuned to this accession. A new acquisition should enumerate all baseline objects before filtering, retain raw masks at both time points, identify fields/plates/donors, audit possible one-to-many tracks, and include positive, zero-forskolin and CFTR-inhibitor controls. Lock the size function, donor-level endpoint, missingness model and analysis plan before new outcomes are opened. Until then, the substantive result of the present pipeline is a quantified selection problem and a within-accession size association with failed companion gates, not a verified CFTR-specific size mechanism or a patient predictor.</w:t>
      </w:r>
    </w:p>
    <w:p>
      <w:pPr>
        <w:pStyle w:val="Heading2"/>
      </w:pPr>
      <w:r>
        <w:rPr>
          <w:rFonts w:ascii="Times New Roman" w:hAnsi="Times New Roman" w:eastAsia="Times New Roman"/>
        </w:rPr>
        <w:t>4.3s Denominator check: what inclusion weights cannot recover</w:t>
      </w:r>
    </w:p>
    <w:p>
      <w:pPr>
        <w:spacing w:after="120"/>
        <w:jc w:val="both"/>
      </w:pPr>
      <w:r>
        <w:rPr>
          <w:rFonts w:ascii="Times New Roman" w:hAnsi="Times New Roman" w:eastAsia="Times New Roman"/>
        </w:rPr>
        <w:t>An independent arithmetic audit joins the source-table retention counts, the missing-endpoint scenario ledger and the cross-fit inclusion result by their exact DIS_database.csv SHA256. The four original treatment-by-size cells contain 6,964 baseline-detected positive-area objects, of which 4,964 have positive A1. Their 2,000 absent or nonpositive endpoints break down as 685 small DMSO, 679 small treated, 233 large DMSO and 403 large treated. Of the 4,964 observed positive pairs, 4,776 enter the derived table and 188 do not. Thus the cross-fit weights address the narrower 188-within-positive-pairs exclusion; they cannot assign swelling values to the 2,000 missing-A1 objects. A model that treats those weights as correcting full track attrition would silently switch populations.</w:t>
      </w:r>
    </w:p>
    <w:p>
      <w:pPr>
        <w:spacing w:after="120"/>
        <w:jc w:val="both"/>
      </w:pPr>
      <w:r>
        <w:rPr>
          <w:rFonts w:ascii="Times New Roman" w:hAnsi="Times New Roman" w:eastAsia="Times New Roman"/>
        </w:rPr>
        <w:t>The inclusion model also uses log A1 and t1 detector score among positive-area pairs. That can describe how recorded endpoints enter the derived table, but it is not a pretreatment propensity model for causal weighting. The published source CSV has bounding-box coordinates and path strings for images/masks, not accessible image/mask pixels for this audit or a label for why A1 is absent. Baseline-undetected objects are outside its denominator. Assigning missing responses to observed-cell 5th/95th percentiles gives the previously reported equal-donor scenario range -0.745 to +1.362, crossing zero, but these numbers are assumptions about missing responses rather than confidence limits. The source-specific numerator and denominator ledger is results/postresult_attrition_model_limit.json. None of these checks repair the failed sign-only, specificity or independent-cohort requirements.</w:t>
      </w:r>
    </w:p>
    <w:p>
      <w:pPr>
        <w:pStyle w:val="Heading2"/>
      </w:pPr>
      <w:r>
        <w:rPr>
          <w:rFonts w:ascii="Times New Roman" w:hAnsi="Times New Roman" w:eastAsia="Times New Roman"/>
        </w:rPr>
        <w:t>4.3t Across-donor visibility is heterogeneous</w:t>
      </w:r>
    </w:p>
    <w:p>
      <w:pPr>
        <w:spacing w:after="120"/>
        <w:jc w:val="both"/>
      </w:pPr>
      <w:r>
        <w:rPr>
          <w:rFonts w:ascii="Times New Roman" w:hAnsi="Times New Roman" w:eastAsia="Times New Roman"/>
        </w:rPr>
        <w:t>A fixed post-result donor decomposition of the same source-table frame retains every original donor instead of treating the pooled 6,964 detected objects as a single experiment. The script joins each baseline and endpoint on the source particle key, repeats the existing block and size filters, and asserts that all 2,000 absent or nonpositive A1 observations still appear in the denominator. The table lists donor-specific detection fractions in each treatment/size cell, not swelling contrasts. A visibility interaction is the treatment-minus-DMSO observability gap among large objects minus the same gap among small objects. It has no units of log swelling and cannot be read as an estimate of the biological effect.</w:t>
      </w:r>
    </w:p>
    <w:p>
      <w:r>
        <w:rPr>
          <w:rFonts w:ascii="Times New Roman" w:hAnsi="Times New Roman" w:eastAsia="Times New Roman"/>
          <w:b/>
        </w:rPr>
        <w:t>Table 13. Positive A1 / baseline-detected in each donor cell. Doses and experiments are pooled only within a donor. Source: results/postresult_donor_attrition_decomposition.json; see exact cell-level missing counts there.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donor</w:t>
            </w:r>
          </w:p>
        </w:tc>
        <w:tc>
          <w:tcPr>
            <w:tcW w:type="dxa" w:w="1234"/>
          </w:tcPr>
          <w:p>
            <w:r>
              <w:rPr>
                <w:rFonts w:ascii="Times New Roman" w:hAnsi="Times New Roman" w:eastAsia="Times New Roman"/>
              </w:rPr>
              <w:t>all t0</w:t>
            </w:r>
          </w:p>
        </w:tc>
        <w:tc>
          <w:tcPr>
            <w:tcW w:type="dxa" w:w="1234"/>
          </w:tcPr>
          <w:p>
            <w:r>
              <w:rPr>
                <w:rFonts w:ascii="Times New Roman" w:hAnsi="Times New Roman" w:eastAsia="Times New Roman"/>
              </w:rPr>
              <w:t>DMSO small</w:t>
            </w:r>
          </w:p>
        </w:tc>
        <w:tc>
          <w:tcPr>
            <w:tcW w:type="dxa" w:w="1234"/>
          </w:tcPr>
          <w:p>
            <w:r>
              <w:rPr>
                <w:rFonts w:ascii="Times New Roman" w:hAnsi="Times New Roman" w:eastAsia="Times New Roman"/>
              </w:rPr>
              <w:t>DMSO large</w:t>
            </w:r>
          </w:p>
        </w:tc>
        <w:tc>
          <w:tcPr>
            <w:tcW w:type="dxa" w:w="1234"/>
          </w:tcPr>
          <w:p>
            <w:r>
              <w:rPr>
                <w:rFonts w:ascii="Times New Roman" w:hAnsi="Times New Roman" w:eastAsia="Times New Roman"/>
              </w:rPr>
              <w:t>drug small</w:t>
            </w:r>
          </w:p>
        </w:tc>
        <w:tc>
          <w:tcPr>
            <w:tcW w:type="dxa" w:w="1234"/>
          </w:tcPr>
          <w:p>
            <w:r>
              <w:rPr>
                <w:rFonts w:ascii="Times New Roman" w:hAnsi="Times New Roman" w:eastAsia="Times New Roman"/>
              </w:rPr>
              <w:t>drug large</w:t>
            </w:r>
          </w:p>
        </w:tc>
        <w:tc>
          <w:tcPr>
            <w:tcW w:type="dxa" w:w="1234"/>
          </w:tcPr>
          <w:p>
            <w:r>
              <w:rPr>
                <w:rFonts w:ascii="Times New Roman" w:hAnsi="Times New Roman" w:eastAsia="Times New Roman"/>
              </w:rPr>
              <w:t>gap diff.</w:t>
            </w:r>
          </w:p>
        </w:tc>
      </w:tr>
      <w:tr>
        <w:tc>
          <w:tcPr>
            <w:tcW w:type="dxa" w:w="1234"/>
          </w:tcPr>
          <w:p>
            <w:r>
              <w:rPr>
                <w:rFonts w:ascii="Times New Roman" w:hAnsi="Times New Roman" w:eastAsia="Times New Roman"/>
              </w:rPr>
              <w:t>PDIO_01</w:t>
            </w:r>
          </w:p>
        </w:tc>
        <w:tc>
          <w:tcPr>
            <w:tcW w:type="dxa" w:w="1234"/>
          </w:tcPr>
          <w:p>
            <w:r>
              <w:rPr>
                <w:rFonts w:ascii="Times New Roman" w:hAnsi="Times New Roman" w:eastAsia="Times New Roman"/>
              </w:rPr>
              <w:t>167</w:t>
            </w:r>
          </w:p>
        </w:tc>
        <w:tc>
          <w:tcPr>
            <w:tcW w:type="dxa" w:w="1234"/>
          </w:tcPr>
          <w:p>
            <w:r>
              <w:rPr>
                <w:rFonts w:ascii="Times New Roman" w:hAnsi="Times New Roman" w:eastAsia="Times New Roman"/>
              </w:rPr>
              <w:t>5/21</w:t>
            </w:r>
          </w:p>
        </w:tc>
        <w:tc>
          <w:tcPr>
            <w:tcW w:type="dxa" w:w="1234"/>
          </w:tcPr>
          <w:p>
            <w:r>
              <w:rPr>
                <w:rFonts w:ascii="Times New Roman" w:hAnsi="Times New Roman" w:eastAsia="Times New Roman"/>
              </w:rPr>
              <w:t>67/72</w:t>
            </w:r>
          </w:p>
        </w:tc>
        <w:tc>
          <w:tcPr>
            <w:tcW w:type="dxa" w:w="1234"/>
          </w:tcPr>
          <w:p>
            <w:r>
              <w:rPr>
                <w:rFonts w:ascii="Times New Roman" w:hAnsi="Times New Roman" w:eastAsia="Times New Roman"/>
              </w:rPr>
              <w:t>6/9</w:t>
            </w:r>
          </w:p>
        </w:tc>
        <w:tc>
          <w:tcPr>
            <w:tcW w:type="dxa" w:w="1234"/>
          </w:tcPr>
          <w:p>
            <w:r>
              <w:rPr>
                <w:rFonts w:ascii="Times New Roman" w:hAnsi="Times New Roman" w:eastAsia="Times New Roman"/>
              </w:rPr>
              <w:t>58/65</w:t>
            </w:r>
          </w:p>
        </w:tc>
        <w:tc>
          <w:tcPr>
            <w:tcW w:type="dxa" w:w="1234"/>
          </w:tcPr>
          <w:p>
            <w:r>
              <w:rPr>
                <w:rFonts w:ascii="Times New Roman" w:hAnsi="Times New Roman" w:eastAsia="Times New Roman"/>
              </w:rPr>
              <w:t>-0.467</w:t>
            </w:r>
          </w:p>
        </w:tc>
      </w:tr>
      <w:tr>
        <w:tc>
          <w:tcPr>
            <w:tcW w:type="dxa" w:w="1234"/>
          </w:tcPr>
          <w:p>
            <w:r>
              <w:rPr>
                <w:rFonts w:ascii="Times New Roman" w:hAnsi="Times New Roman" w:eastAsia="Times New Roman"/>
              </w:rPr>
              <w:t>PDIO_03</w:t>
            </w:r>
          </w:p>
        </w:tc>
        <w:tc>
          <w:tcPr>
            <w:tcW w:type="dxa" w:w="1234"/>
          </w:tcPr>
          <w:p>
            <w:r>
              <w:rPr>
                <w:rFonts w:ascii="Times New Roman" w:hAnsi="Times New Roman" w:eastAsia="Times New Roman"/>
              </w:rPr>
              <w:t>975</w:t>
            </w:r>
          </w:p>
        </w:tc>
        <w:tc>
          <w:tcPr>
            <w:tcW w:type="dxa" w:w="1234"/>
          </w:tcPr>
          <w:p>
            <w:r>
              <w:rPr>
                <w:rFonts w:ascii="Times New Roman" w:hAnsi="Times New Roman" w:eastAsia="Times New Roman"/>
              </w:rPr>
              <w:t>131/224</w:t>
            </w:r>
          </w:p>
        </w:tc>
        <w:tc>
          <w:tcPr>
            <w:tcW w:type="dxa" w:w="1234"/>
          </w:tcPr>
          <w:p>
            <w:r>
              <w:rPr>
                <w:rFonts w:ascii="Times New Roman" w:hAnsi="Times New Roman" w:eastAsia="Times New Roman"/>
              </w:rPr>
              <w:t>217/238</w:t>
            </w:r>
          </w:p>
        </w:tc>
        <w:tc>
          <w:tcPr>
            <w:tcW w:type="dxa" w:w="1234"/>
          </w:tcPr>
          <w:p>
            <w:r>
              <w:rPr>
                <w:rFonts w:ascii="Times New Roman" w:hAnsi="Times New Roman" w:eastAsia="Times New Roman"/>
              </w:rPr>
              <w:t>128/257</w:t>
            </w:r>
          </w:p>
        </w:tc>
        <w:tc>
          <w:tcPr>
            <w:tcW w:type="dxa" w:w="1234"/>
          </w:tcPr>
          <w:p>
            <w:r>
              <w:rPr>
                <w:rFonts w:ascii="Times New Roman" w:hAnsi="Times New Roman" w:eastAsia="Times New Roman"/>
              </w:rPr>
              <w:t>221/256</w:t>
            </w:r>
          </w:p>
        </w:tc>
        <w:tc>
          <w:tcPr>
            <w:tcW w:type="dxa" w:w="1234"/>
          </w:tcPr>
          <w:p>
            <w:r>
              <w:rPr>
                <w:rFonts w:ascii="Times New Roman" w:hAnsi="Times New Roman" w:eastAsia="Times New Roman"/>
              </w:rPr>
              <w:t>+0.038</w:t>
            </w:r>
          </w:p>
        </w:tc>
      </w:tr>
      <w:tr>
        <w:tc>
          <w:tcPr>
            <w:tcW w:type="dxa" w:w="1234"/>
          </w:tcPr>
          <w:p>
            <w:r>
              <w:rPr>
                <w:rFonts w:ascii="Times New Roman" w:hAnsi="Times New Roman" w:eastAsia="Times New Roman"/>
              </w:rPr>
              <w:t>PDIO_05</w:t>
            </w:r>
          </w:p>
        </w:tc>
        <w:tc>
          <w:tcPr>
            <w:tcW w:type="dxa" w:w="1234"/>
          </w:tcPr>
          <w:p>
            <w:r>
              <w:rPr>
                <w:rFonts w:ascii="Times New Roman" w:hAnsi="Times New Roman" w:eastAsia="Times New Roman"/>
              </w:rPr>
              <w:t>1431</w:t>
            </w:r>
          </w:p>
        </w:tc>
        <w:tc>
          <w:tcPr>
            <w:tcW w:type="dxa" w:w="1234"/>
          </w:tcPr>
          <w:p>
            <w:r>
              <w:rPr>
                <w:rFonts w:ascii="Times New Roman" w:hAnsi="Times New Roman" w:eastAsia="Times New Roman"/>
              </w:rPr>
              <w:t>140/255</w:t>
            </w:r>
          </w:p>
        </w:tc>
        <w:tc>
          <w:tcPr>
            <w:tcW w:type="dxa" w:w="1234"/>
          </w:tcPr>
          <w:p>
            <w:r>
              <w:rPr>
                <w:rFonts w:ascii="Times New Roman" w:hAnsi="Times New Roman" w:eastAsia="Times New Roman"/>
              </w:rPr>
              <w:t>378/434</w:t>
            </w:r>
          </w:p>
        </w:tc>
        <w:tc>
          <w:tcPr>
            <w:tcW w:type="dxa" w:w="1234"/>
          </w:tcPr>
          <w:p>
            <w:r>
              <w:rPr>
                <w:rFonts w:ascii="Times New Roman" w:hAnsi="Times New Roman" w:eastAsia="Times New Roman"/>
              </w:rPr>
              <w:t>163/282</w:t>
            </w:r>
          </w:p>
        </w:tc>
        <w:tc>
          <w:tcPr>
            <w:tcW w:type="dxa" w:w="1234"/>
          </w:tcPr>
          <w:p>
            <w:r>
              <w:rPr>
                <w:rFonts w:ascii="Times New Roman" w:hAnsi="Times New Roman" w:eastAsia="Times New Roman"/>
              </w:rPr>
              <w:t>411/460</w:t>
            </w:r>
          </w:p>
        </w:tc>
        <w:tc>
          <w:tcPr>
            <w:tcW w:type="dxa" w:w="1234"/>
          </w:tcPr>
          <w:p>
            <w:r>
              <w:rPr>
                <w:rFonts w:ascii="Times New Roman" w:hAnsi="Times New Roman" w:eastAsia="Times New Roman"/>
              </w:rPr>
              <w:t>-0.006</w:t>
            </w:r>
          </w:p>
        </w:tc>
      </w:tr>
      <w:tr>
        <w:tc>
          <w:tcPr>
            <w:tcW w:type="dxa" w:w="1234"/>
          </w:tcPr>
          <w:p>
            <w:r>
              <w:rPr>
                <w:rFonts w:ascii="Times New Roman" w:hAnsi="Times New Roman" w:eastAsia="Times New Roman"/>
              </w:rPr>
              <w:t>PDIO_06</w:t>
            </w:r>
          </w:p>
        </w:tc>
        <w:tc>
          <w:tcPr>
            <w:tcW w:type="dxa" w:w="1234"/>
          </w:tcPr>
          <w:p>
            <w:r>
              <w:rPr>
                <w:rFonts w:ascii="Times New Roman" w:hAnsi="Times New Roman" w:eastAsia="Times New Roman"/>
              </w:rPr>
              <w:t>1407</w:t>
            </w:r>
          </w:p>
        </w:tc>
        <w:tc>
          <w:tcPr>
            <w:tcW w:type="dxa" w:w="1234"/>
          </w:tcPr>
          <w:p>
            <w:r>
              <w:rPr>
                <w:rFonts w:ascii="Times New Roman" w:hAnsi="Times New Roman" w:eastAsia="Times New Roman"/>
              </w:rPr>
              <w:t>95/202</w:t>
            </w:r>
          </w:p>
        </w:tc>
        <w:tc>
          <w:tcPr>
            <w:tcW w:type="dxa" w:w="1234"/>
          </w:tcPr>
          <w:p>
            <w:r>
              <w:rPr>
                <w:rFonts w:ascii="Times New Roman" w:hAnsi="Times New Roman" w:eastAsia="Times New Roman"/>
              </w:rPr>
              <w:t>307/333</w:t>
            </w:r>
          </w:p>
        </w:tc>
        <w:tc>
          <w:tcPr>
            <w:tcW w:type="dxa" w:w="1234"/>
          </w:tcPr>
          <w:p>
            <w:r>
              <w:rPr>
                <w:rFonts w:ascii="Times New Roman" w:hAnsi="Times New Roman" w:eastAsia="Times New Roman"/>
              </w:rPr>
              <w:t>127/308</w:t>
            </w:r>
          </w:p>
        </w:tc>
        <w:tc>
          <w:tcPr>
            <w:tcW w:type="dxa" w:w="1234"/>
          </w:tcPr>
          <w:p>
            <w:r>
              <w:rPr>
                <w:rFonts w:ascii="Times New Roman" w:hAnsi="Times New Roman" w:eastAsia="Times New Roman"/>
              </w:rPr>
              <w:t>454/564</w:t>
            </w:r>
          </w:p>
        </w:tc>
        <w:tc>
          <w:tcPr>
            <w:tcW w:type="dxa" w:w="1234"/>
          </w:tcPr>
          <w:p>
            <w:r>
              <w:rPr>
                <w:rFonts w:ascii="Times New Roman" w:hAnsi="Times New Roman" w:eastAsia="Times New Roman"/>
              </w:rPr>
              <w:t>-0.059</w:t>
            </w:r>
          </w:p>
        </w:tc>
      </w:tr>
      <w:tr>
        <w:tc>
          <w:tcPr>
            <w:tcW w:type="dxa" w:w="1234"/>
          </w:tcPr>
          <w:p>
            <w:r>
              <w:rPr>
                <w:rFonts w:ascii="Times New Roman" w:hAnsi="Times New Roman" w:eastAsia="Times New Roman"/>
              </w:rPr>
              <w:t>PDIO_09</w:t>
            </w:r>
          </w:p>
        </w:tc>
        <w:tc>
          <w:tcPr>
            <w:tcW w:type="dxa" w:w="1234"/>
          </w:tcPr>
          <w:p>
            <w:r>
              <w:rPr>
                <w:rFonts w:ascii="Times New Roman" w:hAnsi="Times New Roman" w:eastAsia="Times New Roman"/>
              </w:rPr>
              <w:t>712</w:t>
            </w:r>
          </w:p>
        </w:tc>
        <w:tc>
          <w:tcPr>
            <w:tcW w:type="dxa" w:w="1234"/>
          </w:tcPr>
          <w:p>
            <w:r>
              <w:rPr>
                <w:rFonts w:ascii="Times New Roman" w:hAnsi="Times New Roman" w:eastAsia="Times New Roman"/>
              </w:rPr>
              <w:t>54/118</w:t>
            </w:r>
          </w:p>
        </w:tc>
        <w:tc>
          <w:tcPr>
            <w:tcW w:type="dxa" w:w="1234"/>
          </w:tcPr>
          <w:p>
            <w:r>
              <w:rPr>
                <w:rFonts w:ascii="Times New Roman" w:hAnsi="Times New Roman" w:eastAsia="Times New Roman"/>
              </w:rPr>
              <w:t>240/267</w:t>
            </w:r>
          </w:p>
        </w:tc>
        <w:tc>
          <w:tcPr>
            <w:tcW w:type="dxa" w:w="1234"/>
          </w:tcPr>
          <w:p>
            <w:r>
              <w:rPr>
                <w:rFonts w:ascii="Times New Roman" w:hAnsi="Times New Roman" w:eastAsia="Times New Roman"/>
              </w:rPr>
              <w:t>35/54</w:t>
            </w:r>
          </w:p>
        </w:tc>
        <w:tc>
          <w:tcPr>
            <w:tcW w:type="dxa" w:w="1234"/>
          </w:tcPr>
          <w:p>
            <w:r>
              <w:rPr>
                <w:rFonts w:ascii="Times New Roman" w:hAnsi="Times New Roman" w:eastAsia="Times New Roman"/>
              </w:rPr>
              <w:t>227/273</w:t>
            </w:r>
          </w:p>
        </w:tc>
        <w:tc>
          <w:tcPr>
            <w:tcW w:type="dxa" w:w="1234"/>
          </w:tcPr>
          <w:p>
            <w:r>
              <w:rPr>
                <w:rFonts w:ascii="Times New Roman" w:hAnsi="Times New Roman" w:eastAsia="Times New Roman"/>
              </w:rPr>
              <w:t>-0.258</w:t>
            </w:r>
          </w:p>
        </w:tc>
      </w:tr>
      <w:tr>
        <w:tc>
          <w:tcPr>
            <w:tcW w:type="dxa" w:w="1234"/>
          </w:tcPr>
          <w:p>
            <w:r>
              <w:rPr>
                <w:rFonts w:ascii="Times New Roman" w:hAnsi="Times New Roman" w:eastAsia="Times New Roman"/>
              </w:rPr>
              <w:t>PDIO_11</w:t>
            </w:r>
          </w:p>
        </w:tc>
        <w:tc>
          <w:tcPr>
            <w:tcW w:type="dxa" w:w="1234"/>
          </w:tcPr>
          <w:p>
            <w:r>
              <w:rPr>
                <w:rFonts w:ascii="Times New Roman" w:hAnsi="Times New Roman" w:eastAsia="Times New Roman"/>
              </w:rPr>
              <w:t>139</w:t>
            </w:r>
          </w:p>
        </w:tc>
        <w:tc>
          <w:tcPr>
            <w:tcW w:type="dxa" w:w="1234"/>
          </w:tcPr>
          <w:p>
            <w:r>
              <w:rPr>
                <w:rFonts w:ascii="Times New Roman" w:hAnsi="Times New Roman" w:eastAsia="Times New Roman"/>
              </w:rPr>
              <w:t>10/13</w:t>
            </w:r>
          </w:p>
        </w:tc>
        <w:tc>
          <w:tcPr>
            <w:tcW w:type="dxa" w:w="1234"/>
          </w:tcPr>
          <w:p>
            <w:r>
              <w:rPr>
                <w:rFonts w:ascii="Times New Roman" w:hAnsi="Times New Roman" w:eastAsia="Times New Roman"/>
              </w:rPr>
              <w:t>31/36</w:t>
            </w:r>
          </w:p>
        </w:tc>
        <w:tc>
          <w:tcPr>
            <w:tcW w:type="dxa" w:w="1234"/>
          </w:tcPr>
          <w:p>
            <w:r>
              <w:rPr>
                <w:rFonts w:ascii="Times New Roman" w:hAnsi="Times New Roman" w:eastAsia="Times New Roman"/>
              </w:rPr>
              <w:t>8/14</w:t>
            </w:r>
          </w:p>
        </w:tc>
        <w:tc>
          <w:tcPr>
            <w:tcW w:type="dxa" w:w="1234"/>
          </w:tcPr>
          <w:p>
            <w:r>
              <w:rPr>
                <w:rFonts w:ascii="Times New Roman" w:hAnsi="Times New Roman" w:eastAsia="Times New Roman"/>
              </w:rPr>
              <w:t>54/76</w:t>
            </w:r>
          </w:p>
        </w:tc>
        <w:tc>
          <w:tcPr>
            <w:tcW w:type="dxa" w:w="1234"/>
          </w:tcPr>
          <w:p>
            <w:r>
              <w:rPr>
                <w:rFonts w:ascii="Times New Roman" w:hAnsi="Times New Roman" w:eastAsia="Times New Roman"/>
              </w:rPr>
              <w:t>+0.047</w:t>
            </w:r>
          </w:p>
        </w:tc>
      </w:tr>
      <w:tr>
        <w:tc>
          <w:tcPr>
            <w:tcW w:type="dxa" w:w="1234"/>
          </w:tcPr>
          <w:p>
            <w:r>
              <w:rPr>
                <w:rFonts w:ascii="Times New Roman" w:hAnsi="Times New Roman" w:eastAsia="Times New Roman"/>
              </w:rPr>
              <w:t>PDIO_12</w:t>
            </w:r>
          </w:p>
        </w:tc>
        <w:tc>
          <w:tcPr>
            <w:tcW w:type="dxa" w:w="1234"/>
          </w:tcPr>
          <w:p>
            <w:r>
              <w:rPr>
                <w:rFonts w:ascii="Times New Roman" w:hAnsi="Times New Roman" w:eastAsia="Times New Roman"/>
              </w:rPr>
              <w:t>480</w:t>
            </w:r>
          </w:p>
        </w:tc>
        <w:tc>
          <w:tcPr>
            <w:tcW w:type="dxa" w:w="1234"/>
          </w:tcPr>
          <w:p>
            <w:r>
              <w:rPr>
                <w:rFonts w:ascii="Times New Roman" w:hAnsi="Times New Roman" w:eastAsia="Times New Roman"/>
              </w:rPr>
              <w:t>30/104</w:t>
            </w:r>
          </w:p>
        </w:tc>
        <w:tc>
          <w:tcPr>
            <w:tcW w:type="dxa" w:w="1234"/>
          </w:tcPr>
          <w:p>
            <w:r>
              <w:rPr>
                <w:rFonts w:ascii="Times New Roman" w:hAnsi="Times New Roman" w:eastAsia="Times New Roman"/>
              </w:rPr>
              <w:t>139/161</w:t>
            </w:r>
          </w:p>
        </w:tc>
        <w:tc>
          <w:tcPr>
            <w:tcW w:type="dxa" w:w="1234"/>
          </w:tcPr>
          <w:p>
            <w:r>
              <w:rPr>
                <w:rFonts w:ascii="Times New Roman" w:hAnsi="Times New Roman" w:eastAsia="Times New Roman"/>
              </w:rPr>
              <w:t>14/49</w:t>
            </w:r>
          </w:p>
        </w:tc>
        <w:tc>
          <w:tcPr>
            <w:tcW w:type="dxa" w:w="1234"/>
          </w:tcPr>
          <w:p>
            <w:r>
              <w:rPr>
                <w:rFonts w:ascii="Times New Roman" w:hAnsi="Times New Roman" w:eastAsia="Times New Roman"/>
              </w:rPr>
              <w:t>139/166</w:t>
            </w:r>
          </w:p>
        </w:tc>
        <w:tc>
          <w:tcPr>
            <w:tcW w:type="dxa" w:w="1234"/>
          </w:tcPr>
          <w:p>
            <w:r>
              <w:rPr>
                <w:rFonts w:ascii="Times New Roman" w:hAnsi="Times New Roman" w:eastAsia="Times New Roman"/>
              </w:rPr>
              <w:t>-0.023</w:t>
            </w:r>
          </w:p>
        </w:tc>
      </w:tr>
      <w:tr>
        <w:tc>
          <w:tcPr>
            <w:tcW w:type="dxa" w:w="1234"/>
          </w:tcPr>
          <w:p>
            <w:r>
              <w:rPr>
                <w:rFonts w:ascii="Times New Roman" w:hAnsi="Times New Roman" w:eastAsia="Times New Roman"/>
              </w:rPr>
              <w:t>PDIO_13</w:t>
            </w:r>
          </w:p>
        </w:tc>
        <w:tc>
          <w:tcPr>
            <w:tcW w:type="dxa" w:w="1234"/>
          </w:tcPr>
          <w:p>
            <w:r>
              <w:rPr>
                <w:rFonts w:ascii="Times New Roman" w:hAnsi="Times New Roman" w:eastAsia="Times New Roman"/>
              </w:rPr>
              <w:t>325</w:t>
            </w:r>
          </w:p>
        </w:tc>
        <w:tc>
          <w:tcPr>
            <w:tcW w:type="dxa" w:w="1234"/>
          </w:tcPr>
          <w:p>
            <w:r>
              <w:rPr>
                <w:rFonts w:ascii="Times New Roman" w:hAnsi="Times New Roman" w:eastAsia="Times New Roman"/>
              </w:rPr>
              <w:t>20/85</w:t>
            </w:r>
          </w:p>
        </w:tc>
        <w:tc>
          <w:tcPr>
            <w:tcW w:type="dxa" w:w="1234"/>
          </w:tcPr>
          <w:p>
            <w:r>
              <w:rPr>
                <w:rFonts w:ascii="Times New Roman" w:hAnsi="Times New Roman" w:eastAsia="Times New Roman"/>
              </w:rPr>
              <w:t>66/80</w:t>
            </w:r>
          </w:p>
        </w:tc>
        <w:tc>
          <w:tcPr>
            <w:tcW w:type="dxa" w:w="1234"/>
          </w:tcPr>
          <w:p>
            <w:r>
              <w:rPr>
                <w:rFonts w:ascii="Times New Roman" w:hAnsi="Times New Roman" w:eastAsia="Times New Roman"/>
              </w:rPr>
              <w:t>19/82</w:t>
            </w:r>
          </w:p>
        </w:tc>
        <w:tc>
          <w:tcPr>
            <w:tcW w:type="dxa" w:w="1234"/>
          </w:tcPr>
          <w:p>
            <w:r>
              <w:rPr>
                <w:rFonts w:ascii="Times New Roman" w:hAnsi="Times New Roman" w:eastAsia="Times New Roman"/>
              </w:rPr>
              <w:t>68/78</w:t>
            </w:r>
          </w:p>
        </w:tc>
        <w:tc>
          <w:tcPr>
            <w:tcW w:type="dxa" w:w="1234"/>
          </w:tcPr>
          <w:p>
            <w:r>
              <w:rPr>
                <w:rFonts w:ascii="Times New Roman" w:hAnsi="Times New Roman" w:eastAsia="Times New Roman"/>
              </w:rPr>
              <w:t>+0.050</w:t>
            </w:r>
          </w:p>
        </w:tc>
      </w:tr>
      <w:tr>
        <w:tc>
          <w:tcPr>
            <w:tcW w:type="dxa" w:w="1234"/>
          </w:tcPr>
          <w:p>
            <w:r>
              <w:rPr>
                <w:rFonts w:ascii="Times New Roman" w:hAnsi="Times New Roman" w:eastAsia="Times New Roman"/>
              </w:rPr>
              <w:t>PDIO_14</w:t>
            </w:r>
          </w:p>
        </w:tc>
        <w:tc>
          <w:tcPr>
            <w:tcW w:type="dxa" w:w="1234"/>
          </w:tcPr>
          <w:p>
            <w:r>
              <w:rPr>
                <w:rFonts w:ascii="Times New Roman" w:hAnsi="Times New Roman" w:eastAsia="Times New Roman"/>
              </w:rPr>
              <w:t>290</w:t>
            </w:r>
          </w:p>
        </w:tc>
        <w:tc>
          <w:tcPr>
            <w:tcW w:type="dxa" w:w="1234"/>
          </w:tcPr>
          <w:p>
            <w:r>
              <w:rPr>
                <w:rFonts w:ascii="Times New Roman" w:hAnsi="Times New Roman" w:eastAsia="Times New Roman"/>
              </w:rPr>
              <w:t>23/41</w:t>
            </w:r>
          </w:p>
        </w:tc>
        <w:tc>
          <w:tcPr>
            <w:tcW w:type="dxa" w:w="1234"/>
          </w:tcPr>
          <w:p>
            <w:r>
              <w:rPr>
                <w:rFonts w:ascii="Times New Roman" w:hAnsi="Times New Roman" w:eastAsia="Times New Roman"/>
              </w:rPr>
              <w:t>70/81</w:t>
            </w:r>
          </w:p>
        </w:tc>
        <w:tc>
          <w:tcPr>
            <w:tcW w:type="dxa" w:w="1234"/>
          </w:tcPr>
          <w:p>
            <w:r>
              <w:rPr>
                <w:rFonts w:ascii="Times New Roman" w:hAnsi="Times New Roman" w:eastAsia="Times New Roman"/>
              </w:rPr>
              <w:t>22/64</w:t>
            </w:r>
          </w:p>
        </w:tc>
        <w:tc>
          <w:tcPr>
            <w:tcW w:type="dxa" w:w="1234"/>
          </w:tcPr>
          <w:p>
            <w:r>
              <w:rPr>
                <w:rFonts w:ascii="Times New Roman" w:hAnsi="Times New Roman" w:eastAsia="Times New Roman"/>
              </w:rPr>
              <w:t>75/104</w:t>
            </w:r>
          </w:p>
        </w:tc>
        <w:tc>
          <w:tcPr>
            <w:tcW w:type="dxa" w:w="1234"/>
          </w:tcPr>
          <w:p>
            <w:r>
              <w:rPr>
                <w:rFonts w:ascii="Times New Roman" w:hAnsi="Times New Roman" w:eastAsia="Times New Roman"/>
              </w:rPr>
              <w:t>+0.074</w:t>
            </w:r>
          </w:p>
        </w:tc>
      </w:tr>
      <w:tr>
        <w:tc>
          <w:tcPr>
            <w:tcW w:type="dxa" w:w="1234"/>
          </w:tcPr>
          <w:p>
            <w:r>
              <w:rPr>
                <w:rFonts w:ascii="Times New Roman" w:hAnsi="Times New Roman" w:eastAsia="Times New Roman"/>
              </w:rPr>
              <w:t>PDIO_15</w:t>
            </w:r>
          </w:p>
        </w:tc>
        <w:tc>
          <w:tcPr>
            <w:tcW w:type="dxa" w:w="1234"/>
          </w:tcPr>
          <w:p>
            <w:r>
              <w:rPr>
                <w:rFonts w:ascii="Times New Roman" w:hAnsi="Times New Roman" w:eastAsia="Times New Roman"/>
              </w:rPr>
              <w:t>437</w:t>
            </w:r>
          </w:p>
        </w:tc>
        <w:tc>
          <w:tcPr>
            <w:tcW w:type="dxa" w:w="1234"/>
          </w:tcPr>
          <w:p>
            <w:r>
              <w:rPr>
                <w:rFonts w:ascii="Times New Roman" w:hAnsi="Times New Roman" w:eastAsia="Times New Roman"/>
              </w:rPr>
              <w:t>31/82</w:t>
            </w:r>
          </w:p>
        </w:tc>
        <w:tc>
          <w:tcPr>
            <w:tcW w:type="dxa" w:w="1234"/>
          </w:tcPr>
          <w:p>
            <w:r>
              <w:rPr>
                <w:rFonts w:ascii="Times New Roman" w:hAnsi="Times New Roman" w:eastAsia="Times New Roman"/>
              </w:rPr>
              <w:t>150/162</w:t>
            </w:r>
          </w:p>
        </w:tc>
        <w:tc>
          <w:tcPr>
            <w:tcW w:type="dxa" w:w="1234"/>
          </w:tcPr>
          <w:p>
            <w:r>
              <w:rPr>
                <w:rFonts w:ascii="Times New Roman" w:hAnsi="Times New Roman" w:eastAsia="Times New Roman"/>
              </w:rPr>
              <w:t>18/50</w:t>
            </w:r>
          </w:p>
        </w:tc>
        <w:tc>
          <w:tcPr>
            <w:tcW w:type="dxa" w:w="1234"/>
          </w:tcPr>
          <w:p>
            <w:r>
              <w:rPr>
                <w:rFonts w:ascii="Times New Roman" w:hAnsi="Times New Roman" w:eastAsia="Times New Roman"/>
              </w:rPr>
              <w:t>115/143</w:t>
            </w:r>
          </w:p>
        </w:tc>
        <w:tc>
          <w:tcPr>
            <w:tcW w:type="dxa" w:w="1234"/>
          </w:tcPr>
          <w:p>
            <w:r>
              <w:rPr>
                <w:rFonts w:ascii="Times New Roman" w:hAnsi="Times New Roman" w:eastAsia="Times New Roman"/>
              </w:rPr>
              <w:t>-0.104</w:t>
            </w:r>
          </w:p>
        </w:tc>
      </w:tr>
      <w:tr>
        <w:tc>
          <w:tcPr>
            <w:tcW w:type="dxa" w:w="1234"/>
          </w:tcPr>
          <w:p>
            <w:r>
              <w:rPr>
                <w:rFonts w:ascii="Times New Roman" w:hAnsi="Times New Roman" w:eastAsia="Times New Roman"/>
              </w:rPr>
              <w:t>PDIO_16</w:t>
            </w:r>
          </w:p>
        </w:tc>
        <w:tc>
          <w:tcPr>
            <w:tcW w:type="dxa" w:w="1234"/>
          </w:tcPr>
          <w:p>
            <w:r>
              <w:rPr>
                <w:rFonts w:ascii="Times New Roman" w:hAnsi="Times New Roman" w:eastAsia="Times New Roman"/>
              </w:rPr>
              <w:t>437</w:t>
            </w:r>
          </w:p>
        </w:tc>
        <w:tc>
          <w:tcPr>
            <w:tcW w:type="dxa" w:w="1234"/>
          </w:tcPr>
          <w:p>
            <w:r>
              <w:rPr>
                <w:rFonts w:ascii="Times New Roman" w:hAnsi="Times New Roman" w:eastAsia="Times New Roman"/>
              </w:rPr>
              <w:t>17/58</w:t>
            </w:r>
          </w:p>
        </w:tc>
        <w:tc>
          <w:tcPr>
            <w:tcW w:type="dxa" w:w="1234"/>
          </w:tcPr>
          <w:p>
            <w:r>
              <w:rPr>
                <w:rFonts w:ascii="Times New Roman" w:hAnsi="Times New Roman" w:eastAsia="Times New Roman"/>
              </w:rPr>
              <w:t>115/143</w:t>
            </w:r>
          </w:p>
        </w:tc>
        <w:tc>
          <w:tcPr>
            <w:tcW w:type="dxa" w:w="1234"/>
          </w:tcPr>
          <w:p>
            <w:r>
              <w:rPr>
                <w:rFonts w:ascii="Times New Roman" w:hAnsi="Times New Roman" w:eastAsia="Times New Roman"/>
              </w:rPr>
              <w:t>22/65</w:t>
            </w:r>
          </w:p>
        </w:tc>
        <w:tc>
          <w:tcPr>
            <w:tcW w:type="dxa" w:w="1234"/>
          </w:tcPr>
          <w:p>
            <w:r>
              <w:rPr>
                <w:rFonts w:ascii="Times New Roman" w:hAnsi="Times New Roman" w:eastAsia="Times New Roman"/>
              </w:rPr>
              <w:t>132/171</w:t>
            </w:r>
          </w:p>
        </w:tc>
        <w:tc>
          <w:tcPr>
            <w:tcW w:type="dxa" w:w="1234"/>
          </w:tcPr>
          <w:p>
            <w:r>
              <w:rPr>
                <w:rFonts w:ascii="Times New Roman" w:hAnsi="Times New Roman" w:eastAsia="Times New Roman"/>
              </w:rPr>
              <w:t>-0.078</w:t>
            </w:r>
          </w:p>
        </w:tc>
      </w:tr>
      <w:tr>
        <w:tc>
          <w:tcPr>
            <w:tcW w:type="dxa" w:w="1234"/>
          </w:tcPr>
          <w:p>
            <w:r>
              <w:rPr>
                <w:rFonts w:ascii="Times New Roman" w:hAnsi="Times New Roman" w:eastAsia="Times New Roman"/>
              </w:rPr>
              <w:t>PDIO_18</w:t>
            </w:r>
          </w:p>
        </w:tc>
        <w:tc>
          <w:tcPr>
            <w:tcW w:type="dxa" w:w="1234"/>
          </w:tcPr>
          <w:p>
            <w:r>
              <w:rPr>
                <w:rFonts w:ascii="Times New Roman" w:hAnsi="Times New Roman" w:eastAsia="Times New Roman"/>
              </w:rPr>
              <w:t>164</w:t>
            </w:r>
          </w:p>
        </w:tc>
        <w:tc>
          <w:tcPr>
            <w:tcW w:type="dxa" w:w="1234"/>
          </w:tcPr>
          <w:p>
            <w:r>
              <w:rPr>
                <w:rFonts w:ascii="Times New Roman" w:hAnsi="Times New Roman" w:eastAsia="Times New Roman"/>
              </w:rPr>
              <w:t>7/45</w:t>
            </w:r>
          </w:p>
        </w:tc>
        <w:tc>
          <w:tcPr>
            <w:tcW w:type="dxa" w:w="1234"/>
          </w:tcPr>
          <w:p>
            <w:r>
              <w:rPr>
                <w:rFonts w:ascii="Times New Roman" w:hAnsi="Times New Roman" w:eastAsia="Times New Roman"/>
              </w:rPr>
              <w:t>45/51</w:t>
            </w:r>
          </w:p>
        </w:tc>
        <w:tc>
          <w:tcPr>
            <w:tcW w:type="dxa" w:w="1234"/>
          </w:tcPr>
          <w:p>
            <w:r>
              <w:rPr>
                <w:rFonts w:ascii="Times New Roman" w:hAnsi="Times New Roman" w:eastAsia="Times New Roman"/>
              </w:rPr>
              <w:t>9/16</w:t>
            </w:r>
          </w:p>
        </w:tc>
        <w:tc>
          <w:tcPr>
            <w:tcW w:type="dxa" w:w="1234"/>
          </w:tcPr>
          <w:p>
            <w:r>
              <w:rPr>
                <w:rFonts w:ascii="Times New Roman" w:hAnsi="Times New Roman" w:eastAsia="Times New Roman"/>
              </w:rPr>
              <w:t>51/52</w:t>
            </w:r>
          </w:p>
        </w:tc>
        <w:tc>
          <w:tcPr>
            <w:tcW w:type="dxa" w:w="1234"/>
          </w:tcPr>
          <w:p>
            <w:r>
              <w:rPr>
                <w:rFonts w:ascii="Times New Roman" w:hAnsi="Times New Roman" w:eastAsia="Times New Roman"/>
              </w:rPr>
              <w:t>-0.309</w:t>
            </w:r>
          </w:p>
        </w:tc>
      </w:tr>
    </w:tbl>
    <w:p>
      <w:pPr>
        <w:spacing w:after="120"/>
        <w:jc w:val="both"/>
      </w:pPr>
      <w:r>
        <w:rPr>
          <w:rFonts w:ascii="Times New Roman" w:hAnsi="Times New Roman" w:eastAsia="Times New Roman"/>
        </w:rPr>
        <w:t>The donor-pooled visibility interaction is negative in 8 of 12 donors and positive in 4; its median is -0.041, range -0.467 to +0.074. Donor baseline-detected counts range from 139 to 1431. A previous analysis took within-block gaps then the median within each donor; this table instead pools blocks by donor, so its individual gaps can differ without contradiction. Neither summary resolves source-batch confounding, outcome-dependent missingness, or the absence of original masks and images. The score is a detection audit, not a new experiment, a missing-outcome correction or an independent validation cohort. Original sign/specificity gates remain failed.</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Secondary exploratory analyses II: segmentation benchmark and split integrity</w:t>
      </w:r>
    </w:p>
    <w:p>
      <w:pPr>
        <w:spacing w:after="120"/>
        <w:jc w:val="both"/>
      </w:pPr>
      <w:r>
        <w:rPr>
          <w:rFonts w:ascii="Times New Roman" w:hAnsi="Times New Roman" w:eastAsia="Times New Roman"/>
        </w:rPr>
        <w:t>Sections 4.5 through 4.5j are a secondary arm. Its benchmark-beat claim is withdrawn because repeated acquisition fields cross the splits; the arm is retained as an integrity case study and labeled exploratory.</w:t>
      </w:r>
    </w:p>
    <w:p>
      <w:pPr>
        <w:pStyle w:val="Heading2"/>
      </w:pPr>
      <w:r>
        <w:rPr>
          <w:rFonts w:ascii="Times New Roman" w:hAnsi="Times New Roman" w:eastAsia="Times New Roman"/>
        </w:rPr>
        <w:t>4.5 Segmentation benchmark</w:t>
      </w:r>
    </w:p>
    <w:p>
      <w:r>
        <w:rPr>
          <w:rFonts w:ascii="Times New Roman" w:hAnsi="Times New Roman" w:eastAsia="Times New Roman"/>
          <w:b/>
        </w:rPr>
        <w:t>Table 14.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15.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16.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4.5i Retrospective overlap-exclusion score audit</w:t>
      </w:r>
    </w:p>
    <w:p>
      <w:pPr>
        <w:spacing w:after="120"/>
        <w:jc w:val="both"/>
      </w:pPr>
      <w:r>
        <w:rPr>
          <w:rFonts w:ascii="Times New Roman" w:hAnsi="Times New Roman" w:eastAsia="Times New Roman"/>
        </w:rPr>
        <w:t>A further post-result audit asks the narrowest question still available from already-saved outputs: if the graph-flagged cross-split eval images are removed after all scores were viewed, what happens to the saved author-scorer mean? Exclusions come only from the existing image-only graph, never from outcome values. At thresholds 0.95 and 0.97 the flagged eval images are the train-overlapping 20210727_11562 file (AP50 0.87931) and the val-overlapping 20210727_26838 file (AP50 0.71053); removing them leaves 10 images with mean 0.754346, versus 0.761108 on all 12 and 0.729115 for the earlier v1 model on the same retained images. At 0.99 only the train-overlapping file is flagged, leaving 11 images at mean 0.750362. Seeded image-bootstrap intervals, [0.690968, 0.827025] and [0.692235, 0.816450], stay wide and include the rounded published 0.76. Protocol, input hashes and every retained and flagged score are in notes/postresult_scene_overlap_score_audit.md, scripts/audit_postresult_scene_overlap_score.py and results/postresult_scene_overlap_score_audit.json.</w:t>
      </w:r>
    </w:p>
    <w:p>
      <w:pPr>
        <w:spacing w:after="120"/>
        <w:jc w:val="both"/>
      </w:pPr>
      <w:r>
        <w:rPr>
          <w:rFonts w:ascii="Times New Roman" w:hAnsi="Times New Roman" w:eastAsia="Times New Roman"/>
        </w:rPr>
        <w:t>None of these subset means is a held-out benchmark score: the eval files, model and grid were all fixed and scored before the exclusion rule existed, unflagged files can still share acquisition sessions or donors, and no published author-model predictions exist for a paired comparison. The audit is reported because it removes a tempting misreading: even the most aggressive outcome-aware exclusion does not rescue the comparison, it lowers the retained mean below the rounded 0.76 point. The locked all-image v2 score stays exactly as recorded, the retained-subset numbers are diagnostics, and the requirement for a new group-disjoint acquisition cohort with paired author-baseline scoring is unchanged.</w:t>
      </w:r>
    </w:p>
    <w:p>
      <w:pPr>
        <w:pStyle w:val="Heading2"/>
      </w:pPr>
      <w:r>
        <w:rPr>
          <w:rFonts w:ascii="Times New Roman" w:hAnsi="Times New Roman" w:eastAsia="Times New Roman"/>
        </w:rPr>
        <w:t>4.5j Distinct mouse-intestinal detection transfer: negative</w:t>
      </w:r>
    </w:p>
    <w:p>
      <w:pPr>
        <w:spacing w:after="120"/>
        <w:jc w:val="both"/>
      </w:pPr>
      <w:r>
        <w:rPr>
          <w:rFonts w:ascii="Times New Roman" w:hAnsi="Times New Roman" w:eastAsia="Times New Roman"/>
        </w:rPr>
        <w:t>We tested the fixed human-organoid segmentation checkpoint on a different image and annotation domain, not as a repaired version of the original human mask benchmark. The Domènech-Moreno mouse-intestinal 4x EVOS release (Zenodo 6768583) contains 756 train and 84 released validation JPEGs with manually drawn YOLO object boxes across four morphology classes. Its 193.9 MB archive matches the source MD5. Before reading target scores we fixed the existing v2 U-Net weights and the original human-validation parameters, converted its instance masks to tight object boxes, collapsed the target classes into one object class and matched boxes once at IoU &gt;=0.5. Across all 84 validation images and 2,468 valid labeled boxes, there are 850 true positives, 911 false positives and 1,618 false negatives. Micro precision 0.483, recall 0.344, F1 0.402; mean per-image F1 0.340. One released zero-width annotation was recorded and excluded from the valid-box denominator. The source hashes, every image count, protocol and implementation are in results/postresult_mouse_yolo_domain.json, notes/postresult_mouse_yolo_domain_protocol.md and scripts/audit_mouse_yolo_domain.py.</w:t>
      </w:r>
    </w:p>
    <w:p>
      <w:pPr>
        <w:spacing w:after="120"/>
        <w:jc w:val="both"/>
      </w:pPr>
      <w:r>
        <w:rPr>
          <w:rFonts w:ascii="Times New Roman" w:hAnsi="Times New Roman" w:eastAsia="Times New Roman"/>
        </w:rPr>
        <w:t>This is an external-domain negative for the current model's ready-to-use object detection. The target is mouse rather than human, class-specific loose boxes rather than pixel instance masks, and a different microscope/field density, so box F1 cannot be compared with the OrgaSegment paper's human mask AP50 0.76. No published comparator's predictions on the same 84 images are in hand, so this is NOT a leading-tool benchmark. No exact image-hash duplicates occur across target train/validation or original human source, but thumbnail similarity flags possible related target acquisition fields and lacks donor/session metadata. Because no mouse images trained our U-Net, this issue does not explain the low transfer recall, but it prevents an independent mouse split claim. Visual review of example low- and higher-scoring target images showed substantial contrast and object-density differences without identifying the cause of false negatives. The result narrows tool deployment; it neither tests CFTR swelling biology nor alters the failed original donor sign and specificity gates.</w:t>
      </w:r>
    </w:p>
    <w:p>
      <w:pPr>
        <w:pStyle w:val="Heading2"/>
      </w:pPr>
      <w:r>
        <w:rPr>
          <w:rFonts w:ascii="Times New Roman" w:hAnsi="Times New Roman" w:eastAsia="Times New Roman"/>
        </w:rPr>
        <w:t>4.5k Candidate-scene-group-disjoint reassignment and its exploratory test</w:t>
      </w:r>
    </w:p>
    <w:p>
      <w:pPr>
        <w:spacing w:after="120"/>
        <w:jc w:val="both"/>
      </w:pPr>
      <w:r>
        <w:rPr>
          <w:rFonts w:ascii="Times New Roman" w:hAnsi="Times New Roman" w:eastAsia="Times New Roman"/>
        </w:rPr>
        <w:t>We made the image-based leakage diagnosis operational, while preserving the original result as history. Under the 27 September exploratory protocol (notes/prereg_group_disjoint_seg.md, commit b8e5132), an exact image hash or standardized 32-by-32 thumbnail cosine &gt;=0.95 joined images into candidate scene groups, including transitive links. Each group's reassignment followed the highest original priority eval &gt; val &gt; train. Five files moved, including one train file to eval and one val file to eval. The resulting 180/37/14 train/val/eval allocation includes all 231 released files exactly once and puts no graph component across splits (results/group_disjoint_seg_split.json, split implementation commit db30071). At cosine 0.97 and 0.99, the earlier forensic graph found 4 and 3 originally cross-split candidate groups, versus 5 at 0.95; these are descriptive threshold checks, not alternative assignments chosen by AP50. The 0.95 graph is a proxy: one flagged pair has visually different layouts and unflagged files can still share donors, wells or sessions. Without acquisition metadata, this reassignment cannot certify independence.</w:t>
      </w:r>
    </w:p>
    <w:p>
      <w:pPr>
        <w:spacing w:after="120"/>
        <w:jc w:val="both"/>
      </w:pPr>
      <w:r>
        <w:rPr>
          <w:rFonts w:ascii="Times New Roman" w:hAnsi="Times New Roman" w:eastAsia="Times New Roman"/>
        </w:rPr>
        <w:t>We freshly initialized the 3-class base-16 U-Net and trained on only the 180 reassigned train files, with no weights from the old v2 checkpoint. The frozen recipe used 512-pixel grayscale normalization, 256-pixel random crops, batch size two, weighted cross entropy 1/1/3, Adam at 0.002, seeded flips and rotations, and up to 60 epochs. The 37 reassigned validation files selected epoch 60 by lowest weighted cross entropy checked every five epochs (loss 0.077038895); their masks did not enter gradient updates. The checkpoint SHA256 is cc9f8ddfd07155854c8955ccd3089de777bd53fcf6131d0ef7aadb26142360f4. The old postprocessing grid was not rerun: script commit 6b23675 froze the code-default foreground/interior/boundary/minimum-size parameters [0.5, 0.6, 0.3, 20] before the first reassigned-eval score, as permitted by that protocol. Model checkpoint and full epoch history are retained under results/group_disjoint_seg/.</w:t>
      </w:r>
    </w:p>
    <w:p>
      <w:pPr>
        <w:spacing w:after="120"/>
        <w:jc w:val="both"/>
      </w:pPr>
      <w:r>
        <w:rPr>
          <w:rFonts w:ascii="Times New Roman" w:hAnsi="Times New Roman" w:eastAsia="Times New Roman"/>
        </w:rPr>
        <w:t>On the 14 reassigned eval images, the pinned OrgaSegment v1.0.1 author AP50 implementation gives mean 0.750403; our unique-mask-count implementation gives 0.751727. A seed-20260927 image bootstrap with 20,000 draws produces a conditional percentile interval [0.689349, 0.810722]. This includes the rounded published 0.76 and omits seed and donor/acquisition variance. The two scorers differ beyond float rounding on two images with missing ground-truth label IDs: the author scorer counts maximum instance label, while ours counts distinct labels. Neither metric is a head-to-head comparison with released Mask R-CNN predictions, which are unavailable here.</w:t>
      </w:r>
    </w:p>
    <w:p>
      <w:r>
        <w:rPr>
          <w:rFonts w:ascii="Times New Roman" w:hAnsi="Times New Roman" w:eastAsia="Times New Roman"/>
          <w:b/>
        </w:rPr>
        <w:t>Table 17. Candidate-group-disjoint exploratory reassignment: all 14 image scores, including the two moved-to-eval files. Full filenames, unique-count scores and mask-ID-gap accounting are in results/group_disjoint_seg/exploratory_eval.json.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eval 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TP</w:t>
            </w:r>
          </w:p>
        </w:tc>
        <w:tc>
          <w:tcPr>
            <w:tcW w:type="dxa" w:w="1728"/>
          </w:tcPr>
          <w:p>
            <w:r>
              <w:rPr>
                <w:rFonts w:ascii="Times New Roman" w:hAnsi="Times New Roman" w:eastAsia="Times New Roman"/>
              </w:rPr>
              <w:t>FP</w:t>
            </w:r>
          </w:p>
        </w:tc>
        <w:tc>
          <w:tcPr>
            <w:tcW w:type="dxa" w:w="1728"/>
          </w:tcPr>
          <w:p>
            <w:r>
              <w:rPr>
                <w:rFonts w:ascii="Times New Roman" w:hAnsi="Times New Roman" w:eastAsia="Times New Roman"/>
              </w:rPr>
              <w:t>FN</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68</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2</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0.583</w:t>
            </w:r>
          </w:p>
        </w:tc>
        <w:tc>
          <w:tcPr>
            <w:tcW w:type="dxa" w:w="1728"/>
          </w:tcPr>
          <w:p>
            <w:r>
              <w:rPr>
                <w:rFonts w:ascii="Times New Roman" w:hAnsi="Times New Roman" w:eastAsia="Times New Roman"/>
              </w:rPr>
              <w:t>49</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27</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0.811</w:t>
            </w:r>
          </w:p>
        </w:tc>
        <w:tc>
          <w:tcPr>
            <w:tcW w:type="dxa" w:w="1728"/>
          </w:tcPr>
          <w:p>
            <w:r>
              <w:rPr>
                <w:rFonts w:ascii="Times New Roman" w:hAnsi="Times New Roman" w:eastAsia="Times New Roman"/>
              </w:rPr>
              <w:t>43</w:t>
            </w:r>
          </w:p>
        </w:tc>
        <w:tc>
          <w:tcPr>
            <w:tcW w:type="dxa" w:w="1728"/>
          </w:tcPr>
          <w:p>
            <w:r>
              <w:rPr>
                <w:rFonts w:ascii="Times New Roman" w:hAnsi="Times New Roman" w:eastAsia="Times New Roman"/>
              </w:rPr>
              <w:t>9</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33</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0.895</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0.554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15</w:t>
            </w:r>
          </w:p>
        </w:tc>
        <w:tc>
          <w:tcPr>
            <w:tcW w:type="dxa" w:w="1728"/>
          </w:tcPr>
          <w:p>
            <w:r>
              <w:rPr>
                <w:rFonts w:ascii="Times New Roman" w:hAnsi="Times New Roman" w:eastAsia="Times New Roman"/>
              </w:rPr>
              <w:t>14</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0.724</w:t>
            </w:r>
          </w:p>
        </w:tc>
        <w:tc>
          <w:tcPr>
            <w:tcW w:type="dxa" w:w="1728"/>
          </w:tcPr>
          <w:p>
            <w:r>
              <w:rPr>
                <w:rFonts w:ascii="Times New Roman" w:hAnsi="Times New Roman" w:eastAsia="Times New Roman"/>
              </w:rPr>
              <w:t>126</w:t>
            </w:r>
          </w:p>
        </w:tc>
        <w:tc>
          <w:tcPr>
            <w:tcW w:type="dxa" w:w="1728"/>
          </w:tcPr>
          <w:p>
            <w:r>
              <w:rPr>
                <w:rFonts w:ascii="Times New Roman" w:hAnsi="Times New Roman" w:eastAsia="Times New Roman"/>
              </w:rPr>
              <w:t>25</w:t>
            </w:r>
          </w:p>
        </w:tc>
        <w:tc>
          <w:tcPr>
            <w:tcW w:type="dxa" w:w="1728"/>
          </w:tcPr>
          <w:p>
            <w:r>
              <w:rPr>
                <w:rFonts w:ascii="Times New Roman" w:hAnsi="Times New Roman" w:eastAsia="Times New Roman"/>
              </w:rPr>
              <w:t>23</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0.850</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0.632</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42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0.702</w:t>
            </w:r>
          </w:p>
        </w:tc>
        <w:tc>
          <w:tcPr>
            <w:tcW w:type="dxa" w:w="1728"/>
          </w:tcPr>
          <w:p>
            <w:r>
              <w:rPr>
                <w:rFonts w:ascii="Times New Roman" w:hAnsi="Times New Roman" w:eastAsia="Times New Roman"/>
              </w:rPr>
              <w:t>66</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9</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0.767</w:t>
            </w:r>
          </w:p>
        </w:tc>
        <w:tc>
          <w:tcPr>
            <w:tcW w:type="dxa" w:w="1728"/>
          </w:tcPr>
          <w:p>
            <w:r>
              <w:rPr>
                <w:rFonts w:ascii="Times New Roman" w:hAnsi="Times New Roman" w:eastAsia="Times New Roman"/>
              </w:rPr>
              <w:t>56</w:t>
            </w:r>
          </w:p>
        </w:tc>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0.705</w:t>
            </w:r>
          </w:p>
        </w:tc>
        <w:tc>
          <w:tcPr>
            <w:tcW w:type="dxa" w:w="1728"/>
          </w:tcPr>
          <w:p>
            <w:r>
              <w:rPr>
                <w:rFonts w:ascii="Times New Roman" w:hAnsi="Times New Roman" w:eastAsia="Times New Roman"/>
              </w:rPr>
              <w:t>55</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103</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45</w:t>
            </w:r>
          </w:p>
        </w:tc>
      </w:tr>
      <w:tr>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78</w:t>
            </w:r>
          </w:p>
        </w:tc>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9</w:t>
            </w:r>
          </w:p>
        </w:tc>
      </w:tr>
    </w:tbl>
    <w:p>
      <w:pPr>
        <w:spacing w:after="120"/>
        <w:jc w:val="both"/>
      </w:pPr>
      <w:r>
        <w:rPr>
          <w:rFonts w:ascii="Times New Roman" w:hAnsi="Times New Roman" w:eastAsia="Times New Roman"/>
        </w:rPr>
        <w:t>Failure analysis is heterogeneous rather than a single global threshold effect. The lowest-scoring images had author AP50 0.554 (36 TP, 15 FP, 14 FN) and 0.583 (49 TP, 8 FP, 27 FN); the highest reached 0.958 (68 TP, 1 FP, 2 FN). The two moved-to-eval images scored 0.850 and 0.767; they were original train/val files, not previously scored as eval, but both share image-similarity components with original eval files and were in the known source set. On the 12 original eval images shared with the old v2 report, a descriptive same-file paired mean change is -0.0204 AP50. This is not an isolated effect of leakage removal: weights, training membership, validation set, model selection and extraction parameters all changed. The original 0.761108 result and numerical threshold crossing remain archived; the new 0.750403 estimate is not a corrected benchmark score, an independent replication or proof that the old estimate was inflated by exactly their difference. The eval includes 10 singleton proxy groups and two two-image groups, but these are not verified independent donors or plates; the image-bootstrap interval ignores any hidden nesting. An untouched acquisition cohort with real donor/plate/field IDs and paired published-model predictions is still required for a leading-tool claim (notes/group_disjoint_eval_design_limits.md).</w:t>
      </w:r>
    </w:p>
    <w:p>
      <w:pPr>
        <w:pStyle w:val="Heading2"/>
      </w:pPr>
      <w:r>
        <w:rPr>
          <w:rFonts w:ascii="Times New Roman" w:hAnsi="Times New Roman" w:eastAsia="Times New Roman"/>
        </w:rPr>
        <w:t>4.5k.1 Same-file score reconciliation across the two models</w:t>
      </w:r>
    </w:p>
    <w:p>
      <w:pPr>
        <w:spacing w:after="120"/>
        <w:jc w:val="both"/>
      </w:pPr>
      <w:r>
        <w:rPr>
          <w:rFonts w:ascii="Times New Roman" w:hAnsi="Times New Roman" w:eastAsia="Times New Roman"/>
        </w:rPr>
        <w:t>The new 14-file eval mixes two previously unscored-as-eval images with the 12 original eval files. To keep denominators straight, a post-result reconciliation compares only those 12 identical filenames between the old v2 score and the freshly trained group-reassigned model. The older mean on these 12 files is 0.761108; the new mean on the same files is 0.740710, a new-minus-old mean of -0.020398. The median per-file change is -0.005336, with range -0.112821 to +0.015426. Three images improve, eight worsen and one ties exactly in saved float values. Old totals across the shared files are 798 true positives, 112 false positives and 176 false negatives; new totals are 794, 133 and 180. These totals describe instance matches, not independent experimental units.</w:t>
      </w:r>
    </w:p>
    <w:p>
      <w:r>
        <w:rPr>
          <w:rFonts w:ascii="Times New Roman" w:hAnsi="Times New Roman" w:eastAsia="Times New Roman"/>
          <w:b/>
        </w:rPr>
        <w:t>Table 18. Same-file author-scorer AP50 changes across the two model fits. Full filenames, proxy components, ground-truth counts and TP/FP/FN are in results/group_disjoint_seg/postresult_samefile_delta.json.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shared original eval image #</w:t>
            </w:r>
          </w:p>
        </w:tc>
        <w:tc>
          <w:tcPr>
            <w:tcW w:type="dxa" w:w="2160"/>
          </w:tcPr>
          <w:p>
            <w:r>
              <w:rPr>
                <w:rFonts w:ascii="Times New Roman" w:hAnsi="Times New Roman" w:eastAsia="Times New Roman"/>
              </w:rPr>
              <w:t>old AP50</w:t>
            </w:r>
          </w:p>
        </w:tc>
        <w:tc>
          <w:tcPr>
            <w:tcW w:type="dxa" w:w="2160"/>
          </w:tcPr>
          <w:p>
            <w:r>
              <w:rPr>
                <w:rFonts w:ascii="Times New Roman" w:hAnsi="Times New Roman" w:eastAsia="Times New Roman"/>
              </w:rPr>
              <w:t>new AP50</w:t>
            </w:r>
          </w:p>
        </w:tc>
        <w:tc>
          <w:tcPr>
            <w:tcW w:type="dxa" w:w="2160"/>
          </w:tcPr>
          <w:p>
            <w:r>
              <w:rPr>
                <w:rFonts w:ascii="Times New Roman" w:hAnsi="Times New Roman" w:eastAsia="Times New Roman"/>
              </w:rPr>
              <w:t>change</w:t>
            </w:r>
          </w:p>
        </w:tc>
      </w:tr>
      <w:tr>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+0.000</w:t>
            </w:r>
          </w:p>
        </w:tc>
      </w:tr>
      <w:tr>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0.658</w:t>
            </w:r>
          </w:p>
        </w:tc>
        <w:tc>
          <w:tcPr>
            <w:tcW w:type="dxa" w:w="2160"/>
          </w:tcPr>
          <w:p>
            <w:r>
              <w:rPr>
                <w:rFonts w:ascii="Times New Roman" w:hAnsi="Times New Roman" w:eastAsia="Times New Roman"/>
              </w:rPr>
              <w:t>0.583</w:t>
            </w:r>
          </w:p>
        </w:tc>
        <w:tc>
          <w:tcPr>
            <w:tcW w:type="dxa" w:w="2160"/>
          </w:tcPr>
          <w:p>
            <w:r>
              <w:rPr>
                <w:rFonts w:ascii="Times New Roman" w:hAnsi="Times New Roman" w:eastAsia="Times New Roman"/>
              </w:rPr>
              <w:t>-0.075</w:t>
            </w:r>
          </w:p>
        </w:tc>
      </w:tr>
      <w:tr>
        <w:tc>
          <w:tcPr>
            <w:tcW w:type="dxa" w:w="2160"/>
          </w:tcPr>
          <w:p>
            <w:r>
              <w:rPr>
                <w:rFonts w:ascii="Times New Roman" w:hAnsi="Times New Roman" w:eastAsia="Times New Roman"/>
              </w:rPr>
              <w:t>3</w:t>
            </w:r>
          </w:p>
        </w:tc>
        <w:tc>
          <w:tcPr>
            <w:tcW w:type="dxa" w:w="2160"/>
          </w:tcPr>
          <w:p>
            <w:r>
              <w:rPr>
                <w:rFonts w:ascii="Times New Roman" w:hAnsi="Times New Roman" w:eastAsia="Times New Roman"/>
              </w:rPr>
              <w:t>0.796</w:t>
            </w:r>
          </w:p>
        </w:tc>
        <w:tc>
          <w:tcPr>
            <w:tcW w:type="dxa" w:w="2160"/>
          </w:tcPr>
          <w:p>
            <w:r>
              <w:rPr>
                <w:rFonts w:ascii="Times New Roman" w:hAnsi="Times New Roman" w:eastAsia="Times New Roman"/>
              </w:rPr>
              <w:t>0.811</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0.892</w:t>
            </w:r>
          </w:p>
        </w:tc>
        <w:tc>
          <w:tcPr>
            <w:tcW w:type="dxa" w:w="2160"/>
          </w:tcPr>
          <w:p>
            <w:r>
              <w:rPr>
                <w:rFonts w:ascii="Times New Roman" w:hAnsi="Times New Roman" w:eastAsia="Times New Roman"/>
              </w:rPr>
              <w:t>-0.053</w:t>
            </w:r>
          </w:p>
        </w:tc>
      </w:tr>
      <w:tr>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0.879</w:t>
            </w:r>
          </w:p>
        </w:tc>
        <w:tc>
          <w:tcPr>
            <w:tcW w:type="dxa" w:w="2160"/>
          </w:tcPr>
          <w:p>
            <w:r>
              <w:rPr>
                <w:rFonts w:ascii="Times New Roman" w:hAnsi="Times New Roman" w:eastAsia="Times New Roman"/>
              </w:rPr>
              <w:t>0.895</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0.554</w:t>
            </w:r>
          </w:p>
        </w:tc>
        <w:tc>
          <w:tcPr>
            <w:tcW w:type="dxa" w:w="2160"/>
          </w:tcPr>
          <w:p>
            <w:r>
              <w:rPr>
                <w:rFonts w:ascii="Times New Roman" w:hAnsi="Times New Roman" w:eastAsia="Times New Roman"/>
              </w:rPr>
              <w:t>-0.113</w:t>
            </w:r>
          </w:p>
        </w:tc>
      </w:tr>
      <w:tr>
        <w:tc>
          <w:tcPr>
            <w:tcW w:type="dxa" w:w="2160"/>
          </w:tcPr>
          <w:p>
            <w:r>
              <w:rPr>
                <w:rFonts w:ascii="Times New Roman" w:hAnsi="Times New Roman" w:eastAsia="Times New Roman"/>
              </w:rPr>
              <w:t>7</w:t>
            </w:r>
          </w:p>
        </w:tc>
        <w:tc>
          <w:tcPr>
            <w:tcW w:type="dxa" w:w="2160"/>
          </w:tcPr>
          <w:p>
            <w:r>
              <w:rPr>
                <w:rFonts w:ascii="Times New Roman" w:hAnsi="Times New Roman" w:eastAsia="Times New Roman"/>
              </w:rPr>
              <w:t>0.729</w:t>
            </w:r>
          </w:p>
        </w:tc>
        <w:tc>
          <w:tcPr>
            <w:tcW w:type="dxa" w:w="2160"/>
          </w:tcPr>
          <w:p>
            <w:r>
              <w:rPr>
                <w:rFonts w:ascii="Times New Roman" w:hAnsi="Times New Roman" w:eastAsia="Times New Roman"/>
              </w:rPr>
              <w:t>0.724</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8</w:t>
            </w:r>
          </w:p>
        </w:tc>
        <w:tc>
          <w:tcPr>
            <w:tcW w:type="dxa" w:w="2160"/>
          </w:tcPr>
          <w:p>
            <w:r>
              <w:rPr>
                <w:rFonts w:ascii="Times New Roman" w:hAnsi="Times New Roman" w:eastAsia="Times New Roman"/>
              </w:rPr>
              <w:t>0.630</w:t>
            </w:r>
          </w:p>
        </w:tc>
        <w:tc>
          <w:tcPr>
            <w:tcW w:type="dxa" w:w="2160"/>
          </w:tcPr>
          <w:p>
            <w:r>
              <w:rPr>
                <w:rFonts w:ascii="Times New Roman" w:hAnsi="Times New Roman" w:eastAsia="Times New Roman"/>
              </w:rPr>
              <w:t>0.632</w:t>
            </w:r>
          </w:p>
        </w:tc>
        <w:tc>
          <w:tcPr>
            <w:tcW w:type="dxa" w:w="2160"/>
          </w:tcPr>
          <w:p>
            <w:r>
              <w:rPr>
                <w:rFonts w:ascii="Times New Roman" w:hAnsi="Times New Roman" w:eastAsia="Times New Roman"/>
              </w:rPr>
              <w:t>+0.003</w:t>
            </w:r>
          </w:p>
        </w:tc>
      </w:tr>
      <w:tr>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0.707</w:t>
            </w:r>
          </w:p>
        </w:tc>
        <w:tc>
          <w:tcPr>
            <w:tcW w:type="dxa" w:w="2160"/>
          </w:tcPr>
          <w:p>
            <w:r>
              <w:rPr>
                <w:rFonts w:ascii="Times New Roman" w:hAnsi="Times New Roman" w:eastAsia="Times New Roman"/>
              </w:rPr>
              <w:t>0.702</w:t>
            </w:r>
          </w:p>
        </w:tc>
        <w:tc>
          <w:tcPr>
            <w:tcW w:type="dxa" w:w="2160"/>
          </w:tcPr>
          <w:p>
            <w:r>
              <w:rPr>
                <w:rFonts w:ascii="Times New Roman" w:hAnsi="Times New Roman" w:eastAsia="Times New Roman"/>
              </w:rPr>
              <w:t>-0.004</w:t>
            </w:r>
          </w:p>
        </w:tc>
      </w:tr>
      <w:tr>
        <w:tc>
          <w:tcPr>
            <w:tcW w:type="dxa" w:w="2160"/>
          </w:tcPr>
          <w:p>
            <w:r>
              <w:rPr>
                <w:rFonts w:ascii="Times New Roman" w:hAnsi="Times New Roman" w:eastAsia="Times New Roman"/>
              </w:rPr>
              <w:t>10</w:t>
            </w:r>
          </w:p>
        </w:tc>
        <w:tc>
          <w:tcPr>
            <w:tcW w:type="dxa" w:w="2160"/>
          </w:tcPr>
          <w:p>
            <w:r>
              <w:rPr>
                <w:rFonts w:ascii="Times New Roman" w:hAnsi="Times New Roman" w:eastAsia="Times New Roman"/>
              </w:rPr>
              <w:t>0.711</w:t>
            </w:r>
          </w:p>
        </w:tc>
        <w:tc>
          <w:tcPr>
            <w:tcW w:type="dxa" w:w="2160"/>
          </w:tcPr>
          <w:p>
            <w:r>
              <w:rPr>
                <w:rFonts w:ascii="Times New Roman" w:hAnsi="Times New Roman" w:eastAsia="Times New Roman"/>
              </w:rPr>
              <w:t>0.705</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11</w:t>
            </w:r>
          </w:p>
        </w:tc>
        <w:tc>
          <w:tcPr>
            <w:tcW w:type="dxa" w:w="2160"/>
          </w:tcPr>
          <w:p>
            <w:r>
              <w:rPr>
                <w:rFonts w:ascii="Times New Roman" w:hAnsi="Times New Roman" w:eastAsia="Times New Roman"/>
              </w:rPr>
              <w:t>0.665</w:t>
            </w:r>
          </w:p>
        </w:tc>
        <w:tc>
          <w:tcPr>
            <w:tcW w:type="dxa" w:w="2160"/>
          </w:tcPr>
          <w:p>
            <w:r>
              <w:rPr>
                <w:rFonts w:ascii="Times New Roman" w:hAnsi="Times New Roman" w:eastAsia="Times New Roman"/>
              </w:rPr>
              <w:t>0.652</w:t>
            </w:r>
          </w:p>
        </w:tc>
        <w:tc>
          <w:tcPr>
            <w:tcW w:type="dxa" w:w="2160"/>
          </w:tcPr>
          <w:p>
            <w:r>
              <w:rPr>
                <w:rFonts w:ascii="Times New Roman" w:hAnsi="Times New Roman" w:eastAsia="Times New Roman"/>
              </w:rPr>
              <w:t>-0.013</w:t>
            </w:r>
          </w:p>
        </w:tc>
      </w:tr>
      <w:tr>
        <w:tc>
          <w:tcPr>
            <w:tcW w:type="dxa" w:w="2160"/>
          </w:tcPr>
          <w:p>
            <w:r>
              <w:rPr>
                <w:rFonts w:ascii="Times New Roman" w:hAnsi="Times New Roman" w:eastAsia="Times New Roman"/>
              </w:rPr>
              <w:t>12</w:t>
            </w:r>
          </w:p>
        </w:tc>
        <w:tc>
          <w:tcPr>
            <w:tcW w:type="dxa" w:w="2160"/>
          </w:tcPr>
          <w:p>
            <w:r>
              <w:rPr>
                <w:rFonts w:ascii="Times New Roman" w:hAnsi="Times New Roman" w:eastAsia="Times New Roman"/>
              </w:rPr>
              <w:t>0.790</w:t>
            </w:r>
          </w:p>
        </w:tc>
        <w:tc>
          <w:tcPr>
            <w:tcW w:type="dxa" w:w="2160"/>
          </w:tcPr>
          <w:p>
            <w:r>
              <w:rPr>
                <w:rFonts w:ascii="Times New Roman" w:hAnsi="Times New Roman" w:eastAsia="Times New Roman"/>
              </w:rPr>
              <w:t>0.780</w:t>
            </w:r>
          </w:p>
        </w:tc>
        <w:tc>
          <w:tcPr>
            <w:tcW w:type="dxa" w:w="2160"/>
          </w:tcPr>
          <w:p>
            <w:r>
              <w:rPr>
                <w:rFonts w:ascii="Times New Roman" w:hAnsi="Times New Roman" w:eastAsia="Times New Roman"/>
              </w:rPr>
              <w:t>-0.010</w:t>
            </w:r>
          </w:p>
        </w:tc>
      </w:tr>
    </w:tbl>
    <w:p>
      <w:pPr>
        <w:spacing w:after="120"/>
        <w:jc w:val="both"/>
      </w:pPr>
      <w:r>
        <w:rPr>
          <w:rFonts w:ascii="Times New Roman" w:hAnsi="Times New Roman" w:eastAsia="Times New Roman"/>
        </w:rPr>
        <w:t>The largest per-file decline and the paired average are not measurements of how much leakage inflated the old score. The two fits also changed training membership, validation membership, weights, checkpoint selection and postprocessing. Both use the same masks for these 12 filenames and have unknown donor/plate nesting. The extra two files had been in original train/val and linked to an original eval image by the candidate scene graph; they do not turn this into a new sealed acquisition cohort. The reconciliation protocol was recorded after both outcomes (notes/postresult_samefile_seg_delta_protocol.md). Do not read the table as 12 independent confirmations or retune on its declines.</w:t>
      </w:r>
    </w:p>
    <w:p>
      <w:pPr>
        <w:pStyle w:val="Heading2"/>
      </w:pPr>
      <w:r>
        <w:rPr>
          <w:rFonts w:ascii="Times New Roman" w:hAnsi="Times New Roman" w:eastAsia="Times New Roman"/>
        </w:rPr>
        <w:t>4.5l Post-result candidate-scene-group uncertainty</w:t>
      </w:r>
    </w:p>
    <w:p>
      <w:pPr>
        <w:spacing w:after="120"/>
        <w:jc w:val="both"/>
      </w:pPr>
      <w:r>
        <w:rPr>
          <w:rFonts w:ascii="Times New Roman" w:hAnsi="Times New Roman" w:eastAsia="Times New Roman"/>
        </w:rPr>
        <w:t>The 14-image bootstrap in Section 4.5k resamples image files as if they were exchangeable. A post-result sensitivity instead resamples the frozen 0.95 thumbnail-graph components. The reassigned eval files form 12 candidate groups, 10 singletons and 2 two-image groups. Equal weighting by candidate group gives author AP50 0.741429; seed-20260927 bootstrap of 20,000 group-mean resamples gives a descriptive interval [0.675048, 0.809498]. The image-weighted mean is 0.750403 with image-bootstrap interval [0.689349, 0.810722]. Different point estimates reflect changing the weights of the two duplicated-proxy groups; this is not a controlled variance-only adjustment or an estimate of donor-level uncertainty.</w:t>
      </w:r>
    </w:p>
    <w:p>
      <w:pPr>
        <w:spacing w:after="120"/>
        <w:jc w:val="both"/>
      </w:pPr>
      <w:r>
        <w:rPr>
          <w:rFonts w:ascii="Times New Roman" w:hAnsi="Times New Roman" w:eastAsia="Times New Roman"/>
        </w:rPr>
        <w:t>This calculation was chosen and run after the AP50 outcomes were known (notes/postresult_group_cluster_uncertainty.md). The image-only graph can merge unrelated fields or miss common donors and plates, and both intervals omit uncertainty over training seeds and annotators. That the two intervals overlap 0.76 has no confirmatory role, because 12 original eval files had already been scored, two moved files were in the known source set, and the published model was not run head-to-head. Full group memberships, scores and deterministic bootstrap implementation are in results/group_disjoint_seg/postresult_group_cluster_uncertainty.json and scripts/audit_group_cluster_uncertainty.py.</w:t>
      </w:r>
    </w:p>
    <w:p>
      <w:pPr>
        <w:pStyle w:val="Heading2"/>
      </w:pPr>
      <w:r>
        <w:rPr>
          <w:rFonts w:ascii="Times New Roman" w:hAnsi="Times New Roman" w:eastAsia="Times New Roman"/>
        </w:rPr>
        <w:t>4.5m Why the two AP50 implementations differ</w:t>
      </w:r>
    </w:p>
    <w:p>
      <w:pPr>
        <w:spacing w:after="120"/>
        <w:jc w:val="both"/>
      </w:pPr>
      <w:r>
        <w:rPr>
          <w:rFonts w:ascii="Times New Roman" w:hAnsi="Times New Roman" w:eastAsia="Times New Roman"/>
        </w:rPr>
        <w:t>The pinned released scorer reports mean 0.750403, while our alternate positive-label-count implementation reports 0.751727, a difference of +0.001324. A post-result ledger check found exactly 2 eval masks with a missing ground-truth label ID; these are the only images whose two AP50 values differ beyond 1e-6. The released function infers its ground-truth object count from the maximum label number, whereas ours counts positive IDs actually present. On the two affected images, the unique-count score is higher by +0.010654 and +0.007879; their author-scorer TP/FP/FN triples are [56, 14, 3] and [78, 13, 9]. This is a label-index denominator issue, not two biological or model predictions. The author-scored value remains the reported primary exploratory number for compatibility with the released protocol; neither scorer version supplies a paired released-model benchmark. The per-image audit and implementation are results/group_disjoint_seg/postresult_gt_id_gap_audit.json and scripts/audit_seg_gt_id_gap.py.</w:t>
      </w:r>
    </w:p>
    <w:p>
      <w:pPr>
        <w:pStyle w:val="Heading2"/>
      </w:pPr>
      <w:r>
        <w:rPr>
          <w:rFonts w:ascii="Times New Roman" w:hAnsi="Times New Roman" w:eastAsia="Times New Roman"/>
        </w:rPr>
        <w:t>4.5n Object-density error accounting on the exploratory eval</w:t>
      </w:r>
    </w:p>
    <w:p>
      <w:pPr>
        <w:spacing w:after="120"/>
        <w:jc w:val="both"/>
      </w:pPr>
      <w:r>
        <w:rPr>
          <w:rFonts w:ascii="Times New Roman" w:hAnsi="Times New Roman" w:eastAsia="Times New Roman"/>
        </w:rPr>
        <w:t>The per-image AP50 spread motivates a narrower failure audit without another model run. After seeing the outcomes, we split all 14 reassigned eval files at their median ground-truth count (64.5 instances per image): 7 images at or below it and 7 above. The low-count group's author AP50 mean is 0.782, with 325 TP, 68 FP and 30 FN; the high-count group's mean is 0.719, with 576 TP, 84 FP and 157 FN. Aggregate FN fraction rises from 0.085 to 0.214; mean false positives per image rise from 9.7 to 12.0. A continuous GT-count/AP50 Spearman coefficient is -0.411. Both moved-to-eval files land in the low-count group, so original split membership is also confounded with this contrast.</w:t>
      </w:r>
    </w:p>
    <w:p>
      <w:pPr>
        <w:spacing w:after="120"/>
        <w:jc w:val="both"/>
      </w:pPr>
      <w:r>
        <w:rPr>
          <w:rFonts w:ascii="Times New Roman" w:hAnsi="Times New Roman" w:eastAsia="Times New Roman"/>
        </w:rPr>
        <w:t>This is an outcome-aware descriptive stratification, not a predeclared density subgroup or causal test. Ground-truth count is an annotation property and can covary with magnification, morphology, object overlap, illumination and acquisition batch, none of which was controlled here. The small 7/7 grouping does not establish a general density failure mode, does not identify the cause of false negatives, and cannot guide post-hoc threshold changes on this eval. Every filename, count and TP/FP/FN is in results/group_disjoint_seg/postresult_object_density.json; the rule and implementation are in notes/postresult_seg_object_density_protocol.md and scripts/audit_seg_object_density.py. Independent acquisitions with metadata and blinded masks would be needed to test a density interaction.</w:t>
      </w:r>
    </w:p>
    <w:p>
      <w:pPr>
        <w:pStyle w:val="Heading2"/>
      </w:pPr>
      <w:r>
        <w:rPr>
          <w:rFonts w:ascii="Times New Roman" w:hAnsi="Times New Roman" w:eastAsia="Times New Roman"/>
        </w:rPr>
        <w:t>4.5o Post-result strict-overlap AP75 diagnostic</w:t>
      </w:r>
    </w:p>
    <w:p>
      <w:pPr>
        <w:spacing w:after="120"/>
        <w:jc w:val="both"/>
      </w:pPr>
      <w:r>
        <w:rPr>
          <w:rFonts w:ascii="Times New Roman" w:hAnsi="Times New Roman" w:eastAsia="Times New Roman"/>
        </w:rPr>
        <w:t>The released author metric at IoU 0.5 gives one view of detection, but an object whose overlap barely clears 0.5 can still have a visibly inaccurate boundary. After viewing the AP50 outcomes, we fixed an exploratory stricter-overlap check at IoU 0.75 (notes/postresult_ap75_boundary_protocol.md). The checkpoint, all 14 assigned eval image/mask pairs, three-view preprocessing and extraction thresholds were unchanged; rerunning the author AP50 metric matched all 14 previously saved per-image AP50 and TP/FP/FN values exactly. At IoU 0.75 the same predictions give mean AP 0.569097, versus reproduced AP50 0.750403: mean per-image AP75-minus-AP50 -0.181306, median -0.172416. At 0.5 the images total 901 matched instances, 152 false positives and 187 false negatives; at 0.75 the same predictions yield 738, 315 and 350. These are alternate matching criteria applied to one prediction set, not new biological observations.</w:t>
      </w:r>
    </w:p>
    <w:p>
      <w:pPr>
        <w:spacing w:after="120"/>
        <w:jc w:val="both"/>
      </w:pPr>
      <w:r>
        <w:rPr>
          <w:rFonts w:ascii="Times New Roman" w:hAnsi="Times New Roman" w:eastAsia="Times New Roman"/>
        </w:rPr>
        <w:t>The strict-IoU drop is a model-output diagnostic, not proof of one failure mechanism. Boundary errors, instance separation, annotation shifts and acquisition characteristics can all change matching at 0.75; the previously documented repeated-scene annotation/acquisition variability and two missing mask-label IDs complicate simple attribution. We have no paired released author-model AP75 predictions on these same files, so this cannot establish a strict-overlap benchmark win or loss. The 14 images are known-source files and the proxy scene graph is not donor or plate identity. Full per-image AP50/AP75 and TP/FP/FN, checkpoint/source hashes and the executable read-only scorer are in results/group_disjoint_seg/postresult_ap75_diagnostic.json and scripts/audit_group_disjoint_ap75.py. No retuning or original gate change follows.</w:t>
      </w:r>
    </w:p>
    <w:p>
      <w:pPr>
        <w:pStyle w:val="Heading2"/>
      </w:pPr>
      <w:r>
        <w:rPr>
          <w:rFonts w:ascii="Times New Roman" w:hAnsi="Times New Roman" w:eastAsia="Times New Roman"/>
        </w:rPr>
        <w:t>Secondary exploratory analyses III: organoid-to-tissue fidelity across public transcriptomes</w:t>
      </w:r>
    </w:p>
    <w:p>
      <w:pPr>
        <w:spacing w:after="120"/>
        <w:jc w:val="both"/>
      </w:pPr>
      <w:r>
        <w:rPr>
          <w:rFonts w:ascii="Times New Roman" w:hAnsi="Times New Roman" w:eastAsia="Times New Roman"/>
        </w:rPr>
        <w:t>Sections 4.6 through 4.13 are off-question secondary analyses of organoid-to-tissue fidelity in public expression data, retained and labeled exploratory.</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19.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These series-level ranks were computed before the sample-level audit in Section 4.9. At this stage, the clean text-filtered subset appeared to match cultured fibroblasts often, and the working prediction was that a parenchymal-gene restriction would leave a fibroblast best-match share above 15% in that same text-filtered subset. That prediction is an internal same-series test, not a biological validation. We later checked sample metadata and found many series labeled as organoid-related do not contain organoid samples; Section 4.9 retracts the broad culture-fibroblast interpretation. The tool vorganoid fidelity produces a tissue-rank calculation, not a diagnosis or validated organoid-quality score.</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20.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These same-series tissue-rank shifts suggest cell-composition sensitivity, but mixed sample labels prevent a general organoid-specific correction claim. Removing the selected culture genes did not materially change this rank result. The internal text-filtered-subset prediction (fibroblast best-match share above 15% on parenchymal-only genes) was numerically met before the later sample-label audit: 28% [0.20, 0.37] and 22% [0.15, 0.29]. The lower bound of the second interval touches the threshold; more importantly, a threshold met on mixed samples cannot validate a general organoid phenomenon. The strict organoid-only reanalysis in Section 4.9 takes precedence over this earlier text-filtered aggregate. vorganoid fidelity --purity applies the gene restriction to a supplied count matrix without asserting clinical or biological calibration.</w:t>
      </w:r>
    </w:p>
    <w:p>
      <w:pPr>
        <w:pStyle w:val="Heading2"/>
      </w:pPr>
      <w:r>
        <w:rPr>
          <w:rFonts w:ascii="Times New Roman" w:hAnsi="Times New Roman" w:eastAsia="Times New Roman"/>
        </w:rPr>
        <w:t>4.8 What drives the text-filtered fibroblast rank pattern?</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21.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these mixed series profiles lack. Removing either family alone leaves the earlier text-filtered rank pattern in place (Sections 4.6-4.7), but the later strictly organoid-only audit in Section 4.9 overrides a general attractor claim. Restricting to 19,254 HGNC protein-coding genes also retains that text-filtered rank pattern (fibroblast best match 44% [0.35, 0.53] and 28% [0.20, 0.36]) in the text-filtered subset; non-coding genes alone do not explain that aggregate, but sample composition still can. A future proliferation/purity hypothesis would need organoid and matched primary tissue from the same donors, profiled together. It cannot be inferred as the mechanism from these mixed series.</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22.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23.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24.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25.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26.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45.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50.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52.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54.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55.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56.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57.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58.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