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Does Starting Organoid Size Modify the CFTR-Modulator Swelling Response? A Size-Aware, Missing-Data-Robust Computational Pipeline for Single-Organoid Response Analysis</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does starting organoid size modify the CFTR-modulator swelling response of single intestinal organoids after accounting for track attrition?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tracked organoids are not a random subset, because endpoint observability varies with starting size, treatment arm and local crowding. We quantify, with donor-clustered observability models, stratified neighbor analysis, track-retention tables and missing-endpoint bounds, how much of an apparent size contrast such structured attrition can create or hide. This size-aware, missing-data-robust pipeline is the part of the work other CFTR swelling studies can reuse.</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the same 231-file source set, including 12 previously scored eval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does starting organoid size modify the CFTR-modulator swelling response of single intestinal organoids after accounting for track attrition?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 (well-level ranking) and 4.3e below are off-question secondary analyses, retained for completeness and labeled exploratory.</w:t>
      </w:r>
    </w:p>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13.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14.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15.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16.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they were original train/val files, not previously scored as eval, but both share image-similarity components with original eval files and were in the known source set.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4.5k.1 Same-file score reconciliation across the two models</w:t>
      </w:r>
    </w:p>
    <w:p>
      <w:pPr>
        <w:spacing w:after="120"/>
        <w:jc w:val="both"/>
      </w:pPr>
      <w:r>
        <w:rPr>
          <w:rFonts w:ascii="Times New Roman" w:hAnsi="Times New Roman" w:eastAsia="Times New Roman"/>
        </w:rPr>
        <w:t>The new 14-file eval mixes two previously unscored-as-eval images with the 12 original eval files. To keep denominators straight, a post-result reconciliation compares only those 12 identical filenames between the old v2 score and the freshly trained group-reassigned model. The older mean on these 12 files is 0.761108; the new mean on the same files is 0.740710, a new-minus-old mean of -0.020398. The median per-file change is -0.005336, with range -0.112821 to +0.015426. Three images improve, eight worsen and one ties exactly in saved float values. Old totals across the shared files are 798 true positives, 112 false positives and 176 false negatives; new totals are 794, 133 and 180. These totals describe instance matches, not independent experimental units.</w:t>
      </w:r>
    </w:p>
    <w:p>
      <w:r>
        <w:rPr>
          <w:rFonts w:ascii="Times New Roman" w:hAnsi="Times New Roman" w:eastAsia="Times New Roman"/>
          <w:b/>
        </w:rPr>
        <w:t>Table 17. Same-file author-scorer AP50 changes across the two model fits. Full filenames, proxy components, ground-truth counts and TP/FP/FN are in results/group_disjoint_seg/postresult_samefile_delta.json.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shared original eval image #</w:t>
            </w:r>
          </w:p>
        </w:tc>
        <w:tc>
          <w:tcPr>
            <w:tcW w:type="dxa" w:w="2160"/>
          </w:tcPr>
          <w:p>
            <w:r>
              <w:rPr>
                <w:rFonts w:ascii="Times New Roman" w:hAnsi="Times New Roman" w:eastAsia="Times New Roman"/>
              </w:rPr>
              <w:t>old AP50</w:t>
            </w:r>
          </w:p>
        </w:tc>
        <w:tc>
          <w:tcPr>
            <w:tcW w:type="dxa" w:w="2160"/>
          </w:tcPr>
          <w:p>
            <w:r>
              <w:rPr>
                <w:rFonts w:ascii="Times New Roman" w:hAnsi="Times New Roman" w:eastAsia="Times New Roman"/>
              </w:rPr>
              <w:t>new AP50</w:t>
            </w:r>
          </w:p>
        </w:tc>
        <w:tc>
          <w:tcPr>
            <w:tcW w:type="dxa" w:w="2160"/>
          </w:tcPr>
          <w:p>
            <w:r>
              <w:rPr>
                <w:rFonts w:ascii="Times New Roman" w:hAnsi="Times New Roman" w:eastAsia="Times New Roman"/>
              </w:rPr>
              <w:t>change</w:t>
            </w:r>
          </w:p>
        </w:tc>
      </w:tr>
      <w:tr>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+0.000</w:t>
            </w:r>
          </w:p>
        </w:tc>
      </w:tr>
      <w:tr>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0.658</w:t>
            </w:r>
          </w:p>
        </w:tc>
        <w:tc>
          <w:tcPr>
            <w:tcW w:type="dxa" w:w="2160"/>
          </w:tcPr>
          <w:p>
            <w:r>
              <w:rPr>
                <w:rFonts w:ascii="Times New Roman" w:hAnsi="Times New Roman" w:eastAsia="Times New Roman"/>
              </w:rPr>
              <w:t>0.583</w:t>
            </w:r>
          </w:p>
        </w:tc>
        <w:tc>
          <w:tcPr>
            <w:tcW w:type="dxa" w:w="2160"/>
          </w:tcPr>
          <w:p>
            <w:r>
              <w:rPr>
                <w:rFonts w:ascii="Times New Roman" w:hAnsi="Times New Roman" w:eastAsia="Times New Roman"/>
              </w:rPr>
              <w:t>-0.075</w:t>
            </w:r>
          </w:p>
        </w:tc>
      </w:tr>
      <w:tr>
        <w:tc>
          <w:tcPr>
            <w:tcW w:type="dxa" w:w="2160"/>
          </w:tcPr>
          <w:p>
            <w:r>
              <w:rPr>
                <w:rFonts w:ascii="Times New Roman" w:hAnsi="Times New Roman" w:eastAsia="Times New Roman"/>
              </w:rPr>
              <w:t>3</w:t>
            </w:r>
          </w:p>
        </w:tc>
        <w:tc>
          <w:tcPr>
            <w:tcW w:type="dxa" w:w="2160"/>
          </w:tcPr>
          <w:p>
            <w:r>
              <w:rPr>
                <w:rFonts w:ascii="Times New Roman" w:hAnsi="Times New Roman" w:eastAsia="Times New Roman"/>
              </w:rPr>
              <w:t>0.796</w:t>
            </w:r>
          </w:p>
        </w:tc>
        <w:tc>
          <w:tcPr>
            <w:tcW w:type="dxa" w:w="2160"/>
          </w:tcPr>
          <w:p>
            <w:r>
              <w:rPr>
                <w:rFonts w:ascii="Times New Roman" w:hAnsi="Times New Roman" w:eastAsia="Times New Roman"/>
              </w:rPr>
              <w:t>0.811</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0.892</w:t>
            </w:r>
          </w:p>
        </w:tc>
        <w:tc>
          <w:tcPr>
            <w:tcW w:type="dxa" w:w="2160"/>
          </w:tcPr>
          <w:p>
            <w:r>
              <w:rPr>
                <w:rFonts w:ascii="Times New Roman" w:hAnsi="Times New Roman" w:eastAsia="Times New Roman"/>
              </w:rPr>
              <w:t>-0.053</w:t>
            </w:r>
          </w:p>
        </w:tc>
      </w:tr>
      <w:tr>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0.879</w:t>
            </w:r>
          </w:p>
        </w:tc>
        <w:tc>
          <w:tcPr>
            <w:tcW w:type="dxa" w:w="2160"/>
          </w:tcPr>
          <w:p>
            <w:r>
              <w:rPr>
                <w:rFonts w:ascii="Times New Roman" w:hAnsi="Times New Roman" w:eastAsia="Times New Roman"/>
              </w:rPr>
              <w:t>0.895</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0.554</w:t>
            </w:r>
          </w:p>
        </w:tc>
        <w:tc>
          <w:tcPr>
            <w:tcW w:type="dxa" w:w="2160"/>
          </w:tcPr>
          <w:p>
            <w:r>
              <w:rPr>
                <w:rFonts w:ascii="Times New Roman" w:hAnsi="Times New Roman" w:eastAsia="Times New Roman"/>
              </w:rPr>
              <w:t>-0.113</w:t>
            </w:r>
          </w:p>
        </w:tc>
      </w:tr>
      <w:tr>
        <w:tc>
          <w:tcPr>
            <w:tcW w:type="dxa" w:w="2160"/>
          </w:tcPr>
          <w:p>
            <w:r>
              <w:rPr>
                <w:rFonts w:ascii="Times New Roman" w:hAnsi="Times New Roman" w:eastAsia="Times New Roman"/>
              </w:rPr>
              <w:t>7</w:t>
            </w:r>
          </w:p>
        </w:tc>
        <w:tc>
          <w:tcPr>
            <w:tcW w:type="dxa" w:w="2160"/>
          </w:tcPr>
          <w:p>
            <w:r>
              <w:rPr>
                <w:rFonts w:ascii="Times New Roman" w:hAnsi="Times New Roman" w:eastAsia="Times New Roman"/>
              </w:rPr>
              <w:t>0.729</w:t>
            </w:r>
          </w:p>
        </w:tc>
        <w:tc>
          <w:tcPr>
            <w:tcW w:type="dxa" w:w="2160"/>
          </w:tcPr>
          <w:p>
            <w:r>
              <w:rPr>
                <w:rFonts w:ascii="Times New Roman" w:hAnsi="Times New Roman" w:eastAsia="Times New Roman"/>
              </w:rPr>
              <w:t>0.724</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8</w:t>
            </w:r>
          </w:p>
        </w:tc>
        <w:tc>
          <w:tcPr>
            <w:tcW w:type="dxa" w:w="2160"/>
          </w:tcPr>
          <w:p>
            <w:r>
              <w:rPr>
                <w:rFonts w:ascii="Times New Roman" w:hAnsi="Times New Roman" w:eastAsia="Times New Roman"/>
              </w:rPr>
              <w:t>0.630</w:t>
            </w:r>
          </w:p>
        </w:tc>
        <w:tc>
          <w:tcPr>
            <w:tcW w:type="dxa" w:w="2160"/>
          </w:tcPr>
          <w:p>
            <w:r>
              <w:rPr>
                <w:rFonts w:ascii="Times New Roman" w:hAnsi="Times New Roman" w:eastAsia="Times New Roman"/>
              </w:rPr>
              <w:t>0.632</w:t>
            </w:r>
          </w:p>
        </w:tc>
        <w:tc>
          <w:tcPr>
            <w:tcW w:type="dxa" w:w="2160"/>
          </w:tcPr>
          <w:p>
            <w:r>
              <w:rPr>
                <w:rFonts w:ascii="Times New Roman" w:hAnsi="Times New Roman" w:eastAsia="Times New Roman"/>
              </w:rPr>
              <w:t>+0.003</w:t>
            </w:r>
          </w:p>
        </w:tc>
      </w:tr>
      <w:tr>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0.707</w:t>
            </w:r>
          </w:p>
        </w:tc>
        <w:tc>
          <w:tcPr>
            <w:tcW w:type="dxa" w:w="2160"/>
          </w:tcPr>
          <w:p>
            <w:r>
              <w:rPr>
                <w:rFonts w:ascii="Times New Roman" w:hAnsi="Times New Roman" w:eastAsia="Times New Roman"/>
              </w:rPr>
              <w:t>0.702</w:t>
            </w:r>
          </w:p>
        </w:tc>
        <w:tc>
          <w:tcPr>
            <w:tcW w:type="dxa" w:w="2160"/>
          </w:tcPr>
          <w:p>
            <w:r>
              <w:rPr>
                <w:rFonts w:ascii="Times New Roman" w:hAnsi="Times New Roman" w:eastAsia="Times New Roman"/>
              </w:rPr>
              <w:t>-0.004</w:t>
            </w:r>
          </w:p>
        </w:tc>
      </w:tr>
      <w:tr>
        <w:tc>
          <w:tcPr>
            <w:tcW w:type="dxa" w:w="2160"/>
          </w:tcPr>
          <w:p>
            <w:r>
              <w:rPr>
                <w:rFonts w:ascii="Times New Roman" w:hAnsi="Times New Roman" w:eastAsia="Times New Roman"/>
              </w:rPr>
              <w:t>10</w:t>
            </w:r>
          </w:p>
        </w:tc>
        <w:tc>
          <w:tcPr>
            <w:tcW w:type="dxa" w:w="2160"/>
          </w:tcPr>
          <w:p>
            <w:r>
              <w:rPr>
                <w:rFonts w:ascii="Times New Roman" w:hAnsi="Times New Roman" w:eastAsia="Times New Roman"/>
              </w:rPr>
              <w:t>0.711</w:t>
            </w:r>
          </w:p>
        </w:tc>
        <w:tc>
          <w:tcPr>
            <w:tcW w:type="dxa" w:w="2160"/>
          </w:tcPr>
          <w:p>
            <w:r>
              <w:rPr>
                <w:rFonts w:ascii="Times New Roman" w:hAnsi="Times New Roman" w:eastAsia="Times New Roman"/>
              </w:rPr>
              <w:t>0.705</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11</w:t>
            </w:r>
          </w:p>
        </w:tc>
        <w:tc>
          <w:tcPr>
            <w:tcW w:type="dxa" w:w="2160"/>
          </w:tcPr>
          <w:p>
            <w:r>
              <w:rPr>
                <w:rFonts w:ascii="Times New Roman" w:hAnsi="Times New Roman" w:eastAsia="Times New Roman"/>
              </w:rPr>
              <w:t>0.665</w:t>
            </w:r>
          </w:p>
        </w:tc>
        <w:tc>
          <w:tcPr>
            <w:tcW w:type="dxa" w:w="2160"/>
          </w:tcPr>
          <w:p>
            <w:r>
              <w:rPr>
                <w:rFonts w:ascii="Times New Roman" w:hAnsi="Times New Roman" w:eastAsia="Times New Roman"/>
              </w:rPr>
              <w:t>0.652</w:t>
            </w:r>
          </w:p>
        </w:tc>
        <w:tc>
          <w:tcPr>
            <w:tcW w:type="dxa" w:w="2160"/>
          </w:tcPr>
          <w:p>
            <w:r>
              <w:rPr>
                <w:rFonts w:ascii="Times New Roman" w:hAnsi="Times New Roman" w:eastAsia="Times New Roman"/>
              </w:rPr>
              <w:t>-0.013</w:t>
            </w:r>
          </w:p>
        </w:tc>
      </w:tr>
      <w:tr>
        <w:tc>
          <w:tcPr>
            <w:tcW w:type="dxa" w:w="2160"/>
          </w:tcPr>
          <w:p>
            <w:r>
              <w:rPr>
                <w:rFonts w:ascii="Times New Roman" w:hAnsi="Times New Roman" w:eastAsia="Times New Roman"/>
              </w:rPr>
              <w:t>12</w:t>
            </w:r>
          </w:p>
        </w:tc>
        <w:tc>
          <w:tcPr>
            <w:tcW w:type="dxa" w:w="2160"/>
          </w:tcPr>
          <w:p>
            <w:r>
              <w:rPr>
                <w:rFonts w:ascii="Times New Roman" w:hAnsi="Times New Roman" w:eastAsia="Times New Roman"/>
              </w:rPr>
              <w:t>0.790</w:t>
            </w:r>
          </w:p>
        </w:tc>
        <w:tc>
          <w:tcPr>
            <w:tcW w:type="dxa" w:w="2160"/>
          </w:tcPr>
          <w:p>
            <w:r>
              <w:rPr>
                <w:rFonts w:ascii="Times New Roman" w:hAnsi="Times New Roman" w:eastAsia="Times New Roman"/>
              </w:rPr>
              <w:t>0.780</w:t>
            </w:r>
          </w:p>
        </w:tc>
        <w:tc>
          <w:tcPr>
            <w:tcW w:type="dxa" w:w="2160"/>
          </w:tcPr>
          <w:p>
            <w:r>
              <w:rPr>
                <w:rFonts w:ascii="Times New Roman" w:hAnsi="Times New Roman" w:eastAsia="Times New Roman"/>
              </w:rPr>
              <w:t>-0.010</w:t>
            </w:r>
          </w:p>
        </w:tc>
      </w:tr>
    </w:tbl>
    <w:p>
      <w:pPr>
        <w:spacing w:after="120"/>
        <w:jc w:val="both"/>
      </w:pPr>
      <w:r>
        <w:rPr>
          <w:rFonts w:ascii="Times New Roman" w:hAnsi="Times New Roman" w:eastAsia="Times New Roman"/>
        </w:rPr>
        <w:t>The largest per-file decline and the paired average are not measurements of how much leakage inflated the old score. The two fits also changed training membership, validation membership, weights, checkpoint selection and postprocessing. Both use the same masks for these 12 filenames and have unknown donor/plate nesting. The extra two files had been in original train/val and linked to an original eval image by the candidate scene graph; they do not turn this into a new sealed acquisition cohort. The reconciliation protocol was recorded after both outcomes (notes/postresult_samefile_seg_delta_protocol.md). Do not read the table as 12 independent confirmations or retune on its declines.</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12 original eval files had already been scored, two moved files were in the known source set,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4.5m Why the two AP50 implementations differ</w:t>
      </w:r>
    </w:p>
    <w:p>
      <w:pPr>
        <w:spacing w:after="120"/>
        <w:jc w:val="both"/>
      </w:pPr>
      <w:r>
        <w:rPr>
          <w:rFonts w:ascii="Times New Roman" w:hAnsi="Times New Roman" w:eastAsia="Times New Roman"/>
        </w:rPr>
        <w:t>The pinned released scorer reports mean 0.750403, while our alternate positive-label-count implementation reports 0.751727, a difference of +0.001324. A post-result ledger check found exactly 2 eval masks with a missing ground-truth label ID; these are the only images whose two AP50 values differ beyond 1e-6. The released function infers its ground-truth object count from the maximum label number, whereas ours counts positive IDs actually present. On the two affected images, the unique-count score is higher by +0.010654 and +0.007879; their author-scorer TP/FP/FN triples are [56, 14, 3] and [78, 13, 9]. This is a label-index denominator issue, not two biological or model predictions. The author-scored value remains the reported primary exploratory number for compatibility with the released protocol; neither scorer version supplies a paired released-model benchmark. The per-image audit and implementation are results/group_disjoint_seg/postresult_gt_id_gap_audit.json and scripts/audit_seg_gt_id_gap.py.</w:t>
      </w:r>
    </w:p>
    <w:p>
      <w:pPr>
        <w:pStyle w:val="Heading2"/>
      </w:pPr>
      <w:r>
        <w:rPr>
          <w:rFonts w:ascii="Times New Roman" w:hAnsi="Times New Roman" w:eastAsia="Times New Roman"/>
        </w:rPr>
        <w:t>4.5n Object-density error accounting on the exploratory eval</w:t>
      </w:r>
    </w:p>
    <w:p>
      <w:pPr>
        <w:spacing w:after="120"/>
        <w:jc w:val="both"/>
      </w:pPr>
      <w:r>
        <w:rPr>
          <w:rFonts w:ascii="Times New Roman" w:hAnsi="Times New Roman" w:eastAsia="Times New Roman"/>
        </w:rPr>
        <w:t>The per-image AP50 spread motivates a narrower failure audit without another model run. After seeing the outcomes, we split all 14 reassigned eval files at their median ground-truth count (64.5 instances per image): 7 images at or below it and 7 above. The low-count group's author AP50 mean is 0.782, with 325 TP, 68 FP and 30 FN; the high-count group's mean is 0.719, with 576 TP, 84 FP and 157 FN. Aggregate FN fraction rises from 0.085 to 0.214; mean false positives per image rise from 9.7 to 12.0. A continuous GT-count/AP50 Spearman coefficient is -0.411. Both moved-to-eval files land in the low-count group, so original split membership is also confounded with this contrast.</w:t>
      </w:r>
    </w:p>
    <w:p>
      <w:pPr>
        <w:spacing w:after="120"/>
        <w:jc w:val="both"/>
      </w:pPr>
      <w:r>
        <w:rPr>
          <w:rFonts w:ascii="Times New Roman" w:hAnsi="Times New Roman" w:eastAsia="Times New Roman"/>
        </w:rPr>
        <w:t>This is an outcome-aware descriptive stratification, not a predeclared density subgroup or causal test. Ground-truth count is an annotation property and can covary with magnification, morphology, object overlap, illumination and acquisition batch, none of which was controlled here. The small 7/7 grouping does not establish a general density failure mode, does not identify the cause of false negatives, and cannot guide post-hoc threshold changes on this eval. Every filename, count and TP/FP/FN is in results/group_disjoint_seg/postresult_object_density.json; the rule and implementation are in notes/postresult_seg_object_density_protocol.md and scripts/audit_seg_object_density.py. Independent acquisitions with metadata and blinded masks would be needed to test a density interaction.</w:t>
      </w:r>
    </w:p>
    <w:p>
      <w:pPr>
        <w:pStyle w:val="Heading2"/>
      </w:pPr>
      <w:r>
        <w:rPr>
          <w:rFonts w:ascii="Times New Roman" w:hAnsi="Times New Roman" w:eastAsia="Times New Roman"/>
        </w:rPr>
        <w:t>4.5o Post-result strict-overlap AP75 diagnostic</w:t>
      </w:r>
    </w:p>
    <w:p>
      <w:pPr>
        <w:spacing w:after="120"/>
        <w:jc w:val="both"/>
      </w:pPr>
      <w:r>
        <w:rPr>
          <w:rFonts w:ascii="Times New Roman" w:hAnsi="Times New Roman" w:eastAsia="Times New Roman"/>
        </w:rPr>
        <w:t>The released author metric at IoU 0.5 gives one view of detection, but an object whose overlap barely clears 0.5 can still have a visibly inaccurate boundary. After viewing the AP50 outcomes, we fixed an exploratory stricter-overlap check at IoU 0.75 (notes/postresult_ap75_boundary_protocol.md). The checkpoint, all 14 assigned eval image/mask pairs, three-view preprocessing and extraction thresholds were unchanged; rerunning the author AP50 metric matched all 14 previously saved per-image AP50 and TP/FP/FN values exactly. At IoU 0.75 the same predictions give mean AP 0.569097, versus reproduced AP50 0.750403: mean per-image AP75-minus-AP50 -0.181306, median -0.172416. At 0.5 the images total 901 matched instances, 152 false positives and 187 false negatives; at 0.75 the same predictions yield 738, 315 and 350. These are alternate matching criteria applied to one prediction set, not new biological observations.</w:t>
      </w:r>
    </w:p>
    <w:p>
      <w:pPr>
        <w:spacing w:after="120"/>
        <w:jc w:val="both"/>
      </w:pPr>
      <w:r>
        <w:rPr>
          <w:rFonts w:ascii="Times New Roman" w:hAnsi="Times New Roman" w:eastAsia="Times New Roman"/>
        </w:rPr>
        <w:t>The strict-IoU drop is a model-output diagnostic, not proof of one failure mechanism. Boundary errors, instance separation, annotation shifts and acquisition characteristics can all change matching at 0.75; the previously documented repeated-scene annotation/acquisition variability and two missing mask-label IDs complicate simple attribution. We have no paired released author-model AP75 predictions on these same files, so this cannot establish a strict-overlap benchmark win or loss. The 14 images are known-source files and the proxy scene graph is not donor or plate identity. Full per-image AP50/AP75 and TP/FP/FN, checkpoint/source hashes and the executable read-only scorer are in results/group_disjoint_seg/postresult_ap75_diagnostic.json and scripts/audit_group_disjoint_ap75.py. No retuning or original gate change follows.</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18.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19.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20.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21.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22.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23.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24.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25.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51.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53.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54.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57.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